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3648075</wp:posOffset>
            </wp:positionH>
            <wp:positionV relativeFrom="paragraph">
              <wp:posOffset>-5080</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172720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tbl>
      <w:tblPr>
        <w:tblLayout w:type="fixed"/>
        <w:tblInd w:w="1100" w:type="dxa"/>
        <w:tblCellMar>
          <w:top w:w="0" w:type="dxa"/>
          <w:left w:w="0" w:type="dxa"/>
          <w:bottom w:w="0" w:type="dxa"/>
          <w:right w:w="0" w:type="dxa"/>
        </w:tblCellMar>
      </w:tblPr>
      <w:tr>
        <w:trPr>
          <w:trHeight w:val="216"/>
        </w:trPr>
        <w:tc>
          <w:tcPr>
            <w:tcW w:w="36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02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04-3562325</w:t>
            </w:r>
          </w:p>
        </w:tc>
      </w:tr>
      <w:tr>
        <w:trPr>
          <w:trHeight w:val="238"/>
        </w:trPr>
        <w:tc>
          <w:tcPr>
            <w:tcW w:w="36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502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410"/>
        </w:trPr>
        <w:tc>
          <w:tcPr>
            <w:tcW w:w="36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4960 Peachtree Industrial Blvd.,</w:t>
            </w:r>
          </w:p>
        </w:tc>
        <w:tc>
          <w:tcPr>
            <w:tcW w:w="5020" w:type="dxa"/>
            <w:vAlign w:val="bottom"/>
          </w:tcPr>
          <w:p>
            <w:pPr>
              <w:spacing w:after="0"/>
              <w:rPr>
                <w:sz w:val="24"/>
                <w:szCs w:val="24"/>
                <w:color w:val="auto"/>
              </w:rPr>
            </w:pPr>
          </w:p>
        </w:tc>
      </w:tr>
      <w:tr>
        <w:trPr>
          <w:trHeight w:val="216"/>
        </w:trPr>
        <w:tc>
          <w:tcPr>
            <w:tcW w:w="36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Suite 240, Norcross, GA</w:t>
            </w:r>
          </w:p>
        </w:tc>
        <w:tc>
          <w:tcPr>
            <w:tcW w:w="502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30071</w:t>
            </w:r>
          </w:p>
        </w:tc>
      </w:tr>
      <w:tr>
        <w:trPr>
          <w:trHeight w:val="238"/>
        </w:trPr>
        <w:tc>
          <w:tcPr>
            <w:tcW w:w="36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502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432"/>
        </w:trPr>
        <w:tc>
          <w:tcPr>
            <w:tcW w:w="3680" w:type="dxa"/>
            <w:vAlign w:val="bottom"/>
          </w:tcPr>
          <w:p>
            <w:pPr>
              <w:spacing w:after="0"/>
              <w:rPr>
                <w:sz w:val="24"/>
                <w:szCs w:val="24"/>
                <w:color w:val="auto"/>
              </w:rPr>
            </w:pPr>
          </w:p>
        </w:tc>
        <w:tc>
          <w:tcPr>
            <w:tcW w:w="5020" w:type="dxa"/>
            <w:vAlign w:val="bottom"/>
          </w:tcPr>
          <w:p>
            <w:pPr>
              <w:jc w:val="right"/>
              <w:ind w:right="3510"/>
              <w:spacing w:after="0"/>
              <w:rPr>
                <w:sz w:val="20"/>
                <w:szCs w:val="20"/>
                <w:color w:val="auto"/>
              </w:rPr>
            </w:pPr>
            <w:r>
              <w:rPr>
                <w:rFonts w:ascii="Times New Roman" w:cs="Times New Roman" w:eastAsia="Times New Roman" w:hAnsi="Times New Roman"/>
                <w:sz w:val="18"/>
                <w:szCs w:val="18"/>
                <w:b w:val="1"/>
                <w:bCs w:val="1"/>
                <w:color w:val="auto"/>
              </w:rPr>
              <w:t>(678) 620 -3186</w:t>
            </w:r>
          </w:p>
        </w:tc>
      </w:tr>
    </w:tbl>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142875</wp:posOffset>
            </wp:positionV>
            <wp:extent cx="14230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32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06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45"/>
        </w:trPr>
        <w:tc>
          <w:tcPr>
            <w:tcW w:w="39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06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8"/>
        </w:trPr>
        <w:tc>
          <w:tcPr>
            <w:tcW w:w="3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32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GALT</w:t>
            </w:r>
          </w:p>
        </w:tc>
        <w:tc>
          <w:tcPr>
            <w:tcW w:w="406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r>
    </w:tbl>
    <w:p>
      <w:pPr>
        <w:spacing w:after="0" w:line="175" w:lineRule="exact"/>
        <w:rPr>
          <w:sz w:val="24"/>
          <w:szCs w:val="24"/>
          <w:color w:val="auto"/>
        </w:rPr>
      </w:pPr>
    </w:p>
    <w:p>
      <w:pPr>
        <w:ind w:right="3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8" w:lineRule="exact"/>
        <w:rPr>
          <w:sz w:val="24"/>
          <w:szCs w:val="24"/>
          <w:color w:val="auto"/>
        </w:rPr>
      </w:pPr>
    </w:p>
    <w:p>
      <w:pPr>
        <w:ind w:right="3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8"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178"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340" w:val="left"/>
          <w:tab w:leader="none" w:pos="90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ab/>
        <w:t xml:space="preserve">☒ </w:t>
      </w:r>
      <w:r>
        <w:rPr>
          <w:rFonts w:ascii="Times New Roman" w:cs="Times New Roman" w:eastAsia="Times New Roman" w:hAnsi="Times New Roman"/>
          <w:sz w:val="18"/>
          <w:szCs w:val="18"/>
          <w:color w:val="auto"/>
        </w:rPr>
        <w:t>No</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November 10, 2022 was 59,426,005.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900" w:type="dxa"/>
            <w:vAlign w:val="bottom"/>
            <w:gridSpan w:val="10"/>
          </w:tcPr>
          <w:p>
            <w:pPr>
              <w:jc w:val="center"/>
              <w:ind w:right="3320"/>
              <w:spacing w:after="0"/>
              <w:rPr>
                <w:sz w:val="20"/>
                <w:szCs w:val="20"/>
                <w:color w:val="auto"/>
              </w:rPr>
            </w:pPr>
            <w:r>
              <w:rPr>
                <w:rFonts w:ascii="Times New Roman" w:cs="Times New Roman" w:eastAsia="Times New Roman" w:hAnsi="Times New Roman"/>
                <w:sz w:val="18"/>
                <w:szCs w:val="18"/>
                <w:color w:val="auto"/>
                <w:w w:val="98"/>
              </w:rPr>
              <w:t>PART I — FINANCIAL INFORMATION</w:t>
            </w: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Unaudited Condensed Consolidated Financial Statements (unaudited)</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92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September 30, 2022 and December 31, 2021</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92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and Nine Months Ended September 30, 2022 and 2021</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92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 2022 and 2021</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shd w:val="clear" w:color="auto" w:fill="CCEEFF"/>
          </w:tcPr>
          <w:p>
            <w:pPr>
              <w:spacing w:after="0"/>
              <w:rPr>
                <w:sz w:val="15"/>
                <w:szCs w:val="15"/>
                <w:color w:val="auto"/>
              </w:rPr>
            </w:pPr>
          </w:p>
        </w:tc>
        <w:tc>
          <w:tcPr>
            <w:tcW w:w="92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Redeemable Convertible Preferred Stock and Stockholders’ Equity (Deficit)</w:t>
            </w:r>
          </w:p>
        </w:tc>
        <w:tc>
          <w:tcPr>
            <w:tcW w:w="10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9200" w:type="dxa"/>
            <w:vAlign w:val="bottom"/>
            <w:tcBorders>
              <w:top w:val="single" w:sz="8" w:color="0000EE"/>
            </w:tcBorders>
            <w:gridSpan w:val="1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for the Three and Nine Months Ended September 30, 2022 and 2021</w:t>
            </w: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92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900" w:type="dxa"/>
            <w:vAlign w:val="bottom"/>
            <w:gridSpan w:val="10"/>
            <w:shd w:val="clear" w:color="auto" w:fill="CCEEFF"/>
          </w:tcPr>
          <w:p>
            <w:pPr>
              <w:jc w:val="center"/>
              <w:ind w:right="3340"/>
              <w:spacing w:after="0"/>
              <w:rPr>
                <w:sz w:val="20"/>
                <w:szCs w:val="20"/>
                <w:color w:val="auto"/>
              </w:rPr>
            </w:pPr>
            <w:r>
              <w:rPr>
                <w:rFonts w:ascii="Times New Roman" w:cs="Times New Roman" w:eastAsia="Times New Roman" w:hAnsi="Times New Roman"/>
                <w:sz w:val="18"/>
                <w:szCs w:val="18"/>
                <w:color w:val="auto"/>
                <w:w w:val="98"/>
              </w:rPr>
              <w:t>PART II — OTHER INFORMATION</w:t>
            </w: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2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2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2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10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19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5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34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6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39,648</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2,172</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868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EQUITY</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7,163</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dividends payable</w:t>
            </w:r>
          </w:p>
        </w:tc>
        <w:tc>
          <w:tcPr>
            <w:tcW w:w="240" w:type="dxa"/>
            <w:vAlign w:val="bottom"/>
          </w:tcPr>
          <w:p>
            <w:pPr>
              <w:spacing w:after="0"/>
              <w:rPr>
                <w:sz w:val="19"/>
                <w:szCs w:val="19"/>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 payable and accrued interest, net of debt discount – related party (Note 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29,048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(Note 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C super dividend redeemable convertible preferred stock; 1,000 shares authorized, 176 shares issued and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at September 30, 2022 and December 31, 2021, redemption value: $8,309,000, liquidation value: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$1,760,000 at September 30, 2022</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Undesignated stock, $0.01 par value; 20,000,000 shares authorized, 20,000,000 designated at September 30, 2022</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and December 31, 2021, 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Series A 12% convertible preferred stock; 1,742,500 shares authorized, 1,260,000 and 1,302,500 issued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outstanding at September 30, 2022 and December 31, 2021, respectively; liquidation value $1,260,000 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$1,302,500 at September 30, 2022 and December 31, 2021, respectively</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198"/>
        </w:trPr>
        <w:tc>
          <w:tcPr>
            <w:tcW w:w="868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$0.001 par value; 150,000,000 shares authorized at September 30, 2022 and December 31, 2021,</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59,426,005 and 59,341,305 issued and outstanding at September 30, 2022 and December 31, 2021, respectively</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274,241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271,001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deficit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(298,868)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(270,694)</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40" w:type="dxa"/>
            <w:vAlign w:val="bottom"/>
          </w:tcPr>
          <w:p>
            <w:pPr>
              <w:spacing w:after="0"/>
              <w:rPr>
                <w:sz w:val="19"/>
                <w:szCs w:val="19"/>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(24,058)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equity</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1"/>
                <w:szCs w:val="21"/>
                <w:color w:val="auto"/>
              </w:rPr>
            </w:pPr>
          </w:p>
        </w:tc>
        <w:tc>
          <w:tcPr>
            <w:tcW w:w="230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16"/>
                <w:szCs w:val="16"/>
                <w:color w:val="auto"/>
              </w:rPr>
            </w:pPr>
          </w:p>
        </w:tc>
        <w:tc>
          <w:tcPr>
            <w:tcW w:w="136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except per share</w:t>
            </w:r>
          </w:p>
        </w:tc>
        <w:tc>
          <w:tcPr>
            <w:tcW w:w="220" w:type="dxa"/>
            <w:vAlign w:val="bottom"/>
          </w:tcPr>
          <w:p>
            <w:pPr>
              <w:spacing w:after="0"/>
              <w:rPr>
                <w:sz w:val="16"/>
                <w:szCs w:val="16"/>
                <w:color w:val="auto"/>
              </w:rPr>
            </w:pPr>
          </w:p>
        </w:tc>
        <w:tc>
          <w:tcPr>
            <w:tcW w:w="110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 thousands,</w:t>
            </w:r>
          </w:p>
        </w:tc>
        <w:tc>
          <w:tcPr>
            <w:tcW w:w="134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except 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0"/>
                <w:szCs w:val="20"/>
                <w:color w:val="auto"/>
              </w:rPr>
            </w:pPr>
          </w:p>
        </w:tc>
        <w:tc>
          <w:tcPr>
            <w:tcW w:w="1380" w:type="dxa"/>
            <w:vAlign w:val="bottom"/>
            <w:gridSpan w:val="4"/>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data)</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data)</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6,598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6,613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22,730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17,962</w:t>
            </w:r>
          </w:p>
        </w:tc>
        <w:tc>
          <w:tcPr>
            <w:tcW w:w="0" w:type="dxa"/>
            <w:vAlign w:val="bottom"/>
          </w:tcPr>
          <w:p>
            <w:pPr>
              <w:spacing w:after="0"/>
              <w:rPr>
                <w:sz w:val="1"/>
                <w:szCs w:val="1"/>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1,631</w:t>
            </w:r>
          </w:p>
        </w:tc>
        <w:tc>
          <w:tcPr>
            <w:tcW w:w="240" w:type="dxa"/>
            <w:vAlign w:val="bottom"/>
          </w:tcPr>
          <w:p>
            <w:pPr>
              <w:spacing w:after="0"/>
              <w:rPr>
                <w:sz w:val="19"/>
                <w:szCs w:val="19"/>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4,989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4,792</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loss</w:t>
            </w:r>
          </w:p>
        </w:tc>
        <w:tc>
          <w:tcPr>
            <w:tcW w:w="240" w:type="dxa"/>
            <w:vAlign w:val="bottom"/>
          </w:tcPr>
          <w:p>
            <w:pPr>
              <w:spacing w:after="0"/>
              <w:rPr>
                <w:sz w:val="19"/>
                <w:szCs w:val="19"/>
                <w:color w:val="auto"/>
              </w:rPr>
            </w:pPr>
          </w:p>
        </w:tc>
        <w:tc>
          <w:tcPr>
            <w:tcW w:w="11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(8,122)</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(8,244)</w:t>
            </w:r>
          </w:p>
        </w:tc>
        <w:tc>
          <w:tcPr>
            <w:tcW w:w="240" w:type="dxa"/>
            <w:vAlign w:val="bottom"/>
          </w:tcPr>
          <w:p>
            <w:pPr>
              <w:spacing w:after="0"/>
              <w:rPr>
                <w:sz w:val="19"/>
                <w:szCs w:val="19"/>
                <w:color w:val="auto"/>
              </w:rPr>
            </w:pP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(27,719)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(22,754)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w:t>
            </w:r>
          </w:p>
        </w:tc>
        <w:tc>
          <w:tcPr>
            <w:tcW w:w="240" w:type="dxa"/>
            <w:vAlign w:val="bottom"/>
          </w:tcPr>
          <w:p>
            <w:pPr>
              <w:spacing w:after="0"/>
              <w:rPr>
                <w:sz w:val="19"/>
                <w:szCs w:val="19"/>
                <w:color w:val="auto"/>
              </w:rPr>
            </w:pPr>
          </w:p>
        </w:tc>
        <w:tc>
          <w:tcPr>
            <w:tcW w:w="11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(224)</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Pr>
          <w:p>
            <w:pPr>
              <w:spacing w:after="0"/>
              <w:rPr>
                <w:sz w:val="19"/>
                <w:szCs w:val="19"/>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60" w:type="dxa"/>
            <w:vAlign w:val="bottom"/>
            <w:tcBorders>
              <w:bottom w:val="single" w:sz="8" w:color="CCEEFF"/>
            </w:tcBorders>
            <w:gridSpan w:val="2"/>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(8,597)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(8,520)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(28,142)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(23,306)</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(8,581)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(8,557)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(28,174)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(23,410)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(0.47)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240" w:type="dxa"/>
            <w:vAlign w:val="bottom"/>
          </w:tcPr>
          <w:p>
            <w:pPr>
              <w:spacing w:after="0"/>
              <w:rPr>
                <w:sz w:val="20"/>
                <w:szCs w:val="20"/>
                <w:color w:val="auto"/>
              </w:rPr>
            </w:pPr>
          </w:p>
        </w:tc>
        <w:tc>
          <w:tcPr>
            <w:tcW w:w="11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59,396</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59,290</w:t>
            </w:r>
          </w:p>
        </w:tc>
        <w:tc>
          <w:tcPr>
            <w:tcW w:w="240" w:type="dxa"/>
            <w:vAlign w:val="bottom"/>
          </w:tcPr>
          <w:p>
            <w:pPr>
              <w:spacing w:after="0"/>
              <w:rPr>
                <w:sz w:val="20"/>
                <w:szCs w:val="20"/>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59,380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58,253</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w:t>
            </w:r>
          </w:p>
        </w:tc>
        <w:tc>
          <w:tcPr>
            <w:tcW w:w="134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(28,142)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(23,306)</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 of right to use lease asset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 in fair value of derivative</w:t>
            </w:r>
          </w:p>
        </w:tc>
        <w:tc>
          <w:tcPr>
            <w:tcW w:w="24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3,017</w:t>
            </w:r>
          </w:p>
        </w:tc>
        <w:tc>
          <w:tcPr>
            <w:tcW w:w="0" w:type="dxa"/>
            <w:vAlign w:val="bottom"/>
          </w:tcPr>
          <w:p>
            <w:pPr>
              <w:spacing w:after="0"/>
              <w:rPr>
                <w:sz w:val="1"/>
                <w:szCs w:val="1"/>
                <w:color w:val="auto"/>
              </w:rPr>
            </w:pPr>
          </w:p>
        </w:tc>
      </w:tr>
      <w:tr>
        <w:trPr>
          <w:trHeight w:val="223"/>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Accrued interest on convertible notes payable - related party</w:t>
            </w: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3"/>
        </w:trPr>
        <w:tc>
          <w:tcPr>
            <w:tcW w:w="86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(23,817)</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 from convertible note payable – related party</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proceeds from issuance of common stock</w:t>
            </w:r>
          </w:p>
        </w:tc>
        <w:tc>
          <w:tcPr>
            <w:tcW w:w="240" w:type="dxa"/>
            <w:vAlign w:val="bottom"/>
          </w:tcPr>
          <w:p>
            <w:pPr>
              <w:spacing w:after="0"/>
              <w:rPr>
                <w:sz w:val="19"/>
                <w:szCs w:val="19"/>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6,815</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(23,817)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9,458</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39,648</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15,831</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36,600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 of preferred stock dividends in common stock</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derivative related to related party convertible note payable</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Reclassification of accrued bonus to additional paid in capital</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right to use lease asset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 purchase warrants issued in connection with related party line of credit</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CONVERTIBLE PREFERRED STOCK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Series C Super</w:t>
            </w:r>
          </w:p>
        </w:tc>
      </w:t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Dividend Redeemable</w:t>
            </w:r>
          </w:p>
        </w:tc>
      </w:t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Convertible</w:t>
            </w:r>
          </w:p>
        </w:tc>
      </w:tr>
      <w:tr>
        <w:trPr>
          <w:trHeight w:val="245"/>
        </w:trPr>
        <w:tc>
          <w:tcPr>
            <w:tcW w:w="8680" w:type="dxa"/>
            <w:vAlign w:val="bottom"/>
          </w:tcPr>
          <w:p>
            <w:pPr>
              <w:spacing w:after="0"/>
              <w:rPr>
                <w:sz w:val="21"/>
                <w:szCs w:val="21"/>
                <w:color w:val="auto"/>
              </w:rPr>
            </w:pPr>
          </w:p>
        </w:tc>
        <w:tc>
          <w:tcPr>
            <w:tcW w:w="25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1,723</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1,723</w:t>
            </w: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31" w:lineRule="exact"/>
        <w:rPr>
          <w:sz w:val="20"/>
          <w:szCs w:val="20"/>
          <w:color w:val="auto"/>
        </w:rPr>
      </w:pPr>
    </w:p>
    <w:p>
      <w:pPr>
        <w:ind w:right="500"/>
        <w:spacing w:after="0" w:line="250" w:lineRule="auto"/>
        <w:rPr>
          <w:sz w:val="20"/>
          <w:szCs w:val="20"/>
          <w:color w:val="auto"/>
        </w:rPr>
      </w:pPr>
      <w:r>
        <w:rPr>
          <w:rFonts w:ascii="Times New Roman" w:cs="Times New Roman" w:eastAsia="Times New Roman" w:hAnsi="Times New Roman"/>
          <w:sz w:val="18"/>
          <w:szCs w:val="18"/>
          <w:b w:val="1"/>
          <w:bCs w:val="1"/>
          <w:color w:val="auto"/>
        </w:rPr>
        <w:t>CONSOLIDATED STATEMENTS OF CHANGES IN REDEEMABLE CONVERTIBLE PREFERRED STOCK AND STOCKHOLDERS’ EQUITY (DEFICIT) — (Continued)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2022 and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44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Series A 12%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44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Convertible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4220" w:type="dxa"/>
            <w:vAlign w:val="bottom"/>
          </w:tcPr>
          <w:p>
            <w:pPr>
              <w:spacing w:after="0"/>
              <w:rPr>
                <w:sz w:val="21"/>
                <w:szCs w:val="21"/>
                <w:color w:val="auto"/>
              </w:rPr>
            </w:pPr>
          </w:p>
        </w:tc>
        <w:tc>
          <w:tcPr>
            <w:tcW w:w="18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42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422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16"/>
        </w:trPr>
        <w:tc>
          <w:tcPr>
            <w:tcW w:w="422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of</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of</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0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45"/>
        </w:trPr>
        <w:tc>
          <w:tcPr>
            <w:tcW w:w="4220" w:type="dxa"/>
            <w:vAlign w:val="bottom"/>
          </w:tcPr>
          <w:p>
            <w:pPr>
              <w:spacing w:after="0"/>
              <w:rPr>
                <w:sz w:val="21"/>
                <w:szCs w:val="21"/>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1"/>
                <w:szCs w:val="21"/>
                <w:color w:val="auto"/>
              </w:rPr>
            </w:pPr>
          </w:p>
        </w:tc>
        <w:tc>
          <w:tcPr>
            <w:tcW w:w="8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8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97"/>
              </w:rPr>
              <w:t>1,302,500</w:t>
            </w:r>
          </w:p>
        </w:tc>
        <w:tc>
          <w:tcPr>
            <w:tcW w:w="14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527</w:t>
            </w:r>
          </w:p>
        </w:tc>
        <w:tc>
          <w:tcPr>
            <w:tcW w:w="1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59,275,031</w:t>
            </w:r>
          </w:p>
        </w:tc>
        <w:tc>
          <w:tcPr>
            <w:tcW w:w="14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269,657</w:t>
            </w: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(254,850)</w:t>
            </w: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15,393</w:t>
            </w:r>
          </w:p>
        </w:tc>
        <w:tc>
          <w:tcPr>
            <w:tcW w:w="8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Series A 12% convertible preferred stock dividend</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13,025</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r>
      <w:tr>
        <w:trPr>
          <w:trHeight w:val="198"/>
        </w:trPr>
        <w:tc>
          <w:tcPr>
            <w:tcW w:w="4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C super dividend redeemable convertible preferred</w:t>
            </w:r>
          </w:p>
        </w:tc>
        <w:tc>
          <w:tcPr>
            <w:tcW w:w="8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dividend</w:t>
            </w:r>
          </w:p>
        </w:tc>
        <w:tc>
          <w:tcPr>
            <w:tcW w:w="82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13,512</w:t>
            </w:r>
          </w:p>
        </w:tc>
        <w:tc>
          <w:tcPr>
            <w:tcW w:w="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r>
      <w:tr>
        <w:trPr>
          <w:trHeight w:val="198"/>
        </w:trPr>
        <w:tc>
          <w:tcPr>
            <w:tcW w:w="4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from exercise of warrants and</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39,737</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587</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587</w:t>
            </w: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(8,520)</w:t>
            </w: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(8,520)</w:t>
            </w:r>
          </w:p>
        </w:tc>
      </w:tr>
      <w:tr>
        <w:trPr>
          <w:trHeight w:val="257"/>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2021</w:t>
            </w:r>
          </w:p>
        </w:tc>
        <w:tc>
          <w:tcPr>
            <w:tcW w:w="82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97"/>
              </w:rPr>
              <w:t>1,302,500</w:t>
            </w:r>
          </w:p>
        </w:tc>
        <w:tc>
          <w:tcPr>
            <w:tcW w:w="140" w:type="dxa"/>
            <w:vAlign w:val="bottom"/>
            <w:tcBorders>
              <w:bottom w:val="single" w:sz="8" w:color="CCEEFF"/>
              <w:right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527</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59,341,305</w:t>
            </w:r>
          </w:p>
        </w:tc>
        <w:tc>
          <w:tcPr>
            <w:tcW w:w="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4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270,347</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(263,407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7,526</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09"/>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1,302,500</w:t>
            </w:r>
          </w:p>
        </w:tc>
        <w:tc>
          <w:tcPr>
            <w:tcW w:w="480" w:type="dxa"/>
            <w:vAlign w:val="bottom"/>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510</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59,395,805</w:t>
            </w:r>
          </w:p>
        </w:tc>
        <w:tc>
          <w:tcPr>
            <w:tcW w:w="52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272,772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(290,287)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(16,946)</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12% convertible preferred stock dividend</w:t>
            </w:r>
          </w:p>
        </w:tc>
        <w:tc>
          <w:tcPr>
            <w:tcW w:w="8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12,600</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r>
      <w:tr>
        <w:trPr>
          <w:trHeight w:val="198"/>
        </w:trPr>
        <w:tc>
          <w:tcPr>
            <w:tcW w:w="4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C super dividend redeemable convertible preferred</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dividend</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17,600</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20"/>
                <w:szCs w:val="20"/>
                <w:color w:val="auto"/>
              </w:rPr>
            </w:pP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r>
      <w:tr>
        <w:trPr>
          <w:trHeight w:val="198"/>
        </w:trPr>
        <w:tc>
          <w:tcPr>
            <w:tcW w:w="4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purchase warrants from</w:t>
            </w:r>
          </w:p>
        </w:tc>
        <w:tc>
          <w:tcPr>
            <w:tcW w:w="8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line of credit</w:t>
            </w:r>
          </w:p>
        </w:tc>
        <w:tc>
          <w:tcPr>
            <w:tcW w:w="82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738</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738</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681</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681</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(8,597)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(8,597)</w:t>
            </w:r>
          </w:p>
        </w:tc>
      </w:tr>
      <w:tr>
        <w:trPr>
          <w:trHeight w:val="27"/>
        </w:trPr>
        <w:tc>
          <w:tcPr>
            <w:tcW w:w="42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1,260,000</w:t>
            </w:r>
          </w:p>
        </w:tc>
        <w:tc>
          <w:tcPr>
            <w:tcW w:w="480" w:type="dxa"/>
            <w:vAlign w:val="bottom"/>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510</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59,426,005</w:t>
            </w:r>
          </w:p>
        </w:tc>
        <w:tc>
          <w:tcPr>
            <w:tcW w:w="52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274,241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(298,868) $</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(24,058)</w:t>
            </w:r>
          </w:p>
        </w:tc>
      </w:tr>
      <w:tr>
        <w:trPr>
          <w:trHeight w:val="21"/>
        </w:trPr>
        <w:tc>
          <w:tcPr>
            <w:tcW w:w="4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64"/>
        </w:trPr>
        <w:tc>
          <w:tcPr>
            <w:tcW w:w="4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
        </w:trPr>
        <w:tc>
          <w:tcPr>
            <w:tcW w:w="4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31" w:lineRule="exact"/>
        <w:rPr>
          <w:sz w:val="20"/>
          <w:szCs w:val="20"/>
          <w:color w:val="auto"/>
        </w:rPr>
      </w:pPr>
    </w:p>
    <w:p>
      <w:pPr>
        <w:ind w:right="500"/>
        <w:spacing w:after="0" w:line="250" w:lineRule="auto"/>
        <w:rPr>
          <w:sz w:val="20"/>
          <w:szCs w:val="20"/>
          <w:color w:val="auto"/>
        </w:rPr>
      </w:pPr>
      <w:r>
        <w:rPr>
          <w:rFonts w:ascii="Times New Roman" w:cs="Times New Roman" w:eastAsia="Times New Roman" w:hAnsi="Times New Roman"/>
          <w:sz w:val="18"/>
          <w:szCs w:val="18"/>
          <w:b w:val="1"/>
          <w:bCs w:val="1"/>
          <w:color w:val="auto"/>
        </w:rPr>
        <w:t>CONSOLIDATED STATEMENTS OF CHANGES IN REDEEMABLE CONVERTIBLE PREFERRED STOCK AND STOCKHOLDERS’ EQUITY (DEFICIT) — (Continued)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2022 and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42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Series A 12%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42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Convertible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4220" w:type="dxa"/>
            <w:vAlign w:val="bottom"/>
          </w:tcPr>
          <w:p>
            <w:pPr>
              <w:spacing w:after="0"/>
              <w:rPr>
                <w:sz w:val="21"/>
                <w:szCs w:val="21"/>
                <w:color w:val="auto"/>
              </w:rPr>
            </w:pPr>
          </w:p>
        </w:tc>
        <w:tc>
          <w:tcPr>
            <w:tcW w:w="188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42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422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16"/>
        </w:trPr>
        <w:tc>
          <w:tcPr>
            <w:tcW w:w="422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of</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80" w:type="dxa"/>
            <w:vAlign w:val="bottom"/>
          </w:tcPr>
          <w:p>
            <w:pPr>
              <w:spacing w:after="0"/>
              <w:rPr>
                <w:sz w:val="18"/>
                <w:szCs w:val="18"/>
                <w:color w:val="auto"/>
              </w:rPr>
            </w:pPr>
          </w:p>
        </w:tc>
        <w:tc>
          <w:tcPr>
            <w:tcW w:w="98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45"/>
        </w:trPr>
        <w:tc>
          <w:tcPr>
            <w:tcW w:w="4220" w:type="dxa"/>
            <w:vAlign w:val="bottom"/>
          </w:tcPr>
          <w:p>
            <w:pPr>
              <w:spacing w:after="0"/>
              <w:rPr>
                <w:sz w:val="21"/>
                <w:szCs w:val="21"/>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1,302,500</w:t>
            </w:r>
          </w:p>
        </w:tc>
        <w:tc>
          <w:tcPr>
            <w:tcW w:w="1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527</w:t>
            </w:r>
          </w:p>
        </w:tc>
        <w:tc>
          <w:tcPr>
            <w:tcW w:w="160" w:type="dxa"/>
            <w:vAlign w:val="bottom"/>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57,077,055</w:t>
            </w: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261,883</w:t>
            </w: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(239,996)</w:t>
            </w: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22,470</w:t>
            </w:r>
          </w:p>
        </w:tc>
        <w:tc>
          <w:tcPr>
            <w:tcW w:w="8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Series A 12% convertible preferred stock dividend</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26,050</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r>
      <w:tr>
        <w:trPr>
          <w:trHeight w:val="198"/>
        </w:trPr>
        <w:tc>
          <w:tcPr>
            <w:tcW w:w="4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C super dividend redeemable convertible preferred</w:t>
            </w:r>
          </w:p>
        </w:tc>
        <w:tc>
          <w:tcPr>
            <w:tcW w:w="8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dividend</w:t>
            </w:r>
          </w:p>
        </w:tc>
        <w:tc>
          <w:tcPr>
            <w:tcW w:w="84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31,112</w:t>
            </w:r>
          </w:p>
        </w:tc>
        <w:tc>
          <w:tcPr>
            <w:tcW w:w="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845,214</w:t>
            </w:r>
          </w:p>
        </w:tc>
        <w:tc>
          <w:tcPr>
            <w:tcW w:w="52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3,864</w:t>
            </w:r>
          </w:p>
        </w:tc>
      </w:tr>
      <w:tr>
        <w:trPr>
          <w:trHeight w:val="198"/>
        </w:trPr>
        <w:tc>
          <w:tcPr>
            <w:tcW w:w="4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for exercise of warrants and</w:t>
            </w:r>
          </w:p>
        </w:tc>
        <w:tc>
          <w:tcPr>
            <w:tcW w:w="8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84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1,329,181</w:t>
            </w:r>
          </w:p>
        </w:tc>
        <w:tc>
          <w:tcPr>
            <w:tcW w:w="5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2,951</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32,693</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1,482</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(23,306)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(23,306)</w:t>
            </w:r>
          </w:p>
        </w:tc>
      </w:tr>
      <w:tr>
        <w:trPr>
          <w:trHeight w:val="27"/>
        </w:trPr>
        <w:tc>
          <w:tcPr>
            <w:tcW w:w="4220" w:type="dxa"/>
            <w:vAlign w:val="bottom"/>
            <w:shd w:val="clear" w:color="auto" w:fill="CCEEFF"/>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1,302,500</w:t>
            </w:r>
          </w:p>
        </w:tc>
        <w:tc>
          <w:tcPr>
            <w:tcW w:w="140" w:type="dxa"/>
            <w:vAlign w:val="bottom"/>
          </w:tcPr>
          <w:p>
            <w:pPr>
              <w:spacing w:after="0"/>
              <w:rPr>
                <w:sz w:val="18"/>
                <w:szCs w:val="18"/>
                <w:color w:val="auto"/>
              </w:rPr>
            </w:pP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527</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59,341,305</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270,347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(263,407) $</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7,526</w:t>
            </w:r>
          </w:p>
        </w:tc>
      </w:tr>
      <w:tr>
        <w:trPr>
          <w:trHeight w:val="20"/>
        </w:trPr>
        <w:tc>
          <w:tcPr>
            <w:tcW w:w="4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1,302,500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527</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59,341,305</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271,001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(270,694)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893</w:t>
            </w:r>
          </w:p>
        </w:tc>
        <w:tc>
          <w:tcPr>
            <w:tcW w:w="8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Series A 12% convertible preferred stock dividend</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25,625</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r>
      <w:tr>
        <w:trPr>
          <w:trHeight w:val="198"/>
        </w:trPr>
        <w:tc>
          <w:tcPr>
            <w:tcW w:w="4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C super dividend redeemable convertible preferred</w:t>
            </w:r>
          </w:p>
        </w:tc>
        <w:tc>
          <w:tcPr>
            <w:tcW w:w="8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dividend</w:t>
            </w:r>
          </w:p>
        </w:tc>
        <w:tc>
          <w:tcPr>
            <w:tcW w:w="84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35,200</w:t>
            </w:r>
          </w:p>
        </w:tc>
        <w:tc>
          <w:tcPr>
            <w:tcW w:w="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r>
      <w:tr>
        <w:trPr>
          <w:trHeight w:val="198"/>
        </w:trPr>
        <w:tc>
          <w:tcPr>
            <w:tcW w:w="4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from conversion of Series A</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(42,500)</w:t>
            </w:r>
          </w:p>
        </w:tc>
        <w:tc>
          <w:tcPr>
            <w:tcW w:w="440" w:type="dxa"/>
            <w:vAlign w:val="bottom"/>
          </w:tcPr>
          <w:p>
            <w:pPr>
              <w:spacing w:after="0"/>
              <w:rPr>
                <w:sz w:val="20"/>
                <w:szCs w:val="20"/>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(17)</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7,287</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4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purchase warrants from</w:t>
            </w:r>
          </w:p>
        </w:tc>
        <w:tc>
          <w:tcPr>
            <w:tcW w:w="8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line of credit</w:t>
            </w:r>
          </w:p>
        </w:tc>
        <w:tc>
          <w:tcPr>
            <w:tcW w:w="84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738</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Accrued bonus paid in stock</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16,588</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2,186</w:t>
            </w: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(28,142)</w:t>
            </w: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(28,142)</w:t>
            </w:r>
          </w:p>
        </w:tc>
      </w:tr>
      <w:tr>
        <w:trPr>
          <w:trHeight w:val="256"/>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1,260,000</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510</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auto"/>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59,426,005</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274,241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(298,868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(24,058)</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Galectin Therapeutics Inc. and subsidiaries (the “Company”) is a clinical stage biopharmaceutical company that is applying its leadership in galectin science and drug development to create new therapies for fibrotic disease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180"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as reported in this Quarterly Report on Form 10-Q reflect all adjustments which are, in the opinion of management, necessary to present fairly the financial position of the Company as of September 30, 2022 and the results of its operations for the three and nine months ended September 30, 2022 and 2021 and its cash flows for the nine months ended September 30, 2022 and 2021. All adjustments made to the interim financial statements include all those of a normal and recurring nature. Amounts presented in the condensed consolidated balance sheet as of December 31, 2021 are derived from the Company’s audited consolidated financial statements as of that date, but do not include all of the information and footnotes required by accounting principles generally accepted in the United States of America for complete financial statements.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these financial statements are available to be issued. The results for interim periods are not necessarily indicative of results that may be expected for any other interim period or for the full year. The unaudited condensed consolidated financial statements of the Company should be read in conjunction with its Annual Report on Form 10-K for the year ended December 31, 2021.</w:t>
      </w:r>
    </w:p>
    <w:p>
      <w:pPr>
        <w:spacing w:after="0" w:line="124"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The Company has operated at a loss since its inception and has had no revenues. The Company anticipates that losses will continue for the foreseeable future. At September 30, 2022, the company had $15,831,000 of unrestricted cash and cash equivalents available to fund future operations. In July 2022, the Company entered into a $60 million unsecured line of credit financing with its chairman, Richard E. Uihlein (See Note 5). The Company believes there is sufficient cash, including availability of the line of credit, to fund currently planned operations at least through December 31, 2024. To meet its future capital needs, the Company intends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 The Company has the ability to delay certain research activities and related clinical expenses if necessary due to liquidity concerns until a date when those concerns are relieved.</w:t>
      </w:r>
    </w:p>
    <w:p>
      <w:pPr>
        <w:spacing w:after="0" w:line="188"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The Company was founded in July 2000, was incorporated in the State of Nevada in January 2001 under the name “Pro-Pharmaceuticals, Inc.,” and changed its name to “Galectin Therapeutics Inc.” on May 26, 2011.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 Accrued Expenses and Other</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accounting fees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751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costs and 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6,359</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Research and development expenses, including personnel costs, allocated facility costs, lab supplies, outside services, contract laboratory costs related to manufacturing drug product, clinical trials and preclinical studies are charged to research and development expense as incurred. The Company accounts for nonrefundable advance payments for goods and services that will be used in future research and development activities as expense when the service has been performed or when the goods have been received. Our current NAVIGATE clinical trial is being supported by third-party contract research organizations, or CROs, and other vendors. We accrue expenses for clinical trial activities performed by CROs based upon the estimated amount of work completed on each trial. For clinical trial expenses and related expenses associated with the conduct of clinical trials, the significant factors used in estimating accruals include the number of patients enrolled, the number of active clinical sites, and the duration for which the patients have been enrolled in the trial. We monitor patient enrollment levels and related activities to the extent possible through internal reviews, review of contractual terms and correspondence with CROs. We base our estimates on the best information available at the time. We monitor patient enrollment levels and related activities to the extent possible through discussions with CRO personnel and based our estimates of clinical trial costs on the best information available at the time. However, additional information may become available to us which will allow us to make a more accurate estimate in future periods. In that event, we may be required to record adjustments to research and development expenses in future periods when the actual level of activity becomes more certain.</w:t>
      </w:r>
    </w:p>
    <w:p>
      <w:pPr>
        <w:sectPr>
          <w:pgSz w:w="11900" w:h="16838" w:orient="portrait"/>
          <w:cols w:equalWidth="0" w:num="1">
            <w:col w:w="11240"/>
          </w:cols>
          <w:pgMar w:left="320" w:top="115" w:right="339" w:bottom="1440" w:gutter="0" w:footer="0" w:header="0"/>
        </w:sect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Convertible Notes Payable – Related Party</w:t>
      </w:r>
    </w:p>
    <w:p>
      <w:pPr>
        <w:spacing w:after="0" w:line="229" w:lineRule="exact"/>
        <w:rPr>
          <w:sz w:val="20"/>
          <w:szCs w:val="20"/>
          <w:color w:val="auto"/>
        </w:rPr>
      </w:pPr>
    </w:p>
    <w:p>
      <w:pPr>
        <w:ind w:right="460" w:firstLine="441"/>
        <w:spacing w:after="0" w:line="266" w:lineRule="auto"/>
        <w:rPr>
          <w:sz w:val="20"/>
          <w:szCs w:val="20"/>
          <w:color w:val="auto"/>
        </w:rPr>
      </w:pPr>
      <w:r>
        <w:rPr>
          <w:rFonts w:ascii="Times New Roman" w:cs="Times New Roman" w:eastAsia="Times New Roman" w:hAnsi="Times New Roman"/>
          <w:sz w:val="18"/>
          <w:szCs w:val="18"/>
          <w:color w:val="auto"/>
        </w:rPr>
        <w:t>On April 16, 2021, the Company and Richard E. Uihlein entered into a debt financing arrangement whereby Mr. Uihlein loaned $10,000,000 to Company. In consideration for the loan, the Company issued a convertible promissory note (the “April Note”) in the principal amount of ten million dollars.</w:t>
      </w:r>
    </w:p>
    <w:p>
      <w:pPr>
        <w:spacing w:after="0" w:line="176"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The April Note has a maturity date of April 16, 2025, is prepayable at the option of the Company in whole or in part at any time and is convertible into the Company’s common stock at a conversion price equal to $5.00 per share at the option of the noteholder. The April Note bears interest at the rate of two percent (2%) per annum, compounded annually. For the three and nine months ended September 30, 2022, approximately $50,000 and $150,000 of interest expense, respectively, was accrued and included with the principal in the financial statements. Inception to September 30, 2022, approximately $292,000 of interest expense has been accrued and included with the principal balance.</w:t>
      </w:r>
    </w:p>
    <w:p>
      <w:pPr>
        <w:spacing w:after="0" w:line="183"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color w:val="auto"/>
        </w:rPr>
        <w:t>The April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April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April Note at its inception. The fair value of the contingent interest derivative liability was $420,000 and $373,000 at note inception (April 16, 2021) and September 30, 2022, respectively, and is recognized as a derivative liability in the consolidated balance sheet. The change in the fair value of the derivative liability from December 31, 2021 to September 30, 2022 of ($122,000) was charged to other income for the nine months ended September 30, 2022. The amortization of the debt discount of $420,000 recorded initially upon note inception of $79,000 was recorded as additional interest expense for the for the nine months ended September 30, 2022.</w:t>
      </w:r>
    </w:p>
    <w:p>
      <w:pPr>
        <w:spacing w:after="0" w:line="194"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On September 17, 2021, the Company and Mr. Uihlein entered into a loan agreement in the aggregate of $20,000,000 (the “Loan Agreement”) to be funded in two closings and evidenced by two separate unsecured convertible promissory notes. The first of the two promissory notes was also executed and delivered on September 17, 2021, (the “September Note”) to evidence the first loan in the principal amount of $10,000,000. The second closing under the Loan Agreement for the remaining $10,000,000 occurred on December 20, 2021.</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September Note has a maturity date of September 17, 2025, is prepayable at the option of the Company in whole or in part at any time and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into the Company’s common stock at a conversion price equal to $8.64 per share at the option of the noteholder. The September Note bears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at the rate of two percent (2%) per annum, compounded annually. For the three and nine months ended September 30, 2022,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 and $150,000, respectively, of interest expense was accrued and included with the principal in the financial statements. Inception to September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approximately $207,000 of interest expense has been accrued and included with the principal balance.</w:t>
      </w:r>
    </w:p>
    <w:p>
      <w:pPr>
        <w:spacing w:after="0" w:line="207"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The September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September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September Note at its inception. The fair value of the contingent interest derivative liability was $433,000 and $177,000 at note inception (September 17, 2021) and September 30, 2022, respectively, and is recognized as a derivative liability in the consolidated balance sheet. The change in the fair value of the derivative liability from December 31, 2021 to September 30, 2022 of ($73,000) was recorded to other income for the nine months ended September 30, 2022. The amortization of the debt discount of $433,000 recorded initially upon note inception of $81,000 was recorded as additional interest expense for the nine months ended September 30, 2022.</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20" w:firstLine="441"/>
        <w:spacing w:after="0" w:line="255" w:lineRule="auto"/>
        <w:rPr>
          <w:sz w:val="20"/>
          <w:szCs w:val="20"/>
          <w:color w:val="auto"/>
        </w:rPr>
      </w:pPr>
      <w:r>
        <w:rPr>
          <w:rFonts w:ascii="Times New Roman" w:cs="Times New Roman" w:eastAsia="Times New Roman" w:hAnsi="Times New Roman"/>
          <w:sz w:val="18"/>
          <w:szCs w:val="18"/>
          <w:color w:val="auto"/>
        </w:rPr>
        <w:t>On December 20, 2021, the second of the two promissory notes under the Loan Agreement was executed and delivered, (the “December Note”) to evidence the second loan in the principal amount of $10,000,000. The December Note has a maturity date of December 20, 2025, is prepayable at the option of the Company in whole or in part at any time and is convertible into the Company’s common stock at a conversion price equal to $5.43 per share at the option of the noteholder. The December Note bears interest at the rate of two percent (2%) per annum, compounded annually. For the three and nine months ended September 30, 2022, approximately $50,000 and $150,000, respectively, of interest expense was accrued and included with the principal in the financial statements. Inception to September 30, 2022, approximately $156,000 of interest expense has been accrued and included with the principal balance.</w:t>
      </w:r>
    </w:p>
    <w:p>
      <w:pPr>
        <w:spacing w:after="0" w:line="189"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The December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December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December Note at its inception. The fair value of the contingent interest derivative liability was $415,000 and $301,000 at note inception (December 20, 2021) and September 30, 2022, respectively, and is recognized as a derivative liability in the consolidated balance sheet. The change in the fair value of the derivative liability from December 31, 2021 to September 30, 2022 of ($85,000) was recorded to other income for nine months ended September 30, 2022. The amortization of the debt discount of $415,000 recorded initially upon note inception of $78,000 was recorded as additional interest expense for the for nine months ended September 30, 2022.</w:t>
      </w:r>
    </w:p>
    <w:p>
      <w:pPr>
        <w:spacing w:after="0" w:line="194" w:lineRule="exact"/>
        <w:rPr>
          <w:sz w:val="20"/>
          <w:szCs w:val="20"/>
          <w:color w:val="auto"/>
        </w:rPr>
      </w:pPr>
    </w:p>
    <w:p>
      <w:pPr>
        <w:ind w:right="60" w:firstLine="441"/>
        <w:spacing w:after="0" w:line="289" w:lineRule="auto"/>
        <w:rPr>
          <w:sz w:val="20"/>
          <w:szCs w:val="20"/>
          <w:color w:val="auto"/>
        </w:rPr>
      </w:pPr>
      <w:r>
        <w:rPr>
          <w:rFonts w:ascii="Times New Roman" w:cs="Times New Roman" w:eastAsia="Times New Roman" w:hAnsi="Times New Roman"/>
          <w:sz w:val="17"/>
          <w:szCs w:val="17"/>
          <w:color w:val="auto"/>
        </w:rPr>
        <w:t>The Company’s contractual cash obligations related to the outstanding convertible notes payable is a repayment of the April Note of the $10,000,000 plus accrued interest on April 16, 2025 and a repayment of the September Note of the $10,000,000 plus accrued interest on September 17, 2025 and a repayment of the December Note of the $10,000,000 plus accrued interest on December 30, 2025, unless converted at the option of the noteholder.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229" w:lineRule="exact"/>
        <w:rPr>
          <w:sz w:val="20"/>
          <w:szCs w:val="20"/>
          <w:color w:val="auto"/>
        </w:rPr>
      </w:pPr>
    </w:p>
    <w:p>
      <w:pPr>
        <w:ind w:right="140" w:firstLine="441"/>
        <w:spacing w:after="0" w:line="255" w:lineRule="auto"/>
        <w:rPr>
          <w:sz w:val="20"/>
          <w:szCs w:val="20"/>
          <w:color w:val="auto"/>
        </w:rPr>
      </w:pPr>
      <w:r>
        <w:rPr>
          <w:rFonts w:ascii="Times New Roman" w:cs="Times New Roman" w:eastAsia="Times New Roman" w:hAnsi="Times New Roman"/>
          <w:sz w:val="18"/>
          <w:szCs w:val="18"/>
          <w:color w:val="auto"/>
        </w:rPr>
        <w:t>The Company has certain financial assets and liabilities recorded at fair value. Fair values determined by Level 1 inputs 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carrying amounts reflected in the consolidated balance sheets for cash equivalents, accounts payable and accrued expenses approximate their carrying value due to their short-term nature. There were no level 2 assets or liabilities at September 30, 2022 or December 31, 2021. See below for Fair Value of Derivatives related to Convertible Notes Payable at September 30, 2022 and December 31, 2021, which are level 3 liabilities.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Assets and liabilities measured and recorded at fair value on a recurring basis at September 30, 2022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Contingent Interest April Note</w:t>
            </w:r>
          </w:p>
        </w:tc>
        <w:tc>
          <w:tcPr>
            <w:tcW w:w="17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373,000</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373,000</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Liability – Contingent Interest September Note</w:t>
            </w:r>
          </w:p>
        </w:tc>
        <w:tc>
          <w:tcPr>
            <w:tcW w:w="17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177,000</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177,000</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Contingent Interest December Note</w:t>
            </w:r>
          </w:p>
        </w:tc>
        <w:tc>
          <w:tcPr>
            <w:tcW w:w="17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301,000</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301,000</w:t>
            </w:r>
          </w:p>
        </w:tc>
      </w:tr>
    </w:tbl>
    <w:p>
      <w:pPr>
        <w:spacing w:after="0" w:line="198" w:lineRule="exact"/>
        <w:rPr>
          <w:sz w:val="20"/>
          <w:szCs w:val="20"/>
          <w:color w:val="auto"/>
        </w:rPr>
      </w:pPr>
    </w:p>
    <w:p>
      <w:pPr>
        <w:ind w:right="880" w:firstLine="437"/>
        <w:spacing w:after="0" w:line="282" w:lineRule="auto"/>
        <w:rPr>
          <w:sz w:val="20"/>
          <w:szCs w:val="20"/>
          <w:color w:val="auto"/>
        </w:rPr>
      </w:pPr>
      <w:r>
        <w:rPr>
          <w:rFonts w:ascii="Times New Roman" w:cs="Times New Roman" w:eastAsia="Times New Roman" w:hAnsi="Times New Roman"/>
          <w:sz w:val="18"/>
          <w:szCs w:val="18"/>
          <w:color w:val="auto"/>
        </w:rPr>
        <w:t>The April Note derivative liability – contingent interest was valued using a Monte Carlo Geometric Brownian Stock Path Model. The key assumptions used in the model at inception, and at September 30, 2022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42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Inception</w:t>
            </w:r>
          </w:p>
        </w:tc>
        <w:tc>
          <w:tcPr>
            <w:tcW w:w="220" w:type="dxa"/>
            <w:vAlign w:val="bottom"/>
          </w:tcPr>
          <w:p>
            <w:pPr>
              <w:spacing w:after="0"/>
              <w:rPr>
                <w:sz w:val="21"/>
                <w:szCs w:val="21"/>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1"/>
                <w:szCs w:val="2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4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Conversion Price of conversion feature</w:t>
            </w:r>
          </w:p>
        </w:tc>
        <w:tc>
          <w:tcPr>
            <w:tcW w:w="4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w:t>
            </w:r>
          </w:p>
        </w:tc>
        <w:tc>
          <w:tcPr>
            <w:tcW w:w="4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 years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2.54 years</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0.59%</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Adjusted Discount Rate</w:t>
            </w:r>
          </w:p>
        </w:tc>
        <w:tc>
          <w:tcPr>
            <w:tcW w:w="4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17.42%</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4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786"/>
        </w:trPr>
        <w:tc>
          <w:tcPr>
            <w:tcW w:w="4200" w:type="dxa"/>
            <w:vAlign w:val="bottom"/>
          </w:tcPr>
          <w:p>
            <w:pPr>
              <w:spacing w:after="0"/>
              <w:rPr>
                <w:sz w:val="24"/>
                <w:szCs w:val="24"/>
                <w:color w:val="auto"/>
              </w:rPr>
            </w:pPr>
          </w:p>
        </w:tc>
        <w:tc>
          <w:tcPr>
            <w:tcW w:w="4400" w:type="dxa"/>
            <w:vAlign w:val="bottom"/>
          </w:tcPr>
          <w:p>
            <w:pPr>
              <w:jc w:val="right"/>
              <w:ind w:right="2819"/>
              <w:spacing w:after="0"/>
              <w:rPr>
                <w:sz w:val="20"/>
                <w:szCs w:val="20"/>
                <w:color w:val="auto"/>
              </w:rPr>
            </w:pPr>
            <w:r>
              <w:rPr>
                <w:rFonts w:ascii="Times New Roman" w:cs="Times New Roman" w:eastAsia="Times New Roman" w:hAnsi="Times New Roman"/>
                <w:sz w:val="14"/>
                <w:szCs w:val="14"/>
                <w:color w:val="auto"/>
              </w:rPr>
              <w:t>11</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
        </w:trPr>
        <w:tc>
          <w:tcPr>
            <w:tcW w:w="4200" w:type="dxa"/>
            <w:vAlign w:val="bottom"/>
            <w:tcBorders>
              <w:bottom w:val="single" w:sz="8" w:color="auto"/>
            </w:tcBorders>
          </w:tcPr>
          <w:p>
            <w:pPr>
              <w:spacing w:after="0"/>
              <w:rPr>
                <w:sz w:val="3"/>
                <w:szCs w:val="3"/>
                <w:color w:val="auto"/>
              </w:rPr>
            </w:pPr>
          </w:p>
        </w:tc>
        <w:tc>
          <w:tcPr>
            <w:tcW w:w="44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9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10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The roll forward of the April Note derivative liability – contingent interest is as follows: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April convertible note payable – related party</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100" w:type="dxa"/>
            <w:vAlign w:val="bottom"/>
          </w:tcPr>
          <w:p>
            <w:pPr>
              <w:spacing w:after="0"/>
              <w:rPr>
                <w:sz w:val="18"/>
                <w:szCs w:val="18"/>
                <w:color w:val="auto"/>
              </w:rPr>
            </w:pPr>
          </w:p>
        </w:tc>
      </w:tr>
      <w:tr>
        <w:trPr>
          <w:trHeight w:val="223"/>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75,000</w:t>
            </w:r>
          </w:p>
        </w:tc>
      </w:tr>
      <w:tr>
        <w:trPr>
          <w:trHeight w:val="216"/>
        </w:trPr>
        <w:tc>
          <w:tcPr>
            <w:tcW w:w="100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Balance – December 31, 2021</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495,000</w:t>
            </w:r>
          </w:p>
        </w:tc>
        <w:tc>
          <w:tcPr>
            <w:tcW w:w="100" w:type="dxa"/>
            <w:vAlign w:val="bottom"/>
            <w:tcBorders>
              <w:top w:val="single" w:sz="8" w:color="CCEEFF"/>
            </w:tcBorders>
          </w:tcPr>
          <w:p>
            <w:pPr>
              <w:spacing w:after="0"/>
              <w:rPr>
                <w:sz w:val="18"/>
                <w:szCs w:val="18"/>
                <w:color w:val="auto"/>
              </w:rPr>
            </w:pPr>
          </w:p>
        </w:tc>
      </w:tr>
      <w:tr>
        <w:trPr>
          <w:trHeight w:val="223"/>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(122,000)</w:t>
            </w:r>
          </w:p>
        </w:tc>
      </w:tr>
      <w:tr>
        <w:trPr>
          <w:trHeight w:val="223"/>
        </w:trPr>
        <w:tc>
          <w:tcPr>
            <w:tcW w:w="100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Balance – September 30, 2022</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373,000</w:t>
            </w:r>
          </w:p>
        </w:tc>
        <w:tc>
          <w:tcPr>
            <w:tcW w:w="100" w:type="dxa"/>
            <w:vAlign w:val="bottom"/>
            <w:tcBorders>
              <w:top w:val="single" w:sz="8" w:color="CCEEFF"/>
            </w:tcBorders>
          </w:tcPr>
          <w:p>
            <w:pPr>
              <w:spacing w:after="0"/>
              <w:rPr>
                <w:sz w:val="19"/>
                <w:szCs w:val="19"/>
                <w:color w:val="auto"/>
              </w:rPr>
            </w:pPr>
          </w:p>
        </w:tc>
      </w:tr>
    </w:tbl>
    <w:p>
      <w:pPr>
        <w:spacing w:after="0" w:line="198" w:lineRule="exact"/>
        <w:rPr>
          <w:sz w:val="20"/>
          <w:szCs w:val="20"/>
          <w:color w:val="auto"/>
        </w:rPr>
      </w:pPr>
    </w:p>
    <w:p>
      <w:pPr>
        <w:ind w:right="480" w:firstLine="437"/>
        <w:spacing w:after="0" w:line="282" w:lineRule="auto"/>
        <w:rPr>
          <w:sz w:val="20"/>
          <w:szCs w:val="20"/>
          <w:color w:val="auto"/>
        </w:rPr>
      </w:pPr>
      <w:r>
        <w:rPr>
          <w:rFonts w:ascii="Times New Roman" w:cs="Times New Roman" w:eastAsia="Times New Roman" w:hAnsi="Times New Roman"/>
          <w:sz w:val="18"/>
          <w:szCs w:val="18"/>
          <w:color w:val="auto"/>
        </w:rPr>
        <w:t>The September Note derivative liability – contingent interest was valued using a Monte Carlo Geometric Brownian Stock Path Model. The key assumptions used in the model at inception, and at September 30, 2022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Inception</w:t>
            </w:r>
          </w:p>
        </w:tc>
        <w:tc>
          <w:tcPr>
            <w:tcW w:w="100" w:type="dxa"/>
            <w:vAlign w:val="bottom"/>
          </w:tcPr>
          <w:p>
            <w:pPr>
              <w:spacing w:after="0"/>
              <w:rPr>
                <w:sz w:val="21"/>
                <w:szCs w:val="21"/>
                <w:color w:val="auto"/>
              </w:rPr>
            </w:pPr>
          </w:p>
        </w:tc>
        <w:tc>
          <w:tcPr>
            <w:tcW w:w="168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September 30, 2022</w:t>
            </w: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Conversion Price of conversion feature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 years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2.97 years</w:t>
            </w: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Adjusted Discount Rate</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17.42%</w:t>
            </w: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8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roll forward of the September Note derivative liability – contingent interest is as follows:</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September convertible note payable – related party</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433,000</w:t>
            </w:r>
          </w:p>
        </w:tc>
        <w:tc>
          <w:tcPr>
            <w:tcW w:w="100" w:type="dxa"/>
            <w:vAlign w:val="bottom"/>
          </w:tcPr>
          <w:p>
            <w:pPr>
              <w:spacing w:after="0"/>
              <w:rPr>
                <w:sz w:val="18"/>
                <w:szCs w:val="18"/>
                <w:color w:val="auto"/>
              </w:rPr>
            </w:pPr>
          </w:p>
        </w:tc>
      </w:tr>
      <w:tr>
        <w:trPr>
          <w:trHeight w:val="223"/>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(183,000)</w:t>
            </w:r>
          </w:p>
        </w:tc>
      </w:tr>
      <w:tr>
        <w:trPr>
          <w:trHeight w:val="216"/>
        </w:trPr>
        <w:tc>
          <w:tcPr>
            <w:tcW w:w="80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 December 31, 2021</w:t>
            </w: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Borders>
              <w:top w:val="single" w:sz="8" w:color="CCEEFF"/>
            </w:tcBorders>
          </w:tcPr>
          <w:p>
            <w:pPr>
              <w:spacing w:after="0"/>
              <w:rPr>
                <w:sz w:val="18"/>
                <w:szCs w:val="18"/>
                <w:color w:val="auto"/>
              </w:rPr>
            </w:pPr>
          </w:p>
        </w:tc>
      </w:tr>
      <w:tr>
        <w:trPr>
          <w:trHeight w:val="223"/>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(73,000)</w:t>
            </w:r>
          </w:p>
        </w:tc>
      </w:tr>
      <w:tr>
        <w:trPr>
          <w:trHeight w:val="223"/>
        </w:trPr>
        <w:tc>
          <w:tcPr>
            <w:tcW w:w="80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 September 30, 2022</w:t>
            </w:r>
          </w:p>
        </w:tc>
        <w:tc>
          <w:tcPr>
            <w:tcW w:w="14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177,000</w:t>
            </w:r>
          </w:p>
        </w:tc>
        <w:tc>
          <w:tcPr>
            <w:tcW w:w="100" w:type="dxa"/>
            <w:vAlign w:val="bottom"/>
            <w:tcBorders>
              <w:top w:val="single" w:sz="8" w:color="CCEEFF"/>
            </w:tcBorders>
          </w:tcPr>
          <w:p>
            <w:pPr>
              <w:spacing w:after="0"/>
              <w:rPr>
                <w:sz w:val="19"/>
                <w:szCs w:val="19"/>
                <w:color w:val="auto"/>
              </w:rPr>
            </w:pPr>
          </w:p>
        </w:tc>
      </w:tr>
    </w:tbl>
    <w:p>
      <w:pPr>
        <w:spacing w:after="0" w:line="198" w:lineRule="exact"/>
        <w:rPr>
          <w:sz w:val="20"/>
          <w:szCs w:val="20"/>
          <w:color w:val="auto"/>
        </w:rPr>
      </w:pPr>
    </w:p>
    <w:p>
      <w:pPr>
        <w:ind w:right="520" w:firstLine="437"/>
        <w:spacing w:after="0" w:line="282" w:lineRule="auto"/>
        <w:rPr>
          <w:sz w:val="20"/>
          <w:szCs w:val="20"/>
          <w:color w:val="auto"/>
        </w:rPr>
      </w:pPr>
      <w:r>
        <w:rPr>
          <w:rFonts w:ascii="Times New Roman" w:cs="Times New Roman" w:eastAsia="Times New Roman" w:hAnsi="Times New Roman"/>
          <w:sz w:val="18"/>
          <w:szCs w:val="18"/>
          <w:color w:val="auto"/>
        </w:rPr>
        <w:t>The December Note derivative liability – contingent interest was valued using a Monte Carlo Geometric Brownian Stock Path Model. The key assumptions used in the model at inception, and at September 30, 2022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8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Inception</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Conversion Price of conversion feature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5.43</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 years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3.22 years</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Adjusted Discount Rate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17.42%</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8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roll forward of the December Note derivative liability – contingent interest is as follows: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September convertible note payable – related party</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415,000</w:t>
            </w:r>
          </w:p>
        </w:tc>
      </w:tr>
      <w:tr>
        <w:trPr>
          <w:trHeight w:val="223"/>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8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 December 31, 2021</w:t>
            </w: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385,000</w:t>
            </w:r>
          </w:p>
        </w:tc>
        <w:tc>
          <w:tcPr>
            <w:tcW w:w="100" w:type="dxa"/>
            <w:vAlign w:val="bottom"/>
            <w:tcBorders>
              <w:top w:val="single" w:sz="8" w:color="CCEEFF"/>
            </w:tcBorders>
          </w:tcPr>
          <w:p>
            <w:pPr>
              <w:spacing w:after="0"/>
              <w:rPr>
                <w:sz w:val="18"/>
                <w:szCs w:val="18"/>
                <w:color w:val="auto"/>
              </w:rPr>
            </w:pPr>
          </w:p>
        </w:tc>
      </w:tr>
      <w:tr>
        <w:trPr>
          <w:trHeight w:val="223"/>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(84,000)</w:t>
            </w:r>
          </w:p>
        </w:tc>
      </w:tr>
      <w:tr>
        <w:trPr>
          <w:trHeight w:val="223"/>
        </w:trPr>
        <w:tc>
          <w:tcPr>
            <w:tcW w:w="8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 September 30, 2022</w:t>
            </w:r>
          </w:p>
        </w:tc>
        <w:tc>
          <w:tcPr>
            <w:tcW w:w="14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301,000</w:t>
            </w:r>
          </w:p>
        </w:tc>
        <w:tc>
          <w:tcPr>
            <w:tcW w:w="100" w:type="dxa"/>
            <w:vAlign w:val="bottom"/>
            <w:tcBorders>
              <w:top w:val="single" w:sz="8" w:color="CCEEFF"/>
            </w:tcBorders>
          </w:tcPr>
          <w:p>
            <w:pPr>
              <w:spacing w:after="0"/>
              <w:rPr>
                <w:sz w:val="19"/>
                <w:szCs w:val="19"/>
                <w:color w:val="auto"/>
              </w:rPr>
            </w:pPr>
          </w:p>
        </w:tc>
      </w:tr>
      <w:tr>
        <w:trPr>
          <w:trHeight w:val="570"/>
        </w:trPr>
        <w:tc>
          <w:tcPr>
            <w:tcW w:w="8600" w:type="dxa"/>
            <w:vAlign w:val="bottom"/>
          </w:tcPr>
          <w:p>
            <w:pPr>
              <w:ind w:left="5560"/>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8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Line of Credit – Related Party</w:t>
      </w:r>
    </w:p>
    <w:p>
      <w:pPr>
        <w:spacing w:after="0" w:line="229" w:lineRule="exact"/>
        <w:rPr>
          <w:sz w:val="20"/>
          <w:szCs w:val="20"/>
          <w:color w:val="auto"/>
        </w:rPr>
      </w:pPr>
    </w:p>
    <w:p>
      <w:pPr>
        <w:ind w:right="280" w:firstLine="292"/>
        <w:spacing w:after="0" w:line="266" w:lineRule="auto"/>
        <w:rPr>
          <w:sz w:val="20"/>
          <w:szCs w:val="20"/>
          <w:color w:val="auto"/>
        </w:rPr>
      </w:pPr>
      <w:r>
        <w:rPr>
          <w:rFonts w:ascii="Times New Roman" w:cs="Times New Roman" w:eastAsia="Times New Roman" w:hAnsi="Times New Roman"/>
          <w:sz w:val="18"/>
          <w:szCs w:val="18"/>
          <w:color w:val="auto"/>
        </w:rPr>
        <w:t>On July 25, 2022, the Company and Richard E. Uihlein (the “Lender”) entered into a Line of Credit Letter Agreement (the “Credit Agreement”), pursuant to which the Lender shall provide the Company a line of credit of up to $60.0 million (the “Line of Credit”) to finance the Company’s working capital needs. The Company may draw upon the Line of Credit through July 31, 2024.</w:t>
      </w:r>
    </w:p>
    <w:p>
      <w:pPr>
        <w:spacing w:after="0" w:line="176" w:lineRule="exact"/>
        <w:rPr>
          <w:sz w:val="20"/>
          <w:szCs w:val="20"/>
          <w:color w:val="auto"/>
        </w:rPr>
      </w:pPr>
    </w:p>
    <w:p>
      <w:pPr>
        <w:jc w:val="both"/>
        <w:ind w:right="220" w:firstLine="292"/>
        <w:spacing w:after="0" w:line="261" w:lineRule="auto"/>
        <w:rPr>
          <w:sz w:val="20"/>
          <w:szCs w:val="20"/>
          <w:color w:val="auto"/>
        </w:rPr>
      </w:pPr>
      <w:r>
        <w:rPr>
          <w:rFonts w:ascii="Times New Roman" w:cs="Times New Roman" w:eastAsia="Times New Roman" w:hAnsi="Times New Roman"/>
          <w:sz w:val="18"/>
          <w:szCs w:val="18"/>
          <w:color w:val="auto"/>
        </w:rPr>
        <w:t>Each advance made pursuant to the Credit Agreement shall be evidenced by an unsecured, convertible promissory note (individually, a “Promissory Note,” and collectively, the “Promissory Notes”), and bear interest at the Applicable Federal Rate for short term loans (currently 2.84%), plus two (2%) percent. Principal and interest on the Promissory Notes are due on or before January 31, 2026. Only with the consent of the Lender, may the Promissory Notes be prepaid, in whole or in part, at any time without premium or penalty, but with interest on the amount or amounts prepaid.</w:t>
      </w:r>
    </w:p>
    <w:p>
      <w:pPr>
        <w:spacing w:after="0" w:line="180" w:lineRule="exact"/>
        <w:rPr>
          <w:sz w:val="20"/>
          <w:szCs w:val="20"/>
          <w:color w:val="auto"/>
        </w:rPr>
      </w:pPr>
    </w:p>
    <w:p>
      <w:pPr>
        <w:ind w:right="460" w:firstLine="292"/>
        <w:spacing w:after="0" w:line="266" w:lineRule="auto"/>
        <w:rPr>
          <w:sz w:val="20"/>
          <w:szCs w:val="20"/>
          <w:color w:val="auto"/>
        </w:rPr>
      </w:pPr>
      <w:r>
        <w:rPr>
          <w:rFonts w:ascii="Times New Roman" w:cs="Times New Roman" w:eastAsia="Times New Roman" w:hAnsi="Times New Roman"/>
          <w:sz w:val="18"/>
          <w:szCs w:val="18"/>
          <w:color w:val="auto"/>
        </w:rPr>
        <w:t>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176" w:lineRule="exact"/>
        <w:rPr>
          <w:sz w:val="20"/>
          <w:szCs w:val="20"/>
          <w:color w:val="auto"/>
        </w:rPr>
      </w:pPr>
    </w:p>
    <w:p>
      <w:pPr>
        <w:ind w:right="20" w:firstLine="292"/>
        <w:spacing w:after="0" w:line="255" w:lineRule="auto"/>
        <w:rPr>
          <w:sz w:val="20"/>
          <w:szCs w:val="20"/>
          <w:color w:val="auto"/>
        </w:rPr>
      </w:pPr>
      <w:r>
        <w:rPr>
          <w:rFonts w:ascii="Times New Roman" w:cs="Times New Roman" w:eastAsia="Times New Roman" w:hAnsi="Times New Roman"/>
          <w:sz w:val="18"/>
          <w:szCs w:val="18"/>
          <w:color w:val="auto"/>
        </w:rPr>
        <w:t>In connection with the Credit Agreement, the Company agreed to issue the Lender warrants to purchase up to an aggregate of 1,700,000 shares of the Company’s common stock, par value $0.001 per share (collectively, the “Warrants”). Upon execution of the Credit Agreement, the Company issued the Lender a Warrant to purchase up to 500,000 shares of Company’s Common Stock at an exercise price of $5.00 per share, which Warrant is exercisable upon issuance. Further, pursuant to the Credit Agreement, the Company shall issue to the Lender additional Warrants to purchase up to the remaining 1,200,000 shares of the Company’s common stock, ratably, upon borrowings under the Credit Agreement, with exercise prices equal to 150% of the closing price of the Company’s common Stock on the date of the Promissory Note evidencing such draw, but in no event more than $10.00 per share nor less than $3.00 per share. The Warrants expire on July 31, 2029.</w:t>
      </w:r>
    </w:p>
    <w:p>
      <w:pPr>
        <w:spacing w:after="0" w:line="189" w:lineRule="exact"/>
        <w:rPr>
          <w:sz w:val="20"/>
          <w:szCs w:val="20"/>
          <w:color w:val="auto"/>
        </w:rPr>
      </w:pPr>
    </w:p>
    <w:p>
      <w:pPr>
        <w:ind w:right="120" w:firstLine="292"/>
        <w:spacing w:after="0" w:line="258" w:lineRule="auto"/>
        <w:rPr>
          <w:sz w:val="20"/>
          <w:szCs w:val="20"/>
          <w:color w:val="auto"/>
        </w:rPr>
      </w:pPr>
      <w:r>
        <w:rPr>
          <w:rFonts w:ascii="Times New Roman" w:cs="Times New Roman" w:eastAsia="Times New Roman" w:hAnsi="Times New Roman"/>
          <w:sz w:val="18"/>
          <w:szCs w:val="18"/>
          <w:color w:val="auto"/>
        </w:rPr>
        <w:t>The fair value of the 500,000 warrants vested at closing on July 25, 2022 was $738,000 at the date of issuance based on the following assumptions: an expected life of 7 years, volatility of 92%, risk free interest rate of 3.19% and zero dividends. The fair value of the vested warrants was recorded in other assets (non-current) as a deferred financing cost and will be amortized on a straight-line basis from July 25, 2022 through January 31, 2026. Amortization for the period ended September 30, 2022 of $39,000 was recorded as interest expense. The fair value of warrants that vest in the future based on borrowings will be computed when those borrowings occur and amortized over the remaining period through January 31,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229"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Following is the stock-based compensation expense related to common stock options, restricted common stock, common stock warrants and deferred stock units: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1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5980" w:type="dxa"/>
            <w:vAlign w:val="bottom"/>
          </w:tcPr>
          <w:p>
            <w:pPr>
              <w:spacing w:after="0"/>
              <w:rPr>
                <w:sz w:val="21"/>
                <w:szCs w:val="21"/>
                <w:color w:val="auto"/>
              </w:rPr>
            </w:pPr>
          </w:p>
        </w:tc>
        <w:tc>
          <w:tcPr>
            <w:tcW w:w="2100" w:type="dxa"/>
            <w:vAlign w:val="bottom"/>
            <w:gridSpan w:val="4"/>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59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w:t>
            </w:r>
          </w:p>
        </w:tc>
        <w:tc>
          <w:tcPr>
            <w:tcW w:w="3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1,175</w:t>
            </w:r>
          </w:p>
        </w:tc>
      </w:tr>
      <w:tr>
        <w:trPr>
          <w:trHeight w:val="257"/>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00" w:type="dxa"/>
            <w:vAlign w:val="bottom"/>
            <w:tcBorders>
              <w:top w:val="single" w:sz="8" w:color="auto"/>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 option activity in the Company’s equity incentive plans, including non-plan grants to Company executives, from December 31, 2021 through September 30,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4,895,561</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945,000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forfeited/cancelled</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(195,000)</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September 30, 2022</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5,645,561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w:t>
            </w:r>
          </w:p>
        </w:tc>
      </w:tr>
    </w:tbl>
    <w:p>
      <w:pPr>
        <w:spacing w:after="0" w:line="198" w:lineRule="exact"/>
        <w:rPr>
          <w:sz w:val="20"/>
          <w:szCs w:val="20"/>
          <w:color w:val="auto"/>
        </w:rPr>
      </w:pPr>
    </w:p>
    <w:p>
      <w:pPr>
        <w:ind w:right="400" w:firstLine="441"/>
        <w:spacing w:after="0" w:line="266" w:lineRule="auto"/>
        <w:rPr>
          <w:sz w:val="20"/>
          <w:szCs w:val="20"/>
          <w:color w:val="auto"/>
        </w:rPr>
      </w:pPr>
      <w:r>
        <w:rPr>
          <w:rFonts w:ascii="Times New Roman" w:cs="Times New Roman" w:eastAsia="Times New Roman" w:hAnsi="Times New Roman"/>
          <w:sz w:val="18"/>
          <w:szCs w:val="18"/>
          <w:color w:val="auto"/>
        </w:rPr>
        <w:t>As of September 30, 2022, there was $2,735,000 of unrecognized compensation related to 2,694,584 unvested options, which is expected to be recognized over a weighted–average period of approximately 1.5 years. The weighted-average grant date fair value for options granted during the nine months ended September 30, 2022 was $1.37. The Company granted 945,000 stock options during the nine months ended September 30, 2022.</w:t>
      </w:r>
    </w:p>
    <w:p>
      <w:pPr>
        <w:spacing w:after="0" w:line="176"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The fair value of all other options granted is determined using the Black-Scholes option-pricing model. The following weighted average assumptions were used: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Nine</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Nine</w:t>
            </w:r>
          </w:p>
        </w:tc>
      </w:t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Months</w:t>
            </w:r>
          </w:p>
        </w:tc>
      </w:t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45"/>
        </w:trPr>
        <w:tc>
          <w:tcPr>
            <w:tcW w:w="8600" w:type="dxa"/>
            <w:vAlign w:val="bottom"/>
          </w:tcPr>
          <w:p>
            <w:pPr>
              <w:spacing w:after="0"/>
              <w:rPr>
                <w:sz w:val="21"/>
                <w:szCs w:val="21"/>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86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60" w:type="dxa"/>
            <w:vAlign w:val="bottom"/>
          </w:tcPr>
          <w:p>
            <w:pPr>
              <w:spacing w:after="0"/>
              <w:rPr>
                <w:sz w:val="19"/>
                <w:szCs w:val="19"/>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0.58%</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the options</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 years</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 years</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of the underlying stock</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ind w:right="380" w:firstLine="441"/>
        <w:spacing w:after="0" w:line="282" w:lineRule="auto"/>
        <w:rPr>
          <w:sz w:val="20"/>
          <w:szCs w:val="20"/>
          <w:color w:val="auto"/>
        </w:rPr>
      </w:pPr>
      <w:r>
        <w:rPr>
          <w:rFonts w:ascii="Times New Roman" w:cs="Times New Roman" w:eastAsia="Times New Roman" w:hAnsi="Times New Roman"/>
          <w:sz w:val="18"/>
          <w:szCs w:val="18"/>
          <w:color w:val="auto"/>
        </w:rPr>
        <w:t>In January 2022, one director elected to take a restricted stock grant in lieu of cash retainers for 2022. A total of 17,677 shares of restricted stock valued at approximately $35,000 is being amortized to expense on a straight-line basis until December 31, 2022 when the stock vests in full.</w:t>
      </w:r>
    </w:p>
    <w:p>
      <w:pPr>
        <w:sectPr>
          <w:pgSz w:w="11900" w:h="16838" w:orient="portrait"/>
          <w:cols w:equalWidth="0" w:num="1">
            <w:col w:w="11240"/>
          </w:cols>
          <w:pgMar w:left="320" w:top="116" w:right="339" w:bottom="0" w:gutter="0" w:footer="0" w:header="0"/>
        </w:sectPr>
      </w:pPr>
    </w:p>
    <w:bookmarkStart w:id="13" w:name="page14"/>
    <w:bookmarkEnd w:id="13"/>
    <w:p>
      <w:pPr>
        <w:ind w:right="440" w:firstLine="441"/>
        <w:spacing w:after="0" w:line="282" w:lineRule="auto"/>
        <w:rPr>
          <w:sz w:val="20"/>
          <w:szCs w:val="20"/>
          <w:color w:val="auto"/>
        </w:rPr>
      </w:pPr>
      <w:r>
        <w:rPr>
          <w:rFonts w:ascii="Times New Roman" w:cs="Times New Roman" w:eastAsia="Times New Roman" w:hAnsi="Times New Roman"/>
          <w:sz w:val="18"/>
          <w:szCs w:val="18"/>
          <w:color w:val="auto"/>
        </w:rPr>
        <w:t>In March 2021, one director elected to take a restricted stock grant in lieu of cash retainers for 2021. A total of 16,588 shares of restricted stock valued at approximately $35,000 is being amortized to expense on a straight-line basis until December 31, 2021 when the stock vested in full.</w:t>
      </w:r>
    </w:p>
    <w:p>
      <w:pPr>
        <w:spacing w:after="0" w:line="162"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In September 2020, the Company entered into an employment agreement with its new Chief Executive Officer whereby 20% of his base salary and performance bonuses will be paid in cash, and 80% will be paid in the form of deferred stock units (“</w:t>
      </w:r>
      <w:r>
        <w:rPr>
          <w:rFonts w:ascii="Times New Roman" w:cs="Times New Roman" w:eastAsia="Times New Roman" w:hAnsi="Times New Roman"/>
          <w:sz w:val="18"/>
          <w:szCs w:val="18"/>
          <w:u w:val="single" w:color="auto"/>
          <w:color w:val="auto"/>
        </w:rPr>
        <w:t>DSUs</w:t>
      </w:r>
      <w:r>
        <w:rPr>
          <w:rFonts w:ascii="Times New Roman" w:cs="Times New Roman" w:eastAsia="Times New Roman" w:hAnsi="Times New Roman"/>
          <w:sz w:val="18"/>
          <w:szCs w:val="18"/>
          <w:color w:val="auto"/>
        </w:rPr>
        <w:t>”) in accordance with the terms and subject to the provisions set forth in the DSU Agreement. DSUs credited to Mr. Lewis as of any date shall be fully vested and nonforfeitable at all times. The Company shall issue the shares underlying the outstanding whole number of DSUs credited to Mr. Lewis as follows: twenty five percent shall be issued on March 1, 2023, twenty five percent shall be issued on September 1, 2023 and fifty percent shall be issued on March 1, 2024. For the nine months ended September 30, 2022, approximately $313,000 of his compensation was recorded as stock compensation expense representing 186,647 shares of common stock to be issued under the DSU agreement with a weighted average grant date fair value of $1.68 per share. Also, Mr. Lewis’ bonus for the year ended December 31, 2021 of $200,000 (which was included in accrued compensation at December 31, 2021) was approved in January 2022 and represents 103,627 shares of common stock to be issued under the DSU agreement with a grant date fair value of $1.93 per share. The $200,000 was reclassified from accrued compensation to additional paid in capital in January 2022. There is no unrecognized compensation expense related to the DSUs.</w:t>
      </w: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Common Stock Warrants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common stock warrant activity from December 31, 2020 through September 30,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2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45"/>
        </w:trPr>
        <w:tc>
          <w:tcPr>
            <w:tcW w:w="8420" w:type="dxa"/>
            <w:vAlign w:val="bottom"/>
          </w:tcPr>
          <w:p>
            <w:pPr>
              <w:spacing w:after="0"/>
              <w:rPr>
                <w:sz w:val="21"/>
                <w:szCs w:val="21"/>
                <w:color w:val="auto"/>
              </w:rPr>
            </w:pP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10,857,964</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Forfeited/cancelled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September 30, 2022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11,357,964</w:t>
            </w:r>
          </w:p>
        </w:tc>
        <w:tc>
          <w:tcPr>
            <w:tcW w:w="3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w:t>
            </w: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weighted average expiration of the warrants outstanding as of September 30, 2022 is 2.0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Loss Per Share</w:t>
      </w:r>
    </w:p>
    <w:p>
      <w:pPr>
        <w:spacing w:after="0" w:line="229" w:lineRule="exact"/>
        <w:rPr>
          <w:sz w:val="20"/>
          <w:szCs w:val="20"/>
          <w:color w:val="auto"/>
        </w:rPr>
      </w:pPr>
    </w:p>
    <w:p>
      <w:pPr>
        <w:ind w:right="20" w:firstLine="441"/>
        <w:spacing w:after="0" w:line="277" w:lineRule="auto"/>
        <w:rPr>
          <w:sz w:val="20"/>
          <w:szCs w:val="20"/>
          <w:color w:val="auto"/>
        </w:rPr>
      </w:pPr>
      <w:r>
        <w:rPr>
          <w:rFonts w:ascii="Times New Roman" w:cs="Times New Roman" w:eastAsia="Times New Roman" w:hAnsi="Times New Roman"/>
          <w:sz w:val="17"/>
          <w:szCs w:val="17"/>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 net loss per share does not assume the issuance of common shares that have an anti-dilutive effect on net loss per share.</w:t>
      </w:r>
    </w:p>
    <w:p>
      <w:pPr>
        <w:spacing w:after="0" w:line="168" w:lineRule="exact"/>
        <w:rPr>
          <w:sz w:val="20"/>
          <w:szCs w:val="20"/>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Dilutive shares which could exist pursuant to the exercise of outstanding stock instruments and which were not included in the calculation because their affect would have been anti-dilutive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16"/>
        </w:trPr>
        <w:tc>
          <w:tcPr>
            <w:tcW w:w="86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8"/>
                <w:szCs w:val="18"/>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(shares)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(shares)</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shares of common stock</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11,357,964</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11,357,964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shares of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5,645,561</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4,660,561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common stock issuable upon conversion of convertible note payable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5,665,338</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3,271,876</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issuable upon conversion of preferred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503,340</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510,424</w:t>
            </w:r>
          </w:p>
        </w:tc>
      </w:tr>
      <w:tr>
        <w:trPr>
          <w:trHeight w:val="256"/>
        </w:trPr>
        <w:tc>
          <w:tcPr>
            <w:tcW w:w="86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23,172,203</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19,800,825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Common Stock</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2020 At Market Issuance of Common Stock</w:t>
      </w:r>
    </w:p>
    <w:p>
      <w:pPr>
        <w:spacing w:after="0" w:line="227" w:lineRule="exact"/>
        <w:rPr>
          <w:sz w:val="20"/>
          <w:szCs w:val="20"/>
          <w:color w:val="auto"/>
        </w:rPr>
      </w:pPr>
    </w:p>
    <w:p>
      <w:pPr>
        <w:ind w:right="100" w:firstLine="441"/>
        <w:spacing w:after="0" w:line="255" w:lineRule="auto"/>
        <w:rPr>
          <w:sz w:val="20"/>
          <w:szCs w:val="20"/>
          <w:color w:val="auto"/>
        </w:rPr>
      </w:pPr>
      <w:r>
        <w:rPr>
          <w:rFonts w:ascii="Times New Roman" w:cs="Times New Roman" w:eastAsia="Times New Roman" w:hAnsi="Times New Roman"/>
          <w:sz w:val="18"/>
          <w:szCs w:val="18"/>
          <w:color w:val="auto"/>
        </w:rPr>
        <w:t>On May 11, 2020, the Company entered into an At Market Issuance Sales Agreement (the “2020 At Market Agreement”) with a sales agent under which the Company may issue and sell shares of its common stock having an aggregate offering price of up to $40.0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2020 At Market Agreement. There were no issuances of common stock under the 2020 At Market agreement during the nine months ended September 30, 2022. During the nine months ended September 30, 2021, the Company issued 845,214 shares of common stock under the 2020 At Market Agreement for net proceeds of $3,864,000.</w:t>
      </w:r>
    </w:p>
    <w:p>
      <w:pPr>
        <w:spacing w:after="0" w:line="189"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2022 and 2021, the Company issued a total of 60,825 and 57,162 shares of common stock, respectively, for dividends on Series A and Series C Preferred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Legal Proceedings</w:t>
      </w:r>
    </w:p>
    <w:p>
      <w:pPr>
        <w:spacing w:after="0" w:line="229" w:lineRule="exact"/>
        <w:rPr>
          <w:sz w:val="20"/>
          <w:szCs w:val="20"/>
          <w:color w:val="auto"/>
        </w:rPr>
      </w:pPr>
    </w:p>
    <w:p>
      <w:pPr>
        <w:ind w:right="400" w:firstLine="441"/>
        <w:spacing w:after="0" w:line="282" w:lineRule="auto"/>
        <w:rPr>
          <w:sz w:val="20"/>
          <w:szCs w:val="20"/>
          <w:color w:val="auto"/>
        </w:rPr>
      </w:pPr>
      <w:r>
        <w:rPr>
          <w:rFonts w:ascii="Times New Roman" w:cs="Times New Roman" w:eastAsia="Times New Roman" w:hAnsi="Times New Roman"/>
          <w:sz w:val="18"/>
          <w:szCs w:val="18"/>
          <w:color w:val="auto"/>
        </w:rPr>
        <w:t>The Company records accruals for such contingencies to the extent that the Company concludes that their occurrence is probable and the related damages are estimable. There are no significant pending legal proceedings.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 and Research Commitments</w:t>
      </w:r>
    </w:p>
    <w:p>
      <w:pPr>
        <w:spacing w:after="0" w:line="229" w:lineRule="exact"/>
        <w:rPr>
          <w:sz w:val="20"/>
          <w:szCs w:val="20"/>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The Company has entered into agreements with contractors for research and development activities to further its product candidates. The contracts generally may be canceled at any time by providing thirty days’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one operating lease for its office space which was amended effective March 1, 2022 for a term of 38 months with no residual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guarantees or material restrictive covenants. The amended lease provided for free rent for the first six and a half months of the lease and continues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deposit of $6,000. In addition to base rental payments included in the contractual obligations table above, the Company is responsible for our pro-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rata share of the operating expenses for the building. Our lease cost for the nine-month periods ended September 30, 2022 and 2021 was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$32,000 for each period and is included in general and administrative expenses. As of September 30, 2022, the right to use lease asset consisted of $93,000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is included in other assets. Also, at September 30, 2022, current lease liability of $39,000 is included in accrued expenses and long term lease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$77,000 and included in other liabilities.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Maturity of operating lease as of September 30, 2022 in thousands: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r>
      <w:tr>
        <w:trPr>
          <w:trHeight w:val="257"/>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discount rate used in calculating the present value of the lease payments was 11%.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Galectin Sciences LLC</w:t>
      </w:r>
    </w:p>
    <w:p>
      <w:pPr>
        <w:spacing w:after="0" w:line="229"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In January 2014, we created Galectin Sciences, LLC (the “LLC” or “Investee”), a collaborative joint venture co-owned by SBH Sciences, Inc. (“SBH”), to research and develop small organic molecule inhibitors of galectin-3 for oral administration. The LLC was initially capitalized with a $400,000 cash investment to fund future research and development activities, which was provided by the Company, and specific in-process research and development (“IPR&amp;D”) contributed by SBH. The estimated fair value of the IPR&amp;D contributed by SBH, on the date of contribution, was $400,000. Initially, the Company and SBH each had a 50% equity ownership interest in the LLC, with neither party having control over the 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 as the Company’s share of the Investee’s earnings, losses and/or changes in 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Cumulatively, the Company has contributed a total of $3,204,000, including $180,000 for the nine months ended September 30, 2022, for expenses of the LLC. Since the end of 2014, SBH has contributed $158,000 for expenses in the LLC. As of September 30, 2022, the Company’s ownership percentage in the LLC was 85.2%. The Company accounts for the interest in the LLC as a consolidated, less than wholly owned subsidiary. Because the LLC’s equity is immaterial, the value of the non-controlling interest is also deemed to be immaterial.</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20" w:firstLine="348"/>
        <w:spacing w:after="0" w:line="252" w:lineRule="auto"/>
        <w:rPr>
          <w:sz w:val="20"/>
          <w:szCs w:val="20"/>
          <w:color w:val="auto"/>
        </w:rPr>
      </w:pPr>
      <w:r>
        <w:rPr>
          <w:rFonts w:ascii="Times New Roman" w:cs="Times New Roman" w:eastAsia="Times New Roman" w:hAnsi="Times New Roman"/>
          <w:sz w:val="18"/>
          <w:szCs w:val="18"/>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at least December 31, 2024;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197" w:lineRule="exact"/>
        <w:rPr>
          <w:sz w:val="20"/>
          <w:szCs w:val="20"/>
          <w:color w:val="auto"/>
        </w:rPr>
      </w:pPr>
    </w:p>
    <w:p>
      <w:pPr>
        <w:ind w:left="1160" w:hanging="383"/>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early stage of development,</w:t>
      </w:r>
    </w:p>
    <w:p>
      <w:pPr>
        <w:spacing w:after="0" w:line="225" w:lineRule="exact"/>
        <w:rPr>
          <w:rFonts w:ascii="Times New Roman" w:cs="Times New Roman" w:eastAsia="Times New Roman" w:hAnsi="Times New Roman"/>
          <w:sz w:val="18"/>
          <w:szCs w:val="18"/>
          <w:color w:val="auto"/>
        </w:rPr>
      </w:pPr>
    </w:p>
    <w:p>
      <w:pPr>
        <w:ind w:left="1160" w:hanging="383"/>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since our inception and cannot assure you that we will generate revenue or profit,</w:t>
      </w:r>
    </w:p>
    <w:p>
      <w:pPr>
        <w:spacing w:after="0" w:line="225" w:lineRule="exact"/>
        <w:rPr>
          <w:rFonts w:ascii="Times New Roman" w:cs="Times New Roman" w:eastAsia="Times New Roman" w:hAnsi="Times New Roman"/>
          <w:sz w:val="18"/>
          <w:szCs w:val="18"/>
          <w:color w:val="auto"/>
        </w:rPr>
      </w:pPr>
    </w:p>
    <w:p>
      <w:pPr>
        <w:ind w:left="1160" w:hanging="383"/>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additional outside capital,</w:t>
      </w:r>
    </w:p>
    <w:p>
      <w:pPr>
        <w:spacing w:after="0" w:line="225" w:lineRule="exact"/>
        <w:rPr>
          <w:rFonts w:ascii="Times New Roman" w:cs="Times New Roman" w:eastAsia="Times New Roman" w:hAnsi="Times New Roman"/>
          <w:sz w:val="18"/>
          <w:szCs w:val="18"/>
          <w:color w:val="auto"/>
        </w:rPr>
      </w:pPr>
    </w:p>
    <w:p>
      <w:pPr>
        <w:ind w:left="1160" w:right="480" w:hanging="383"/>
        <w:spacing w:after="0" w:line="28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enter into strategic partnerships for the development, commercialization, manufacturing and distribution of our proposed product candidates,</w:t>
      </w:r>
    </w:p>
    <w:p>
      <w:pPr>
        <w:spacing w:after="0" w:line="161" w:lineRule="exact"/>
        <w:rPr>
          <w:rFonts w:ascii="Times New Roman" w:cs="Times New Roman" w:eastAsia="Times New Roman" w:hAnsi="Times New Roman"/>
          <w:sz w:val="18"/>
          <w:szCs w:val="18"/>
          <w:color w:val="auto"/>
        </w:rPr>
      </w:pPr>
    </w:p>
    <w:p>
      <w:pPr>
        <w:ind w:left="1160" w:hanging="383"/>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any litigation, including shareholder class actions and derivative lawsuits filed,</w:t>
      </w:r>
    </w:p>
    <w:p>
      <w:pPr>
        <w:spacing w:after="0" w:line="225" w:lineRule="exact"/>
        <w:rPr>
          <w:rFonts w:ascii="Times New Roman" w:cs="Times New Roman" w:eastAsia="Times New Roman" w:hAnsi="Times New Roman"/>
          <w:sz w:val="18"/>
          <w:szCs w:val="18"/>
          <w:color w:val="auto"/>
        </w:rPr>
      </w:pPr>
    </w:p>
    <w:p>
      <w:pPr>
        <w:ind w:left="1160" w:hanging="383"/>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our technology and clinical trials, including expected dates of availability of clinical data,</w:t>
      </w:r>
    </w:p>
    <w:p>
      <w:pPr>
        <w:spacing w:after="0" w:line="225" w:lineRule="exact"/>
        <w:rPr>
          <w:rFonts w:ascii="Times New Roman" w:cs="Times New Roman" w:eastAsia="Times New Roman" w:hAnsi="Times New Roman"/>
          <w:sz w:val="18"/>
          <w:szCs w:val="18"/>
          <w:color w:val="auto"/>
        </w:rPr>
      </w:pPr>
    </w:p>
    <w:p>
      <w:pPr>
        <w:ind w:left="1160" w:hanging="383"/>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the efficacy and safety of our developmental product candidates in human trials,</w:t>
      </w:r>
    </w:p>
    <w:p>
      <w:pPr>
        <w:spacing w:after="0" w:line="225" w:lineRule="exact"/>
        <w:rPr>
          <w:rFonts w:ascii="Times New Roman" w:cs="Times New Roman" w:eastAsia="Times New Roman" w:hAnsi="Times New Roman"/>
          <w:sz w:val="18"/>
          <w:szCs w:val="18"/>
          <w:color w:val="auto"/>
        </w:rPr>
      </w:pPr>
    </w:p>
    <w:p>
      <w:pPr>
        <w:ind w:left="1160" w:hanging="383"/>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improve upon, protect and/or enforce our intellectual property,</w:t>
      </w:r>
    </w:p>
    <w:p>
      <w:pPr>
        <w:spacing w:after="0" w:line="225" w:lineRule="exact"/>
        <w:rPr>
          <w:rFonts w:ascii="Times New Roman" w:cs="Times New Roman" w:eastAsia="Times New Roman" w:hAnsi="Times New Roman"/>
          <w:sz w:val="18"/>
          <w:szCs w:val="18"/>
          <w:color w:val="auto"/>
        </w:rPr>
      </w:pPr>
    </w:p>
    <w:p>
      <w:pPr>
        <w:ind w:left="1160" w:right="140" w:hanging="383"/>
        <w:spacing w:after="0" w:line="312" w:lineRule="auto"/>
        <w:tabs>
          <w:tab w:leader="none" w:pos="11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139" w:lineRule="exact"/>
        <w:rPr>
          <w:rFonts w:ascii="Times New Roman" w:cs="Times New Roman" w:eastAsia="Times New Roman" w:hAnsi="Times New Roman"/>
          <w:sz w:val="17"/>
          <w:szCs w:val="17"/>
          <w:color w:val="auto"/>
        </w:rPr>
      </w:pPr>
    </w:p>
    <w:p>
      <w:pPr>
        <w:ind w:left="1160" w:hanging="383"/>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stock price volatility in the biotechnology industry,</w:t>
      </w:r>
    </w:p>
    <w:p>
      <w:pPr>
        <w:spacing w:after="0" w:line="225" w:lineRule="exact"/>
        <w:rPr>
          <w:rFonts w:ascii="Times New Roman" w:cs="Times New Roman" w:eastAsia="Times New Roman" w:hAnsi="Times New Roman"/>
          <w:sz w:val="18"/>
          <w:szCs w:val="18"/>
          <w:color w:val="auto"/>
        </w:rPr>
      </w:pPr>
    </w:p>
    <w:p>
      <w:pPr>
        <w:ind w:left="1160" w:right="80" w:hanging="383"/>
        <w:spacing w:after="0" w:line="28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trading volume for our stock, concentration of ownership of our stock, and other risks detailed herein and from time to time in our SEC reports,</w:t>
      </w:r>
    </w:p>
    <w:p>
      <w:pPr>
        <w:spacing w:after="0" w:line="161" w:lineRule="exact"/>
        <w:rPr>
          <w:rFonts w:ascii="Times New Roman" w:cs="Times New Roman" w:eastAsia="Times New Roman" w:hAnsi="Times New Roman"/>
          <w:sz w:val="18"/>
          <w:szCs w:val="18"/>
          <w:color w:val="auto"/>
        </w:rPr>
      </w:pPr>
    </w:p>
    <w:p>
      <w:pPr>
        <w:jc w:val="both"/>
        <w:ind w:left="1160" w:right="320" w:hanging="383"/>
        <w:spacing w:after="0" w:line="312" w:lineRule="auto"/>
        <w:tabs>
          <w:tab w:leader="none" w:pos="11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resulting from the outbreak of COVID-19, which has delayed and may continue to delay our clinical trial and development efforts, as well as the impact that COVID-19 has on the volatility of the capital market and our ability to access the capital market and,</w:t>
      </w:r>
    </w:p>
    <w:p>
      <w:pPr>
        <w:spacing w:after="0" w:line="139" w:lineRule="exact"/>
        <w:rPr>
          <w:rFonts w:ascii="Times New Roman" w:cs="Times New Roman" w:eastAsia="Times New Roman" w:hAnsi="Times New Roman"/>
          <w:sz w:val="17"/>
          <w:szCs w:val="17"/>
          <w:color w:val="auto"/>
        </w:rPr>
      </w:pPr>
    </w:p>
    <w:p>
      <w:pPr>
        <w:ind w:left="1160" w:hanging="383"/>
        <w:spacing w:after="0" w:line="28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detailed herein and from time to time in our SEC reports, including our Annual Report on Form 10-K filed with the SEC for the fiscal year ended December 31, 2021, and our subsequent SEC filings.</w:t>
      </w:r>
    </w:p>
    <w:p>
      <w:pPr>
        <w:spacing w:after="0" w:line="162" w:lineRule="exact"/>
        <w:rPr>
          <w:sz w:val="20"/>
          <w:szCs w:val="20"/>
          <w:color w:val="auto"/>
        </w:rPr>
      </w:pPr>
    </w:p>
    <w:p>
      <w:pPr>
        <w:ind w:right="1180" w:firstLine="348"/>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accompanying consolidated financial statements and notes thereto of Galectin Therapeutics appearing elsewhere herein.</w:t>
      </w:r>
    </w:p>
    <w:p>
      <w:pPr>
        <w:spacing w:after="0" w:line="3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6" w:right="4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313"/>
        <w:spacing w:after="0" w:line="253" w:lineRule="auto"/>
        <w:rPr>
          <w:sz w:val="20"/>
          <w:szCs w:val="20"/>
          <w:color w:val="auto"/>
        </w:rPr>
      </w:pPr>
      <w:r>
        <w:rPr>
          <w:rFonts w:ascii="Times New Roman" w:cs="Times New Roman" w:eastAsia="Times New Roman" w:hAnsi="Times New Roman"/>
          <w:sz w:val="18"/>
          <w:szCs w:val="18"/>
          <w:color w:val="auto"/>
        </w:rPr>
        <w:t>We are a clinical stage biopharmaceutical company engaged in drug research and development to create new therapies for fibrotic disease, cancer and selected other diseases. Our drug candidates are based on our method of targeting galectin proteins, which are key mediators of biologic and pathologic functions. We use naturally occurring, readily-available plant products as starting material in manufacturing processes to create proprietary, patented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 proteins have a demonstrated role in the pathogenesis of a given disease. We focus on diseases with serious, life-threatening consequences and those where current treatment options are limited specifically in NASH (non-alcoholic steatohepatitis) with cirrhosis and certain cancer indications. Our strategy is to establish and implement clinical development programs that add value to our business in the shortest period of time possible and to seek strategic partners when one of our programs becomes advanced and requires significant additional resources.</w:t>
      </w:r>
    </w:p>
    <w:p>
      <w:pPr>
        <w:spacing w:after="0" w:line="194" w:lineRule="exact"/>
        <w:rPr>
          <w:sz w:val="20"/>
          <w:szCs w:val="20"/>
          <w:color w:val="auto"/>
        </w:rPr>
      </w:pPr>
    </w:p>
    <w:p>
      <w:pPr>
        <w:ind w:right="40" w:firstLine="313"/>
        <w:spacing w:after="0" w:line="254" w:lineRule="auto"/>
        <w:rPr>
          <w:sz w:val="20"/>
          <w:szCs w:val="20"/>
          <w:color w:val="auto"/>
        </w:rPr>
      </w:pPr>
      <w:r>
        <w:rPr>
          <w:rFonts w:ascii="Times New Roman" w:cs="Times New Roman" w:eastAsia="Times New Roman" w:hAnsi="Times New Roman"/>
          <w:sz w:val="18"/>
          <w:szCs w:val="18"/>
          <w:color w:val="auto"/>
        </w:rPr>
        <w:t>Our lead galectin-3 inhibitor is belapectin (GR-MD-02), which has been demonstrated in preclinical models to reverse liver fibrosis and cirrhosis and in clinical studies to decrease portal hypertension and prevent its complication: the development of esophageal varices. Belapectin has the potential to treat many diseases due to galectin-3’s involvement in multiple key biological pathways such as fibrosis, immune cell function and immunity, cell differentiation, cell growth, and apoptosis (cell death). The importance of galectin-3 in the fibrotic process is supported by experimental evidence. Animals with the galectin-3 gene “knocked-out” can no longer develop fibrosis in response to experimental stimuli compared to animals with an intact galectin-3 gene. We are using our galectin-3 inhibitor to treat advanced liver fibrosis and liver cirrhosis in NASH patients. We have completed two Phase 1 clinical studies, a Phase 2 clinical study in NASH patients with advanced fibrosis (NASH-FX) and a second Phase 2b clinical trial in NASH patients with compensated cirrhosis and portal hypertension (NASH-CX).</w:t>
      </w:r>
    </w:p>
    <w:p>
      <w:pPr>
        <w:spacing w:after="0" w:line="192" w:lineRule="exact"/>
        <w:rPr>
          <w:sz w:val="20"/>
          <w:szCs w:val="20"/>
          <w:color w:val="auto"/>
        </w:rPr>
      </w:pPr>
    </w:p>
    <w:p>
      <w:pPr>
        <w:ind w:right="100" w:firstLine="313"/>
        <w:spacing w:after="0" w:line="256" w:lineRule="auto"/>
        <w:rPr>
          <w:sz w:val="20"/>
          <w:szCs w:val="20"/>
          <w:color w:val="auto"/>
        </w:rPr>
      </w:pPr>
      <w:r>
        <w:rPr>
          <w:rFonts w:ascii="Times New Roman" w:cs="Times New Roman" w:eastAsia="Times New Roman" w:hAnsi="Times New Roman"/>
          <w:sz w:val="18"/>
          <w:szCs w:val="18"/>
          <w:color w:val="auto"/>
        </w:rPr>
        <w:t xml:space="preserve">We are now engaged in a large, global Phase 2b/3 clinical trial. Our study protocol was filed with the FDA on April 30, 2020, for a seamless adaptively-designed Phase 2b/3 clinical study, the NAVIGATE trial (formerly called NASH-RX), evaluating the safety and efficacy of our galectin-3 inhibitor, belapectin, for the prevention of esophageal varices in patients with non-alcoholic steatohepatitis (NASH) cirrhosis (Further details are available at </w:t>
      </w:r>
      <w:r>
        <w:rPr>
          <w:rFonts w:ascii="Times New Roman" w:cs="Times New Roman" w:eastAsia="Times New Roman" w:hAnsi="Times New Roman"/>
          <w:sz w:val="18"/>
          <w:szCs w:val="18"/>
          <w:u w:val="single" w:color="auto"/>
          <w:color w:val="auto"/>
        </w:rPr>
        <w:t>www.clinicaltrials.gov</w:t>
      </w:r>
      <w:r>
        <w:rPr>
          <w:rFonts w:ascii="Times New Roman" w:cs="Times New Roman" w:eastAsia="Times New Roman" w:hAnsi="Times New Roman"/>
          <w:sz w:val="18"/>
          <w:szCs w:val="18"/>
          <w:color w:val="auto"/>
        </w:rPr>
        <w:t xml:space="preserve"> under study NCT04365868); this study began enrolling patients in Q2-2020. In September 2020, the Company received a letter from the FDA providing comments, asking questions and providing guidance on various aspects of the ongoing NAVIGATE trial. These comments were addressed, and the study proceeded accordingly.</w:t>
      </w:r>
    </w:p>
    <w:p>
      <w:pPr>
        <w:spacing w:after="0" w:line="187" w:lineRule="exact"/>
        <w:rPr>
          <w:sz w:val="20"/>
          <w:szCs w:val="20"/>
          <w:color w:val="auto"/>
        </w:rPr>
      </w:pPr>
    </w:p>
    <w:p>
      <w:pPr>
        <w:ind w:right="440" w:firstLine="313"/>
        <w:spacing w:after="0" w:line="261" w:lineRule="auto"/>
        <w:rPr>
          <w:sz w:val="20"/>
          <w:szCs w:val="20"/>
          <w:color w:val="auto"/>
        </w:rPr>
      </w:pPr>
      <w:r>
        <w:rPr>
          <w:rFonts w:ascii="Times New Roman" w:cs="Times New Roman" w:eastAsia="Times New Roman" w:hAnsi="Times New Roman"/>
          <w:sz w:val="18"/>
          <w:szCs w:val="18"/>
          <w:color w:val="auto"/>
        </w:rPr>
        <w:t xml:space="preserve">Additionally, a study protocol entitled “A Single-dose, Open-label, Pharmacokinetic Study of Belapectin (GR-MD-02) in Subjects With Normal Hepatic Function and Subjects With Varying Degrees of Hepatic Impairment” has been filed with the FDA to examine the effects of the drug in subjects with normal hepatic function and subjects with varying degrees of hepatic impairment (study details are listed under study NCT04332432 on </w:t>
      </w:r>
      <w:r>
        <w:rPr>
          <w:rFonts w:ascii="Times New Roman" w:cs="Times New Roman" w:eastAsia="Times New Roman" w:hAnsi="Times New Roman"/>
          <w:sz w:val="18"/>
          <w:szCs w:val="18"/>
          <w:u w:val="single" w:color="auto"/>
          <w:color w:val="auto"/>
        </w:rPr>
        <w:t>www.clinicaltrials.gov</w:t>
      </w:r>
      <w:r>
        <w:rPr>
          <w:rFonts w:ascii="Times New Roman" w:cs="Times New Roman" w:eastAsia="Times New Roman" w:hAnsi="Times New Roman"/>
          <w:sz w:val="18"/>
          <w:szCs w:val="18"/>
          <w:color w:val="auto"/>
        </w:rPr>
        <w:t>); this study became fully enrolled in February 2022.</w:t>
      </w:r>
    </w:p>
    <w:p>
      <w:pPr>
        <w:spacing w:after="0" w:line="180" w:lineRule="exact"/>
        <w:rPr>
          <w:sz w:val="20"/>
          <w:szCs w:val="20"/>
          <w:color w:val="auto"/>
        </w:rPr>
      </w:pPr>
    </w:p>
    <w:p>
      <w:pPr>
        <w:ind w:right="320" w:firstLine="313"/>
        <w:spacing w:after="0" w:line="256" w:lineRule="auto"/>
        <w:rPr>
          <w:sz w:val="20"/>
          <w:szCs w:val="20"/>
          <w:color w:val="auto"/>
        </w:rPr>
      </w:pPr>
      <w:r>
        <w:rPr>
          <w:rFonts w:ascii="Times New Roman" w:cs="Times New Roman" w:eastAsia="Times New Roman" w:hAnsi="Times New Roman"/>
          <w:sz w:val="18"/>
          <w:szCs w:val="18"/>
          <w:color w:val="auto"/>
        </w:rPr>
        <w:t>We endeavor to leverage our scientific and product development expertise as well as established relationships with outside sources to achieve cost-effective and efficient drug development. These outside sources, amongst others, provide us with expertise in preclinical models, pharmaceutical development, toxicology, clinical trial operations, pharmaceutical manufacturing, including physical and chemical drug characterization, and commercial development. We also have established through our majority-owned joint venture subsidiary, Galectin Sciences LLC, a discovery program developing small molecules that inhibit galectin-3 and may afford alternative drug delivery (e.g., oral) and as a result expand the potential uses of galectin-3 inhibitor beyond belapectin. Three chemical series of composition of matter patents have been filed.</w:t>
      </w:r>
    </w:p>
    <w:p>
      <w:pPr>
        <w:spacing w:after="0" w:line="187" w:lineRule="exact"/>
        <w:rPr>
          <w:sz w:val="20"/>
          <w:szCs w:val="20"/>
          <w:color w:val="auto"/>
        </w:rPr>
      </w:pPr>
    </w:p>
    <w:p>
      <w:pPr>
        <w:ind w:right="140" w:firstLine="313"/>
        <w:spacing w:after="0" w:line="261" w:lineRule="auto"/>
        <w:rPr>
          <w:sz w:val="20"/>
          <w:szCs w:val="20"/>
          <w:color w:val="auto"/>
        </w:rPr>
      </w:pPr>
      <w:r>
        <w:rPr>
          <w:rFonts w:ascii="Times New Roman" w:cs="Times New Roman" w:eastAsia="Times New Roman" w:hAnsi="Times New Roman"/>
          <w:sz w:val="18"/>
          <w:szCs w:val="18"/>
          <w:color w:val="auto"/>
        </w:rPr>
        <w:t>We are also pursuing a development pathway to clinical enhancement and commercialization for our lead compounds in immuno-oncology following our previous successful collaboration with Providence Portland Cancer Center. We filed a new IND with FDA for advanced or metastatic head and neck cancer using belapectin in combination with a checkpoint (PD-1) inhibitor and received a Study May Proceed letter. The proposed phase 2 trial commencement is dependent on timing of financing. All of our proposed products are presently in development, including pre-clinical and clinical trials.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Drug Development Programs</w:t>
      </w:r>
    </w:p>
    <w:p>
      <w:pPr>
        <w:spacing w:after="0" w:line="229" w:lineRule="exact"/>
        <w:rPr>
          <w:sz w:val="20"/>
          <w:szCs w:val="20"/>
          <w:color w:val="auto"/>
        </w:rPr>
      </w:pPr>
    </w:p>
    <w:p>
      <w:pPr>
        <w:jc w:val="both"/>
        <w:ind w:right="40" w:firstLine="346"/>
        <w:spacing w:after="0" w:line="257" w:lineRule="auto"/>
        <w:rPr>
          <w:sz w:val="20"/>
          <w:szCs w:val="20"/>
          <w:color w:val="auto"/>
        </w:rPr>
      </w:pPr>
      <w:r>
        <w:rPr>
          <w:rFonts w:ascii="Times New Roman" w:cs="Times New Roman" w:eastAsia="Times New Roman" w:hAnsi="Times New Roman"/>
          <w:sz w:val="18"/>
          <w:szCs w:val="18"/>
          <w:color w:val="auto"/>
        </w:rPr>
        <w:t>Galectins are a class of proteins that are made by many cells in the body, but predominantly in cells of the immune system. As a group, these proteins are able to bind to sugar molecules that are attached to other proteins, called glycoproteins that are responsible for various functions within the body, most notably inflammation and fibrosis. Galectins, in particular galectin-3,act as a molecular glue, bringing together molecules that have sugars on them.</w:t>
      </w:r>
    </w:p>
    <w:p>
      <w:pPr>
        <w:spacing w:after="0" w:line="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Galectin-3, is known to be markedly increased in a number of important diseases including inflammatory diseases leading to organs scarring (e.g. liver, lung, kidney, and heart) and cancers. The increase in galectin-3 , by creating the so-called galectin-3 fibrosome, promotes the progression of multiple diseases. Published data substantiating the importance of galectin-3 in the fibrotic process arises from gene knockout experiments in animal studies. For instance, mice genetically altered to eliminate the galectin-3 gene, and thus unable to produce galectin-3, do not develop liver fibrosis in response to toxic insult to the liver.</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20" w:firstLine="346"/>
        <w:spacing w:after="0" w:line="261" w:lineRule="auto"/>
        <w:rPr>
          <w:sz w:val="20"/>
          <w:szCs w:val="20"/>
          <w:color w:val="auto"/>
        </w:rPr>
      </w:pPr>
      <w:r>
        <w:rPr>
          <w:rFonts w:ascii="Times New Roman" w:cs="Times New Roman" w:eastAsia="Times New Roman" w:hAnsi="Times New Roman"/>
          <w:sz w:val="18"/>
          <w:szCs w:val="18"/>
          <w:color w:val="auto"/>
        </w:rPr>
        <w:t>We have one new proprietary chemical entity (NCE) in development, belapectin, which has shown promise in preclinical and clinical studies for the treatment of liver fibrosis, severe skin disease, and cancer (melanoma and head and neck squamous cell carcinoma). Currently we are focusing on development of belapectin for the treatment of NASH cirrhosis and Head and neck cancer. Belapectin is a proprietary, patented compound derived from natural, plant-based, starting materials, which, following chemical processing, exhibits the properties of binding to and inhibiting galectin-3.</w:t>
      </w:r>
    </w:p>
    <w:p>
      <w:pPr>
        <w:sectPr>
          <w:pgSz w:w="11900" w:h="16838" w:orient="portrait"/>
          <w:cols w:equalWidth="0" w:num="1">
            <w:col w:w="11200"/>
          </w:cols>
          <w:pgMar w:left="320" w:top="116" w:right="37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2780"/>
        <w:spacing w:after="0"/>
        <w:rPr>
          <w:sz w:val="20"/>
          <w:szCs w:val="20"/>
          <w:color w:val="auto"/>
        </w:rPr>
      </w:pPr>
      <w:r>
        <w:rPr>
          <w:rFonts w:ascii="Times New Roman" w:cs="Times New Roman" w:eastAsia="Times New Roman" w:hAnsi="Times New Roman"/>
          <w:sz w:val="18"/>
          <w:szCs w:val="18"/>
          <w:b w:val="1"/>
          <w:bCs w:val="1"/>
          <w:color w:val="auto"/>
        </w:rPr>
        <w:t>Drug</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Status</w:t>
      </w:r>
    </w:p>
    <w:p>
      <w:pPr>
        <w:spacing w:after="0" w:line="42" w:lineRule="exact"/>
        <w:rPr>
          <w:sz w:val="20"/>
          <w:szCs w:val="20"/>
          <w:color w:val="auto"/>
        </w:rPr>
      </w:pPr>
    </w:p>
    <w:p>
      <w:pPr>
        <w:sectPr>
          <w:pgSz w:w="11900" w:h="16838" w:orient="portrait"/>
          <w:cols w:equalWidth="0" w:num="3">
            <w:col w:w="3300" w:space="720"/>
            <w:col w:w="3180" w:space="720"/>
            <w:col w:w="3280"/>
          </w:cols>
          <w:pgMar w:left="320" w:top="116"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Fibrosis</w:t>
      </w:r>
    </w:p>
    <w:p>
      <w:pPr>
        <w:sectPr>
          <w:pgSz w:w="11900" w:h="16838" w:orient="portrait"/>
          <w:cols w:equalWidth="0" w:num="1">
            <w:col w:w="11200"/>
          </w:cols>
          <w:pgMar w:left="320" w:top="116" w:right="379"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 with Advanced Fibrosis: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NASH-CX trial and NASH-FX trial</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belapectin</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 submitted January 2013. Results from the Phase 1 clinical trial were reported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 with final results reported in January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Phase 2 NASH FX trial was designed for patients with advanced fibrosis but not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cirrhosis. Its principal purpose was to evaluate various imaging modalities.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 FX trial top line data was reported in September 2016</w:t>
      </w:r>
    </w:p>
    <w:p>
      <w:pPr>
        <w:spacing w:after="0" w:line="200" w:lineRule="exact"/>
        <w:rPr>
          <w:sz w:val="20"/>
          <w:szCs w:val="20"/>
          <w:color w:val="auto"/>
        </w:rPr>
      </w:pPr>
    </w:p>
    <w:p>
      <w:pPr>
        <w:sectPr>
          <w:pgSz w:w="11900" w:h="16838" w:orient="portrait"/>
          <w:cols w:equalWidth="0" w:num="3">
            <w:col w:w="2660" w:space="720"/>
            <w:col w:w="980" w:space="720"/>
            <w:col w:w="6120"/>
          </w:cols>
          <w:pgMar w:left="320" w:top="116" w:right="379" w:bottom="1440" w:gutter="0" w:footer="0" w:header="0"/>
          <w:type w:val="continuous"/>
        </w:sectPr>
      </w:pPr>
    </w:p>
    <w:p>
      <w:pPr>
        <w:spacing w:after="0" w:line="7" w:lineRule="exact"/>
        <w:rPr>
          <w:sz w:val="20"/>
          <w:szCs w:val="20"/>
          <w:color w:val="auto"/>
        </w:rPr>
      </w:pPr>
    </w:p>
    <w:p>
      <w:pPr>
        <w:ind w:left="5080" w:right="60"/>
        <w:spacing w:after="0" w:line="266" w:lineRule="auto"/>
        <w:rPr>
          <w:sz w:val="20"/>
          <w:szCs w:val="20"/>
          <w:color w:val="auto"/>
        </w:rPr>
      </w:pPr>
      <w:r>
        <w:rPr>
          <w:rFonts w:ascii="Times New Roman" w:cs="Times New Roman" w:eastAsia="Times New Roman" w:hAnsi="Times New Roman"/>
          <w:sz w:val="18"/>
          <w:szCs w:val="18"/>
          <w:color w:val="auto"/>
        </w:rPr>
        <w:t xml:space="preserve">The Phase 2 NASH CX trial, was designed for patients with well compensated cirrhosis. The NASH CX trial top line data was reported in December 2017 and was published in </w:t>
      </w:r>
      <w:r>
        <w:rPr>
          <w:rFonts w:ascii="Times New Roman" w:cs="Times New Roman" w:eastAsia="Times New Roman" w:hAnsi="Times New Roman"/>
          <w:sz w:val="18"/>
          <w:szCs w:val="18"/>
          <w:i w:val="1"/>
          <w:iCs w:val="1"/>
          <w:color w:val="auto"/>
        </w:rPr>
        <w:t>Gastroenterology</w:t>
      </w:r>
      <w:r>
        <w:rPr>
          <w:rFonts w:ascii="Times New Roman" w:cs="Times New Roman" w:eastAsia="Times New Roman" w:hAnsi="Times New Roman"/>
          <w:sz w:val="18"/>
          <w:szCs w:val="18"/>
          <w:color w:val="auto"/>
        </w:rPr>
        <w:t xml:space="preserve"> in 2020.</w:t>
      </w:r>
    </w:p>
    <w:p>
      <w:pPr>
        <w:sectPr>
          <w:pgSz w:w="11900" w:h="16838" w:orient="portrait"/>
          <w:cols w:equalWidth="0" w:num="1">
            <w:col w:w="11200"/>
          </w:cols>
          <w:pgMar w:left="320" w:top="116" w:right="379"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NASH NAVIGATE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Based on FDA feedback, the NAVIGATE trial is an adaptive Phase 2b/3 trial for the prevention of esophageal varices in NASH patients with compensated cirrhosis. A Phase 2b interim efficacy analysis will be incorporated to confirm previous Phase 2 data, select an optimal dose and reaffirm the risk/benefit of belapectin. The Phase 3 end of study analysis will evaluate the development of esophageal varices as the primary outcome of efficacy and a composite clinical endpoint including progression to varices requiring treatment as a key secondary outcome of efficacy. See www.clinicaltrials.gov NCT04365868. The first patient was randomized in the third quarter of 2020.</w:t>
      </w:r>
    </w:p>
    <w:p>
      <w:pPr>
        <w:spacing w:after="0" w:line="188" w:lineRule="exact"/>
        <w:rPr>
          <w:sz w:val="20"/>
          <w:szCs w:val="20"/>
          <w:color w:val="auto"/>
        </w:rPr>
      </w:pPr>
    </w:p>
    <w:p>
      <w:pPr>
        <w:sectPr>
          <w:pgSz w:w="11900" w:h="16838" w:orient="portrait"/>
          <w:cols w:equalWidth="0" w:num="2">
            <w:col w:w="4360" w:space="720"/>
            <w:col w:w="6120"/>
          </w:cols>
          <w:pgMar w:left="320" w:top="116" w:right="379" w:bottom="1440" w:gutter="0" w:footer="0" w:header="0"/>
          <w:type w:val="continuous"/>
        </w:sectPr>
      </w:pPr>
    </w:p>
    <w:p>
      <w:pPr>
        <w:ind w:left="5080" w:right="20"/>
        <w:spacing w:after="0" w:line="289" w:lineRule="auto"/>
        <w:rPr>
          <w:sz w:val="20"/>
          <w:szCs w:val="20"/>
          <w:color w:val="auto"/>
        </w:rPr>
      </w:pPr>
      <w:r>
        <w:rPr>
          <w:rFonts w:ascii="Times New Roman" w:cs="Times New Roman" w:eastAsia="Times New Roman" w:hAnsi="Times New Roman"/>
          <w:sz w:val="17"/>
          <w:szCs w:val="17"/>
          <w:color w:val="auto"/>
        </w:rPr>
        <w:t>A hepatic impairment is being conducted in subjects with normal hepatic function and subjects with varying degrees of hepatic impairment (CF: www.clinicaltrials.gov NCT04332432) and began enrolling patients in the second quarter of 2020.</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Cancer Immunotherapy</w:t>
      </w:r>
    </w:p>
    <w:p>
      <w:pPr>
        <w:sectPr>
          <w:pgSz w:w="11900" w:h="16838" w:orient="portrait"/>
          <w:cols w:equalWidth="0" w:num="1">
            <w:col w:w="11200"/>
          </w:cols>
          <w:pgMar w:left="320" w:top="116" w:right="379" w:bottom="1440" w:gutter="0" w:footer="0" w:header="0"/>
          <w:type w:val="continuous"/>
        </w:sectPr>
      </w:pP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Melanoma, Head, Neck Squamous Cell Carcinoma (HNSCC)</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belapectin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Investigator IND study in process. A Phase 1B study began in Q-1 2016. Early data was reported in February 2017 and additional data were reported in September 2018. Data from an extension trial was reported in July 2021 for additional melanoma and HNSCC patients which provided a rational basis for additional trials which the Company is exploring. In the third quarter of 2022, the Company announced its IND application for belapectin in combination with a checkpoint inhibitor for the treatment of HNSCC was filed and a Study May Proceed letter was received from FDA. The Company is reviewing options for financing this trial which will determine when such trial could commence.</w:t>
      </w:r>
    </w:p>
    <w:p>
      <w:pPr>
        <w:spacing w:after="0" w:line="190" w:lineRule="exact"/>
        <w:rPr>
          <w:sz w:val="20"/>
          <w:szCs w:val="20"/>
          <w:color w:val="auto"/>
        </w:rPr>
      </w:pPr>
    </w:p>
    <w:p>
      <w:pPr>
        <w:sectPr>
          <w:pgSz w:w="11900" w:h="16838" w:orient="portrait"/>
          <w:cols w:equalWidth="0" w:num="3">
            <w:col w:w="2860" w:space="720"/>
            <w:col w:w="740" w:space="180"/>
            <w:col w:w="6700"/>
          </w:cols>
          <w:pgMar w:left="320" w:top="116" w:right="37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Liver cirrhosis. </w:t>
      </w:r>
      <w:r>
        <w:rPr>
          <w:rFonts w:ascii="Times New Roman" w:cs="Times New Roman" w:eastAsia="Times New Roman" w:hAnsi="Times New Roman"/>
          <w:sz w:val="18"/>
          <w:szCs w:val="18"/>
          <w:color w:val="auto"/>
        </w:rPr>
        <w:t>Belapectin is our lead product candidate for treatment of compensated NASH cirrhosis in patients with portal hypertension.</w:t>
      </w:r>
    </w:p>
    <w:p>
      <w:pPr>
        <w:spacing w:after="0" w:line="29" w:lineRule="exact"/>
        <w:rPr>
          <w:sz w:val="20"/>
          <w:szCs w:val="20"/>
          <w:color w:val="auto"/>
        </w:rPr>
      </w:pPr>
    </w:p>
    <w:p>
      <w:pPr>
        <w:ind w:left="340" w:right="20"/>
        <w:spacing w:after="0" w:line="251" w:lineRule="auto"/>
        <w:rPr>
          <w:sz w:val="20"/>
          <w:szCs w:val="20"/>
          <w:color w:val="auto"/>
        </w:rPr>
      </w:pPr>
      <w:r>
        <w:rPr>
          <w:rFonts w:ascii="Times New Roman" w:cs="Times New Roman" w:eastAsia="Times New Roman" w:hAnsi="Times New Roman"/>
          <w:sz w:val="18"/>
          <w:szCs w:val="18"/>
          <w:color w:val="auto"/>
        </w:rPr>
        <w:t>Our preclinical data show that belapectin has a significant therapeutic effect on liver fibrosis as shown in several relevant animal models. In addition, in NASH animal models, belapectin has been shown to reduce liver fat, inflammation, portal pressure, and ballooning degeneration (death of liver cells). Therefore, we chose belapectin as the lead candidate in a development program targeted initially at fibrotic liver disease associated with non-alcoholic steatohepatitis (NASH). In January 2013, an Investigational New Drug (“IND”) was submitted to the FDA with the goal of initiating a Phase 1 study in patients with NASH and advanced liver fibrosis to evaluate the safety of belapectin and pharmacodynamics biomarkers of disease. On March 1, 2013, the FDA indicated we could proceed with a US Phase 1 clinical trial for belapectin with a development program aimed at obtaining support for a proposed indication of belapectin for treatment of NASH with advanced fibrosis. The Phase 1 trial was completed and demonstrated that belapectin up to 8 mg/kg Lean Body Mass (LBM), i.v. was safe and well tolerated.</w:t>
      </w: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380" w:firstLine="313"/>
        <w:spacing w:after="0" w:line="261" w:lineRule="auto"/>
        <w:rPr>
          <w:sz w:val="20"/>
          <w:szCs w:val="20"/>
          <w:color w:val="auto"/>
        </w:rPr>
      </w:pPr>
      <w:r>
        <w:rPr>
          <w:rFonts w:ascii="Times New Roman" w:cs="Times New Roman" w:eastAsia="Times New Roman" w:hAnsi="Times New Roman"/>
          <w:sz w:val="18"/>
          <w:szCs w:val="18"/>
          <w:color w:val="auto"/>
        </w:rPr>
        <w:t>Additionally, an open label drug-drug phase 1 interaction study was completed in healthy volunteers during the second quarter of 2015 with belapectin and it showed that with 8 mg/kg LBM dose of belapectin and 2 mg/kg LBM dose of midazolam there was no drug-drug interaction, and no serious adverse events or drug-related adverse events were observed. The secondary objective was to assess the safety and tolerability of belapectin when administered concomitantly with midazolam.</w:t>
      </w:r>
    </w:p>
    <w:p>
      <w:pPr>
        <w:spacing w:after="0" w:line="180" w:lineRule="exact"/>
        <w:rPr>
          <w:sz w:val="20"/>
          <w:szCs w:val="20"/>
          <w:color w:val="auto"/>
        </w:rPr>
      </w:pPr>
    </w:p>
    <w:p>
      <w:pPr>
        <w:ind w:right="60" w:firstLine="313"/>
        <w:spacing w:after="0" w:line="258" w:lineRule="auto"/>
        <w:rPr>
          <w:sz w:val="20"/>
          <w:szCs w:val="20"/>
          <w:color w:val="auto"/>
        </w:rPr>
      </w:pPr>
      <w:r>
        <w:rPr>
          <w:rFonts w:ascii="Times New Roman" w:cs="Times New Roman" w:eastAsia="Times New Roman" w:hAnsi="Times New Roman"/>
          <w:sz w:val="18"/>
          <w:szCs w:val="18"/>
          <w:color w:val="auto"/>
        </w:rPr>
        <w:t>Our Phase 2 program in fibrotic disease consisted of two separate human clinical trials. The main clinical trial was the Phase 2b NASH-CX study for one year for patients with NASH with compensated cirrhosis and portal hypertension, which began enrolling patients in June 2015. This study was a randomized, placebo-controlled, double-blind, parallel-group Phase 2b trial to evaluate the safety and efficacy of belapectin for treatment of liver fibrosis and resultant portal hypertension in NASH patients with compensated cirrhosis. A smaller, exploratory NASH-FX trial was conducted to explore potential use of various non-invasive imaging techniques in NASH patients with advanced fibrosis but not cirrhosis.</w:t>
      </w:r>
    </w:p>
    <w:p>
      <w:pPr>
        <w:spacing w:after="0" w:line="179" w:lineRule="exact"/>
        <w:rPr>
          <w:sz w:val="20"/>
          <w:szCs w:val="20"/>
          <w:color w:val="auto"/>
        </w:rPr>
      </w:pPr>
    </w:p>
    <w:p>
      <w:pPr>
        <w:ind w:right="40" w:firstLine="317"/>
        <w:spacing w:after="0" w:line="220" w:lineRule="auto"/>
        <w:rPr>
          <w:sz w:val="20"/>
          <w:szCs w:val="20"/>
          <w:color w:val="auto"/>
        </w:rPr>
      </w:pPr>
      <w:r>
        <w:rPr>
          <w:rFonts w:ascii="Times New Roman" w:cs="Times New Roman" w:eastAsia="Times New Roman" w:hAnsi="Times New Roman"/>
          <w:sz w:val="18"/>
          <w:szCs w:val="18"/>
          <w:b w:val="1"/>
          <w:bCs w:val="1"/>
          <w:color w:val="auto"/>
        </w:rPr>
        <w:t xml:space="preserve">NASH-FX Trial: </w:t>
      </w:r>
      <w:r>
        <w:rPr>
          <w:rFonts w:ascii="Times New Roman" w:cs="Times New Roman" w:eastAsia="Times New Roman" w:hAnsi="Times New Roman"/>
          <w:sz w:val="18"/>
          <w:szCs w:val="18"/>
          <w:color w:val="auto"/>
        </w:rPr>
        <w:t>The NASH-FX trial was a Phase 2a pilot trial for patients with NASH and advanced fibrosis that explored use of three non-invasive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imaging technologies. It was a short, single site, four-month trial in 30 NASH patients with advanced fibrosis (F3) randomized 1:1 to either 9 bi-weekly doses of 8 mg/kg LBM of belapectin or placebo. The trial did not meet its primary endpoint as measured using multi-parametric magnetic resonance imaging (LiverMultiScan</w:t>
      </w:r>
      <w:r>
        <w:rPr>
          <w:rFonts w:ascii="Times New Roman" w:cs="Times New Roman" w:eastAsia="Times New Roman" w:hAnsi="Times New Roman"/>
          <w:sz w:val="29"/>
          <w:szCs w:val="29"/>
          <w:color w:val="auto"/>
          <w:vertAlign w:val="superscript"/>
        </w:rPr>
        <w:t>(R)</w:t>
      </w:r>
      <w:r>
        <w:rPr>
          <w:rFonts w:ascii="Times New Roman" w:cs="Times New Roman" w:eastAsia="Times New Roman" w:hAnsi="Times New Roman"/>
          <w:sz w:val="18"/>
          <w:szCs w:val="18"/>
          <w:color w:val="auto"/>
        </w:rPr>
        <w:t>, Perspectum Diagnostics). The trial also did not meet secondary endpoints that measure liver stiffness as a surrogate for fibrosis using, magnetic resonance-elastography and FibroScan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score. With a four-month treatment period and a small number of patients per arm the study was not powered to demonstrate efficacy results in established advanced liver fibrosis. In the trial however, belapectin was found to be safe and well tolerated with no serious adverse events and showing evidence of a pharmacodynamic effect. These results provided support for further development in NASH.</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NASH-CX Trial: </w:t>
      </w:r>
      <w:r>
        <w:rPr>
          <w:rFonts w:ascii="Times New Roman" w:cs="Times New Roman" w:eastAsia="Times New Roman" w:hAnsi="Times New Roman"/>
          <w:sz w:val="18"/>
          <w:szCs w:val="18"/>
          <w:color w:val="auto"/>
        </w:rPr>
        <w:t>The NASH-CX trial was a larger multi-center clinical trial that explored the use of belapectin for the treatment of patients</w:t>
      </w:r>
    </w:p>
    <w:p>
      <w:pPr>
        <w:spacing w:after="0" w:line="31"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18"/>
          <w:szCs w:val="18"/>
          <w:color w:val="auto"/>
        </w:rPr>
        <w:t>with well-compensated NASH cirrhosis and portal hypertension. Enrollment was completed in September 2016, and a total of 162 patients at 36 sites in the United States were randomized to receive either 2 mg/kg LBM of belapectin, 8 mg/kg LBM of belapectin or placebo. Approximately 50% of patients at baseline had esophageal varices (a complication of portal hypertension). The primary endpoint was a reduction in hepatic venous pressure gradient (HVPG), a hemodynamic measure that estimates portal hypertension. Patients received an infusion of belapectin or placebo every other week for one year and were evaluated to determine the change in HVPG as compared with placebo. Secondary or exploratory endpoints included evaluation of fibrosis on liver biopsy, measurement of liver stiffness (FibroScan) and assessment of liver metabolism (</w:t>
      </w: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C-methacetin breath test). Top line data readout was reported in December 2017. The study demonstrated a favorable safety profile and clinically meaningful efficacy results in patients without esophageal varices at baseline as demonstrated by a decrease in portal pressure associated with the prevention of development of varices when compared to placebo.</w:t>
      </w:r>
    </w:p>
    <w:p>
      <w:pPr>
        <w:spacing w:after="0" w:line="203" w:lineRule="exact"/>
        <w:rPr>
          <w:sz w:val="20"/>
          <w:szCs w:val="20"/>
          <w:color w:val="auto"/>
        </w:rPr>
      </w:pPr>
    </w:p>
    <w:p>
      <w:pPr>
        <w:ind w:right="140" w:firstLine="313"/>
        <w:spacing w:after="0" w:line="266" w:lineRule="auto"/>
        <w:rPr>
          <w:sz w:val="20"/>
          <w:szCs w:val="20"/>
          <w:color w:val="auto"/>
        </w:rPr>
      </w:pPr>
      <w:r>
        <w:rPr>
          <w:rFonts w:ascii="Times New Roman" w:cs="Times New Roman" w:eastAsia="Times New Roman" w:hAnsi="Times New Roman"/>
          <w:sz w:val="18"/>
          <w:szCs w:val="18"/>
          <w:color w:val="auto"/>
        </w:rPr>
        <w:t>In the total patient population, the primary endpoint HVPG showed a trend toward benefit with belapectin treatment, but the difference from placebo was not statistically significant. The mean change in HVPG of placebo from baseline to week 54 was 0.3 mm Hg. The mean change in HVPG from baseline was -0.37 and -0.42 for the 2 mg/kg LBM dose and 8 mg/kg LBM dose of belapectin, respectively.</w:t>
      </w:r>
    </w:p>
    <w:p>
      <w:pPr>
        <w:spacing w:after="0" w:line="176" w:lineRule="exact"/>
        <w:rPr>
          <w:sz w:val="20"/>
          <w:szCs w:val="20"/>
          <w:color w:val="auto"/>
        </w:rPr>
      </w:pPr>
    </w:p>
    <w:p>
      <w:pPr>
        <w:ind w:right="260" w:firstLine="313"/>
        <w:spacing w:after="0" w:line="266" w:lineRule="auto"/>
        <w:rPr>
          <w:sz w:val="20"/>
          <w:szCs w:val="20"/>
          <w:color w:val="auto"/>
        </w:rPr>
      </w:pPr>
      <w:r>
        <w:rPr>
          <w:rFonts w:ascii="Times New Roman" w:cs="Times New Roman" w:eastAsia="Times New Roman" w:hAnsi="Times New Roman"/>
          <w:sz w:val="18"/>
          <w:szCs w:val="18"/>
          <w:color w:val="auto"/>
        </w:rPr>
        <w:t>In those NASH cirrhosis patients with portal hypertension who have not yet developed esophageal varices at baseline (about 50% of the total population), there was a statistically significant effect of the 2 mg/kg LBM dose of belapectin on the absolute change in HVPG (-1.08 mm Hg, p&lt;0.01). The effect of the 8 mg/Kg LBM dose of belapectin on absolute or percent change in HVPG from baseline to week 54 was not significant.</w:t>
      </w:r>
    </w:p>
    <w:p>
      <w:pPr>
        <w:spacing w:after="0" w:line="176" w:lineRule="exact"/>
        <w:rPr>
          <w:sz w:val="20"/>
          <w:szCs w:val="20"/>
          <w:color w:val="auto"/>
        </w:rPr>
      </w:pPr>
    </w:p>
    <w:p>
      <w:pPr>
        <w:ind w:right="240" w:firstLine="313"/>
        <w:spacing w:after="0" w:line="261" w:lineRule="auto"/>
        <w:rPr>
          <w:sz w:val="20"/>
          <w:szCs w:val="20"/>
          <w:color w:val="auto"/>
        </w:rPr>
      </w:pPr>
      <w:r>
        <w:rPr>
          <w:rFonts w:ascii="Times New Roman" w:cs="Times New Roman" w:eastAsia="Times New Roman" w:hAnsi="Times New Roman"/>
          <w:sz w:val="18"/>
          <w:szCs w:val="18"/>
          <w:color w:val="auto"/>
        </w:rPr>
        <w:t>Also because of the clinical relevance of this population, a responder analysis was performed on those patients without esophageal varices at baseline. Analysis was performed looking at two groups: those with an equal to or greater than 2 mm Hg decrease in HVPG from baseline or those with an equal to or greater than 2 mm Hg and a greater than or equal to 20% decrease in HVPG from baseline. In both cases, the change observed in the belapectin 2 mg/kg LBM group was statistically significant (p&lt;0.01) while that of the 8 mg/kg LBM group was not.</w:t>
      </w:r>
    </w:p>
    <w:p>
      <w:pPr>
        <w:spacing w:after="0" w:line="180" w:lineRule="exact"/>
        <w:rPr>
          <w:sz w:val="20"/>
          <w:szCs w:val="20"/>
          <w:color w:val="auto"/>
        </w:rPr>
      </w:pPr>
    </w:p>
    <w:p>
      <w:pPr>
        <w:ind w:firstLine="313"/>
        <w:spacing w:after="0" w:line="256" w:lineRule="auto"/>
        <w:rPr>
          <w:sz w:val="20"/>
          <w:szCs w:val="20"/>
          <w:color w:val="auto"/>
        </w:rPr>
      </w:pPr>
      <w:r>
        <w:rPr>
          <w:rFonts w:ascii="Times New Roman" w:cs="Times New Roman" w:eastAsia="Times New Roman" w:hAnsi="Times New Roman"/>
          <w:sz w:val="18"/>
          <w:szCs w:val="18"/>
          <w:color w:val="auto"/>
        </w:rPr>
        <w:t>Over the 54-week treatment period, in patients without varices at baseline there were also a statistically significantly fewer new varices that developed in the belapectin treatment groups (0% and 4% in the 2 mg/kg LBM and the 8 mg/kg LBM, respectively) vs placebo (18%). This meant that the decrease seen in portal pressure was associated with a decreased incidence of esophageal varices. The results were noticeable in the belapectin 2 mg/Kg LBM group as statistical significance against placebo was achieved for both parameters. As esophageal varices can lead to hemorrhagic complication, which can be fatal, and are a severe complication of liver cirrhosis, we believe the prevention of esophageal varices may represent a clinically relevant measure of clinical efficacy in patients with NASH cirrhosis.</w:t>
      </w: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firstLine="313"/>
        <w:spacing w:after="0" w:line="254" w:lineRule="auto"/>
        <w:rPr>
          <w:sz w:val="20"/>
          <w:szCs w:val="20"/>
          <w:color w:val="auto"/>
        </w:rPr>
      </w:pPr>
      <w:r>
        <w:rPr>
          <w:rFonts w:ascii="Times New Roman" w:cs="Times New Roman" w:eastAsia="Times New Roman" w:hAnsi="Times New Roman"/>
          <w:sz w:val="18"/>
          <w:szCs w:val="18"/>
          <w:color w:val="auto"/>
        </w:rPr>
        <w:t>The major conclusions from the NASH-CX trial results were that: (i) belapectin had a statistically significant and clinically meaningful effect in improving HVPG vs placebo in patients with NASH cirrhosis who did not have esophageal varices at baseline, (ii) Belapectin in the total patient population was associated with a statistically significant improvement in hepatocyte ballooning (ie cell death), (iii) There was a statistically significant reduction (p=0.02) in the development of new esophageal varices in drug-treated patients compared to placebo. We believe that the prevention of esophageal varices is a clinically relevant endpoint related to patient outcomes, (iv) While there was a drug effect in both the 2 mg/kg LBM and 8 mg/kg LBM groups on the development of varices and liver biopsy there was a consistently greater and statistically significant effect of the 2 mg/kg LBM dose of belapectin, (v) belapectin appears to be safe and well tolerated in this one year clinical trial, a feature that is of prime importance for a cirrhotic population and (vi) This is the first large, randomized clinical trial to demonstrate a clinically meaningful improvement in portal hypertension in patients with compensated NASH cirrhosis who have not yet developed esophageal varices.</w:t>
      </w:r>
    </w:p>
    <w:p>
      <w:pPr>
        <w:spacing w:after="0" w:line="188" w:lineRule="exact"/>
        <w:rPr>
          <w:sz w:val="20"/>
          <w:szCs w:val="20"/>
          <w:color w:val="auto"/>
        </w:rPr>
      </w:pPr>
    </w:p>
    <w:p>
      <w:pPr>
        <w:ind w:right="400" w:firstLine="313"/>
        <w:spacing w:after="0" w:line="282" w:lineRule="auto"/>
        <w:rPr>
          <w:sz w:val="20"/>
          <w:szCs w:val="20"/>
          <w:color w:val="auto"/>
        </w:rPr>
      </w:pPr>
      <w:r>
        <w:rPr>
          <w:rFonts w:ascii="Times New Roman" w:cs="Times New Roman" w:eastAsia="Times New Roman" w:hAnsi="Times New Roman"/>
          <w:sz w:val="18"/>
          <w:szCs w:val="18"/>
          <w:color w:val="auto"/>
        </w:rPr>
        <w:t xml:space="preserve">Further information and details on the NASH-CX results is available in public presentations posted to our website and filed with the SEC and in a peer reviewed publication in </w:t>
      </w:r>
      <w:r>
        <w:rPr>
          <w:rFonts w:ascii="Times New Roman" w:cs="Times New Roman" w:eastAsia="Times New Roman" w:hAnsi="Times New Roman"/>
          <w:sz w:val="18"/>
          <w:szCs w:val="18"/>
          <w:i w:val="1"/>
          <w:iCs w:val="1"/>
          <w:color w:val="auto"/>
        </w:rPr>
        <w:t>Gastroenterology</w:t>
      </w:r>
      <w:r>
        <w:rPr>
          <w:rFonts w:ascii="Times New Roman" w:cs="Times New Roman" w:eastAsia="Times New Roman" w:hAnsi="Times New Roman"/>
          <w:sz w:val="18"/>
          <w:szCs w:val="18"/>
          <w:color w:val="auto"/>
        </w:rPr>
        <w:t xml:space="preserve"> 2020;158:1334–1345.</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NASH NAVIGATE Trial: </w:t>
      </w:r>
      <w:r>
        <w:rPr>
          <w:rFonts w:ascii="Times New Roman" w:cs="Times New Roman" w:eastAsia="Times New Roman" w:hAnsi="Times New Roman"/>
          <w:sz w:val="18"/>
          <w:szCs w:val="18"/>
          <w:color w:val="auto"/>
        </w:rPr>
        <w:t>Building on the experience of the NASH-CX trial, the NAVIGATE Trial is a seamless adaptively-designed Phase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2b/3 clinical study evaluating the safety and efficacy of our galectin-3 inhibitor, belapectin, for the prevention of esophageal varices in patient with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alcoholic steatohepatitis (NASH) cirrhosis. The major features of this innovative Phase 2b/3 study design are: i) In patients with NASH cirrhosis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signs of portal hypertension but without esophageal varices at baseline, this trial will assess the effect of belapectin on the incidence of new varices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endpoint) – as well as assessing the effect of belapectin on the incidence of additional clinically significant cirrhosis-related outcomes (a key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secondary efficacy endpoint), (ii) The study targets NASH patients with a clearly identified unmet medical need: patients with compensated cirrhosis who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clinical signs of portal hypertension and, thus, are at risk of developing esophageal varices, a potentially life-threatening complication of cirrhosis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(bleeding varices are a cause of death in about one-third of cirrhotic patients). There is currently no approved treatment for preventing varices in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patients. In addition, the development of esophageal varices reflects the progression of hepatic cirrhosis and thus portends the development of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cirrhosis complications such as ascites, hepatic encephalopathy, and liver failure, and (iii) During the first 18 months, two belapectin dose levels (2 mg/kg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LBM and 4 mg/kg LBM) will be compared to placebo (phase 2b). Then, at the interim analysis (IA), the best belapectin dose will be selected, based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efficacy and safety, for continued evaluation (Phase 3). The belapectin dose selected for the phase 2b/3 were based on the analysis of the NASH-CX trial.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belapectin clinical studies have also indicated the good tolerance and safety profile of belapectin with doses of up to 8 mg/kg LBM for up to 52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weeks, an important feature to inform the future risk benefit analysis in patients with NASH cirrhosis.</w:t>
      </w:r>
    </w:p>
    <w:p>
      <w:pPr>
        <w:spacing w:after="0" w:line="207" w:lineRule="exact"/>
        <w:rPr>
          <w:sz w:val="20"/>
          <w:szCs w:val="20"/>
          <w:color w:val="auto"/>
        </w:rPr>
      </w:pPr>
    </w:p>
    <w:p>
      <w:pPr>
        <w:ind w:firstLine="313"/>
        <w:spacing w:after="0" w:line="256" w:lineRule="auto"/>
        <w:rPr>
          <w:sz w:val="20"/>
          <w:szCs w:val="20"/>
          <w:color w:val="auto"/>
        </w:rPr>
      </w:pPr>
      <w:r>
        <w:rPr>
          <w:rFonts w:ascii="Times New Roman" w:cs="Times New Roman" w:eastAsia="Times New Roman" w:hAnsi="Times New Roman"/>
          <w:sz w:val="18"/>
          <w:szCs w:val="18"/>
          <w:color w:val="auto"/>
        </w:rPr>
        <w:t>The study design provides for a pre-specified interim analysis (IA). The IA of efficacy and safety data will be conducted after all planned subjects in Phase 2b component have completed at least 78 weeks (18 months) of treatment and a second esophago-gastro-duodeno endoscopic assessment. The purpose of the IA is to allow potential seamless adaptive modifications of the study, including: (1) the selection of the optimal dose of belapectin for Phase 3, (2) the re-estimation of the study sample size for Phase 3 portion of the trial, (3) the re-evaluation of the randomization ratio for the Phase 3 portion of the trial, (4) the refinement of the inclusion and exclusion criteria for the Phase 3 portion of the trial, including the cirrhosis status, (5) and/or termination of the study for overwhelming efficacy or for futility.</w:t>
      </w:r>
    </w:p>
    <w:p>
      <w:pPr>
        <w:spacing w:after="0" w:line="187" w:lineRule="exact"/>
        <w:rPr>
          <w:sz w:val="20"/>
          <w:szCs w:val="20"/>
          <w:color w:val="auto"/>
        </w:rPr>
      </w:pPr>
    </w:p>
    <w:p>
      <w:pPr>
        <w:ind w:right="40" w:firstLine="313"/>
        <w:spacing w:after="0" w:line="255" w:lineRule="auto"/>
        <w:rPr>
          <w:sz w:val="20"/>
          <w:szCs w:val="20"/>
          <w:color w:val="auto"/>
        </w:rPr>
      </w:pPr>
      <w:r>
        <w:rPr>
          <w:rFonts w:ascii="Times New Roman" w:cs="Times New Roman" w:eastAsia="Times New Roman" w:hAnsi="Times New Roman"/>
          <w:sz w:val="18"/>
          <w:szCs w:val="18"/>
          <w:color w:val="auto"/>
        </w:rPr>
        <w:t>The trial design also includes a blinded sample size re-estimation (“SSR”) during the Phase 2b, prior to the IA, to allow for potential sample size readjustment. The SSR will be conducted when 50% of the patients have completed 18 months of therapy. This will allow us to confirm the underlying assumption regarding the rate of varices development, currently estimated from our prior Phase 2b trial (NASH-CX). The study design also minimizes invasive testing requirements, such as the measurement of HVPG or repeated liver biopsies, which we believe are particularly risky in patients with portal hypertension and will facilitate enrollment and retention of patients. It also provides for a seamless transition of patients from the Phase 2b component into the phase 3 stage, including the potential addition of new patients. The trial design preserves the surrogate end-point concepts (development of new varices versus variceal hemorrhage) previously discussed with FDA.</w:t>
      </w:r>
    </w:p>
    <w:p>
      <w:pPr>
        <w:spacing w:after="0" w:line="189" w:lineRule="exact"/>
        <w:rPr>
          <w:sz w:val="20"/>
          <w:szCs w:val="20"/>
          <w:color w:val="auto"/>
        </w:rPr>
      </w:pPr>
    </w:p>
    <w:p>
      <w:pPr>
        <w:ind w:right="160" w:firstLine="313"/>
        <w:spacing w:after="0" w:line="258" w:lineRule="auto"/>
        <w:rPr>
          <w:sz w:val="20"/>
          <w:szCs w:val="20"/>
          <w:color w:val="auto"/>
        </w:rPr>
      </w:pPr>
      <w:r>
        <w:rPr>
          <w:rFonts w:ascii="Times New Roman" w:cs="Times New Roman" w:eastAsia="Times New Roman" w:hAnsi="Times New Roman"/>
          <w:sz w:val="18"/>
          <w:szCs w:val="18"/>
          <w:color w:val="auto"/>
        </w:rPr>
        <w:t>We believe that these adaptations taken together are innovative and optimize conduct of the NAVIGATE trial with a clinically relevant primary outcome giving belapectin the best opportunity to show a positive therapeutic effect to address an unmet medical need. As a testimony of this innovation, the NAVIGATE trial design was presented to the hepatology community and featured during the last meeting of the American Association for the Study of Liver Diseases, in November 2021. If the IA results of the NAVIGATE trial are compelling, there could be the potential for accelerated FDA approval and/or partnership opportunity with a pharmaceutical company.</w:t>
      </w:r>
    </w:p>
    <w:p>
      <w:pPr>
        <w:spacing w:after="0" w:line="183" w:lineRule="exact"/>
        <w:rPr>
          <w:sz w:val="20"/>
          <w:szCs w:val="20"/>
          <w:color w:val="auto"/>
        </w:rPr>
      </w:pPr>
    </w:p>
    <w:p>
      <w:pPr>
        <w:ind w:right="320" w:firstLine="313"/>
        <w:spacing w:after="0" w:line="258" w:lineRule="auto"/>
        <w:rPr>
          <w:sz w:val="20"/>
          <w:szCs w:val="20"/>
          <w:color w:val="auto"/>
        </w:rPr>
      </w:pPr>
      <w:r>
        <w:rPr>
          <w:rFonts w:ascii="Times New Roman" w:cs="Times New Roman" w:eastAsia="Times New Roman" w:hAnsi="Times New Roman"/>
          <w:sz w:val="18"/>
          <w:szCs w:val="18"/>
          <w:color w:val="auto"/>
        </w:rPr>
        <w:t>In the Phase 3 component of this trial, as proposed in the protocol, the primary endpoint remain the development of varices. Secondary endpoints include a composite clinical outcomes endpoint, including varices requiring treatment (development of large varices or varices with a red wale), decompensating events, all-cause mortality, MELD score increase, liver transplant. Also, NASH non-invasive biomarkers will be evaluated. To target a population at risk of developing esophageal varices, patient selection will be based on clinical signs of portal hypertension, including, but not limited to, a low platelet count, an increased spleen size and/or evidence of abdominal collaterals circulation.</w:t>
      </w: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320" w:firstLine="313"/>
        <w:spacing w:after="0" w:line="261" w:lineRule="auto"/>
        <w:rPr>
          <w:sz w:val="20"/>
          <w:szCs w:val="20"/>
          <w:color w:val="auto"/>
        </w:rPr>
      </w:pPr>
      <w:r>
        <w:rPr>
          <w:rFonts w:ascii="Times New Roman" w:cs="Times New Roman" w:eastAsia="Times New Roman" w:hAnsi="Times New Roman"/>
          <w:sz w:val="18"/>
          <w:szCs w:val="18"/>
          <w:color w:val="auto"/>
        </w:rPr>
        <w:t>The focus and goal of the therapeutic program is to stop the progression of and/or reverse portal hypertension and thereby prevent the development of varices, potentially one of the most immediately life-threatening complication of cirrhosis. Based on the results of the NASH-CX trial and subject to confirmation in later stage clinical trials, we believe that this goal is achievable in a significant portion of the NASH cirrhosis patient population i.e. those NASH cirrhosis patients with clinical signs of portal hypertension for whom, currently no specific, liver targeted, treatment are available.</w:t>
      </w:r>
    </w:p>
    <w:p>
      <w:pPr>
        <w:spacing w:after="0" w:line="180" w:lineRule="exact"/>
        <w:rPr>
          <w:sz w:val="20"/>
          <w:szCs w:val="20"/>
          <w:color w:val="auto"/>
        </w:rPr>
      </w:pPr>
    </w:p>
    <w:p>
      <w:pPr>
        <w:ind w:right="120" w:firstLine="313"/>
        <w:spacing w:after="0" w:line="253" w:lineRule="auto"/>
        <w:rPr>
          <w:sz w:val="20"/>
          <w:szCs w:val="20"/>
          <w:color w:val="auto"/>
        </w:rPr>
      </w:pPr>
      <w:r>
        <w:rPr>
          <w:rFonts w:ascii="Times New Roman" w:cs="Times New Roman" w:eastAsia="Times New Roman" w:hAnsi="Times New Roman"/>
          <w:sz w:val="18"/>
          <w:szCs w:val="18"/>
          <w:color w:val="auto"/>
        </w:rPr>
        <w:t>The COVID-19 pandemic has delayed and may continue to delay our regulatory and ethics approvals, recruitment of sites, and enrollment of patients for our Phase 2b/3 NAVIGATE trial despite a recent uptick in screening activities. Many investigational centers in the United States and Europe have experienced shut-downs, and while some have loosened or removed restrictions, there may be a risk of experiencing new shut-downs and restrictions. In some countries, shutdown orders have also affected the regulatory process to authorize study starts. Governments and medical facilities have focused their resources for battling the COVID-19 pandemic. For several reasons, the pandemic makes enrolling patients for the NAVIGATE trial more challenging, including because patients eligible for the NAVIGATE trial have liver cirrhosis and, as such, are at a greater health risk of complications from COVID-19. It is also important to consider the safety of our candidate participants first, as cirrhotic patients with portal hypertension are immune compromised. We believe that as we continue to emerge from the COVID-19 pandemic, site recruitment and patient enrollment will accelerate and we have experienced increases in enrollment, particularly in the U.S. However, we have not seen the enrollment in Europe that we anticipated, and conditions there remain uncertain. Consequently, we have activated multiple sites in Latin America. At this time, enrollment completion of the Phase 2b portion of the trial is expected around the end of 2022.</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identified and activated approximately 140 clinical trial sites in 15 countries for the NAVIGATE trial.</w:t>
      </w:r>
    </w:p>
    <w:p>
      <w:pPr>
        <w:spacing w:after="0" w:line="225" w:lineRule="exact"/>
        <w:rPr>
          <w:sz w:val="20"/>
          <w:szCs w:val="20"/>
          <w:color w:val="auto"/>
        </w:rPr>
      </w:pPr>
    </w:p>
    <w:p>
      <w:pPr>
        <w:ind w:right="1480" w:firstLine="313"/>
        <w:spacing w:after="0" w:line="282" w:lineRule="auto"/>
        <w:rPr>
          <w:sz w:val="20"/>
          <w:szCs w:val="20"/>
          <w:color w:val="auto"/>
        </w:rPr>
      </w:pPr>
      <w:r>
        <w:rPr>
          <w:rFonts w:ascii="Times New Roman" w:cs="Times New Roman" w:eastAsia="Times New Roman" w:hAnsi="Times New Roman"/>
          <w:sz w:val="18"/>
          <w:szCs w:val="18"/>
          <w:color w:val="auto"/>
        </w:rPr>
        <w:t xml:space="preserve">Further details on the NAVIGATE trial can be found on </w:t>
      </w:r>
      <w:r>
        <w:rPr>
          <w:rFonts w:ascii="Times New Roman" w:cs="Times New Roman" w:eastAsia="Times New Roman" w:hAnsi="Times New Roman"/>
          <w:sz w:val="18"/>
          <w:szCs w:val="18"/>
          <w:u w:val="single" w:color="auto"/>
          <w:color w:val="auto"/>
        </w:rPr>
        <w:t>www.clinicaltrials.gov</w:t>
      </w:r>
      <w:r>
        <w:rPr>
          <w:rFonts w:ascii="Times New Roman" w:cs="Times New Roman" w:eastAsia="Times New Roman" w:hAnsi="Times New Roman"/>
          <w:sz w:val="18"/>
          <w:szCs w:val="18"/>
          <w:color w:val="auto"/>
        </w:rPr>
        <w:t xml:space="preserve"> under study NCT04365868 and on our NAVIGATE website (navigatenash.com).</w:t>
      </w:r>
    </w:p>
    <w:p>
      <w:pPr>
        <w:spacing w:after="0" w:line="162" w:lineRule="exact"/>
        <w:rPr>
          <w:sz w:val="20"/>
          <w:szCs w:val="20"/>
          <w:color w:val="auto"/>
        </w:rPr>
      </w:pPr>
    </w:p>
    <w:p>
      <w:pPr>
        <w:ind w:firstLine="313"/>
        <w:spacing w:after="0" w:line="254" w:lineRule="auto"/>
        <w:rPr>
          <w:sz w:val="20"/>
          <w:szCs w:val="20"/>
          <w:color w:val="auto"/>
        </w:rPr>
      </w:pPr>
      <w:r>
        <w:rPr>
          <w:rFonts w:ascii="Times New Roman" w:cs="Times New Roman" w:eastAsia="Times New Roman" w:hAnsi="Times New Roman"/>
          <w:sz w:val="18"/>
          <w:szCs w:val="18"/>
          <w:color w:val="auto"/>
        </w:rPr>
        <w:t xml:space="preserve">The Company also has commenced a Hepatic Impairment Study, which will run in parallel with the phase 2b/3 trial as part of the development program. The Hepatic Impairment Study is being conducted at three sites and involves approximately 40 patients (divided amongst normal healthy volunteers, and patients with hepatic impairment categorized as Child-Turcotte-Pugh (CTP) classes A (mild), B (moderate), and C (severe). Each subject will receive a single infusion of belapectin (4 mg/kg LBM) and their serum belapectin levels will be monitored for up to approximately two weeks to define the effects of various stages of cirrhosis on serum belapectin levels. The tolerance and safety of belapectin will be evaluated. Enrollment in this study was completed in February 2022, and the results will be announced when available. Based on the results from this hepatic impairment study, the Company may consider including patients with more advanced cirrhosis in the Phase 3 portion of its NAVIGATE trial. Until dosing and safety profile is further informed in CTP Class B and/or Class C patients, the NAVIGATE trial will enroll only CTP Class A patients. Further details on this hepatic impairment study can be found on </w:t>
      </w:r>
      <w:r>
        <w:rPr>
          <w:rFonts w:ascii="Times New Roman" w:cs="Times New Roman" w:eastAsia="Times New Roman" w:hAnsi="Times New Roman"/>
          <w:sz w:val="18"/>
          <w:szCs w:val="18"/>
          <w:u w:val="single" w:color="auto"/>
          <w:color w:val="auto"/>
        </w:rPr>
        <w:t>www.clinicaltrials.gov</w:t>
      </w:r>
      <w:r>
        <w:rPr>
          <w:rFonts w:ascii="Times New Roman" w:cs="Times New Roman" w:eastAsia="Times New Roman" w:hAnsi="Times New Roman"/>
          <w:sz w:val="18"/>
          <w:szCs w:val="18"/>
          <w:color w:val="auto"/>
        </w:rPr>
        <w:t xml:space="preserve"> study NCT04332432.</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Cancer Immunotherapy. </w:t>
      </w:r>
      <w:r>
        <w:rPr>
          <w:rFonts w:ascii="Times New Roman" w:cs="Times New Roman" w:eastAsia="Times New Roman" w:hAnsi="Times New Roman"/>
          <w:sz w:val="18"/>
          <w:szCs w:val="18"/>
          <w:color w:val="auto"/>
        </w:rPr>
        <w:t>We believe there is potential for galectin inhibition to play a key role in the innovative area of cancer immunotherapy.</w:t>
      </w:r>
    </w:p>
    <w:p>
      <w:pPr>
        <w:spacing w:after="0" w:line="29"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For example, there have been several recent approvals of drugs that enhance a patient’s immune system to fight cancer. It is our goal to use ourgalectin-3 inhibitor to further enhance the immune system function to help the body to fight cancer in a way that complements other approaches to this type of therapy. This hypothesis is supported by the fact that galectin-3 is expressed at high levels in multiple types of tumors and their micro-environment, where it fosters the malignant nature of the tumors, and protects the tumors from immune attack by the patient’s own defense mechanism. Our drug candidates provide a promising new therapeutic approach to enhance the activity of the immune system against cancer cells. Preclinical studies have indicated that belapectin enhances the immune response to cancer cells, increased tumor shrinkage and enhanced survival in immune competent mice with prostate, breast, melanoma and sarcoma cancers when combined with one of the immune checkpoint inhibitors, anti-CTLA-4 or anti-PD-1, or with the immune cell activator anti-OX40. These preclinical data led to the filing of two Investigator-sponsored INDs and the initiation of Phase 1B studies of belapectin in combination with Yervoy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(ipilimumab) in metastatic melanoma and another phase 1B study in combination with KEYTRUDA (pembrolizumab) in patients with metastatic melanoma and head and neck squamous cell carcinoma. These studies were conducted under the sponsorship of Providence Portland Medical Center’s Earle A. Chiles Research Institute (EACRI).</w:t>
      </w:r>
    </w:p>
    <w:p>
      <w:pPr>
        <w:spacing w:after="0" w:line="200" w:lineRule="exact"/>
        <w:rPr>
          <w:sz w:val="20"/>
          <w:szCs w:val="20"/>
          <w:color w:val="auto"/>
        </w:rPr>
      </w:pPr>
    </w:p>
    <w:p>
      <w:pPr>
        <w:ind w:right="800" w:firstLine="313"/>
        <w:spacing w:after="0" w:line="282" w:lineRule="auto"/>
        <w:rPr>
          <w:sz w:val="20"/>
          <w:szCs w:val="20"/>
          <w:color w:val="auto"/>
        </w:rPr>
      </w:pPr>
      <w:r>
        <w:rPr>
          <w:rFonts w:ascii="Times New Roman" w:cs="Times New Roman" w:eastAsia="Times New Roman" w:hAnsi="Times New Roman"/>
          <w:sz w:val="18"/>
          <w:szCs w:val="18"/>
          <w:color w:val="auto"/>
        </w:rPr>
        <w:t>The phase IB study in combination with Yervoy was rapidly discontinued after the first patients were recruited because of the availability on new treatment in the selected population.</w:t>
      </w:r>
    </w:p>
    <w:p>
      <w:pPr>
        <w:spacing w:after="0" w:line="152" w:lineRule="exact"/>
        <w:rPr>
          <w:sz w:val="20"/>
          <w:szCs w:val="20"/>
          <w:color w:val="auto"/>
        </w:rPr>
      </w:pPr>
    </w:p>
    <w:p>
      <w:pPr>
        <w:ind w:right="40" w:firstLine="319"/>
        <w:spacing w:after="0" w:line="237" w:lineRule="auto"/>
        <w:rPr>
          <w:sz w:val="20"/>
          <w:szCs w:val="20"/>
          <w:color w:val="auto"/>
        </w:rPr>
      </w:pPr>
      <w:r>
        <w:rPr>
          <w:rFonts w:ascii="Times New Roman" w:cs="Times New Roman" w:eastAsia="Times New Roman" w:hAnsi="Times New Roman"/>
          <w:sz w:val="18"/>
          <w:szCs w:val="18"/>
          <w:color w:val="auto"/>
        </w:rPr>
        <w:t>Promising results were reported in the Phase 1b trial combining belapectin with pembrolizumab (KEYTRUDA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When aggregated cohorts are combined, in advanced melanoma, a 50% objective response rate with belapectin in combination with KEYTRUDA, was documented. In addition, a 33% response rate was documented in patients with head and neck cancer The results have been published in 2021 in a highly rated peer reviewed journal (Curti et al. Journal of Immunotherapy of cancer 2021;9:e002371). There was also a suggestion that the combination of belapectin with pembrolizumab could decrease the auto-immune side-effect induced by pembrolizumab. These side-effects, which are directly linked to the mechanism of action of pembrolizumab, can be poorly tolerated and even severe enough to lead to treatment interruption, even if the effect on the cancer was encouraging. This is of course, a very frustrating situation for patients who have to discontinue an active treatment but have no other options available to them. We believe these data, taken together with the observed favorable safety and tolerability of the combination, provide a rationale to move the belapectin program in oncology forward.</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2022 Compared to Three and Nine Months Ended September 30,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20"/>
                <w:szCs w:val="20"/>
                <w:color w:val="auto"/>
              </w:rPr>
            </w:pPr>
          </w:p>
        </w:tc>
        <w:tc>
          <w:tcPr>
            <w:tcW w:w="20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Nine Months Ended</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2022 as Compared to 2021</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September 30,</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September 30,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300" w:type="dxa"/>
            <w:vAlign w:val="bottom"/>
            <w:tcBorders>
              <w:top w:val="single" w:sz="8" w:color="auto"/>
            </w:tcBorders>
            <w:gridSpan w:val="4"/>
          </w:tcPr>
          <w:p>
            <w:pPr>
              <w:jc w:val="right"/>
              <w:ind w:right="900"/>
              <w:spacing w:after="0"/>
              <w:rPr>
                <w:sz w:val="20"/>
                <w:szCs w:val="20"/>
                <w:color w:val="auto"/>
              </w:rPr>
            </w:pPr>
            <w:r>
              <w:rPr>
                <w:rFonts w:ascii="Times New Roman" w:cs="Times New Roman" w:eastAsia="Times New Roman" w:hAnsi="Times New Roman"/>
                <w:sz w:val="18"/>
                <w:szCs w:val="18"/>
                <w:color w:val="auto"/>
              </w:rPr>
              <w:t>Three Months</w:t>
            </w:r>
          </w:p>
        </w:tc>
        <w:tc>
          <w:tcPr>
            <w:tcW w:w="2000" w:type="dxa"/>
            <w:vAlign w:val="bottom"/>
            <w:tcBorders>
              <w:top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color w:val="auto"/>
              </w:rPr>
              <w:t>Nine Months</w:t>
            </w:r>
          </w:p>
        </w:tc>
        <w:tc>
          <w:tcPr>
            <w:tcW w:w="160" w:type="dxa"/>
            <w:vAlign w:val="bottom"/>
          </w:tcPr>
          <w:p>
            <w:pPr>
              <w:spacing w:after="0"/>
              <w:rPr>
                <w:sz w:val="19"/>
                <w:szCs w:val="19"/>
                <w:color w:val="auto"/>
              </w:rPr>
            </w:pPr>
          </w:p>
        </w:tc>
      </w:tr>
      <w:tr>
        <w:trPr>
          <w:trHeight w:val="223"/>
        </w:trPr>
        <w:tc>
          <w:tcPr>
            <w:tcW w:w="2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 Change</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400" w:type="dxa"/>
            <w:vAlign w:val="bottom"/>
          </w:tcPr>
          <w:p>
            <w:pPr>
              <w:spacing w:after="0"/>
              <w:rPr>
                <w:sz w:val="19"/>
                <w:szCs w:val="19"/>
                <w:color w:val="auto"/>
              </w:rPr>
            </w:pPr>
          </w:p>
        </w:tc>
        <w:tc>
          <w:tcPr>
            <w:tcW w:w="11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Change</w:t>
            </w:r>
          </w:p>
        </w:tc>
        <w:tc>
          <w:tcPr>
            <w:tcW w:w="9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Change</w:t>
            </w:r>
          </w:p>
        </w:tc>
        <w:tc>
          <w:tcPr>
            <w:tcW w:w="160" w:type="dxa"/>
            <w:vAlign w:val="bottom"/>
          </w:tcPr>
          <w:p>
            <w:pPr>
              <w:spacing w:after="0"/>
              <w:rPr>
                <w:sz w:val="19"/>
                <w:szCs w:val="19"/>
                <w:color w:val="auto"/>
              </w:rPr>
            </w:pPr>
          </w:p>
        </w:tc>
      </w:tr>
      <w:tr>
        <w:trPr>
          <w:trHeight w:val="216"/>
        </w:trPr>
        <w:tc>
          <w:tcPr>
            <w:tcW w:w="2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84"/>
              </w:rPr>
              <w:t>(In thousands,</w:t>
            </w:r>
          </w:p>
        </w:tc>
        <w:tc>
          <w:tcPr>
            <w:tcW w:w="220" w:type="dxa"/>
            <w:vAlign w:val="bottom"/>
          </w:tcPr>
          <w:p>
            <w:pPr>
              <w:spacing w:after="0"/>
              <w:rPr>
                <w:sz w:val="18"/>
                <w:szCs w:val="18"/>
                <w:color w:val="auto"/>
              </w:rPr>
            </w:pPr>
          </w:p>
        </w:tc>
        <w:tc>
          <w:tcPr>
            <w:tcW w:w="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except %)</w:t>
            </w: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6,598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22,730</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17,962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 $</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4,768</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bl>
    <w:p>
      <w:pPr>
        <w:spacing w:after="0" w:line="198" w:lineRule="exact"/>
        <w:rPr>
          <w:sz w:val="20"/>
          <w:szCs w:val="20"/>
          <w:color w:val="auto"/>
        </w:rPr>
      </w:pPr>
    </w:p>
    <w:p>
      <w:pPr>
        <w:ind w:right="120" w:firstLine="397"/>
        <w:spacing w:after="0" w:line="254" w:lineRule="auto"/>
        <w:rPr>
          <w:sz w:val="20"/>
          <w:szCs w:val="20"/>
          <w:color w:val="auto"/>
        </w:rPr>
      </w:pPr>
      <w:r>
        <w:rPr>
          <w:rFonts w:ascii="Times New Roman" w:cs="Times New Roman" w:eastAsia="Times New Roman" w:hAnsi="Times New Roman"/>
          <w:sz w:val="18"/>
          <w:szCs w:val="18"/>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Our research and development expenses were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1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24"/>
                <w:szCs w:val="24"/>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850"/>
              <w:spacing w:after="0"/>
              <w:rPr>
                <w:sz w:val="20"/>
                <w:szCs w:val="20"/>
                <w:color w:val="auto"/>
              </w:rPr>
            </w:pPr>
            <w:r>
              <w:rPr>
                <w:rFonts w:ascii="Times New Roman" w:cs="Times New Roman" w:eastAsia="Times New Roman" w:hAnsi="Times New Roman"/>
                <w:sz w:val="18"/>
                <w:szCs w:val="18"/>
                <w:color w:val="auto"/>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 external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132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w w:val="76"/>
              </w:rPr>
              <w:t>thousands)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Clinical programs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5,397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5,768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19,058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15,928</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Pre-clinical activities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215</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research and development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1,616</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98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6,598</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6,613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22,730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17,962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Clinical programs expenses increased primarily due to costs related to our NAVIGATE trial during the nine months ended September 30, 2022.</w:t>
      </w:r>
    </w:p>
    <w:p>
      <w:pPr>
        <w:spacing w:after="0" w:line="225" w:lineRule="exact"/>
        <w:rPr>
          <w:sz w:val="20"/>
          <w:szCs w:val="20"/>
          <w:color w:val="auto"/>
        </w:rPr>
      </w:pPr>
    </w:p>
    <w:p>
      <w:pPr>
        <w:ind w:right="100" w:firstLine="397"/>
        <w:spacing w:after="0" w:line="254" w:lineRule="auto"/>
        <w:rPr>
          <w:sz w:val="20"/>
          <w:szCs w:val="20"/>
          <w:color w:val="auto"/>
        </w:rPr>
      </w:pPr>
      <w:r>
        <w:rPr>
          <w:rFonts w:ascii="Times New Roman" w:cs="Times New Roman" w:eastAsia="Times New Roman" w:hAnsi="Times New Roman"/>
          <w:sz w:val="18"/>
          <w:szCs w:val="18"/>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 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2022 as Compared to 2021</w:t>
            </w:r>
          </w:p>
        </w:tc>
        <w:tc>
          <w:tcPr>
            <w:tcW w:w="8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98"/>
        </w:trPr>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5"/>
          </w:tcPr>
          <w:p>
            <w:pPr>
              <w:ind w:left="320"/>
              <w:spacing w:after="0" w:line="198" w:lineRule="exact"/>
              <w:rPr>
                <w:sz w:val="20"/>
                <w:szCs w:val="20"/>
                <w:color w:val="auto"/>
              </w:rPr>
            </w:pPr>
            <w:r>
              <w:rPr>
                <w:rFonts w:ascii="Times New Roman" w:cs="Times New Roman" w:eastAsia="Times New Roman" w:hAnsi="Times New Roman"/>
                <w:sz w:val="18"/>
                <w:szCs w:val="18"/>
                <w:color w:val="auto"/>
              </w:rPr>
              <w:t>Three Months</w:t>
            </w:r>
          </w:p>
        </w:tc>
        <w:tc>
          <w:tcPr>
            <w:tcW w:w="180" w:type="dxa"/>
            <w:vAlign w:val="bottom"/>
          </w:tcPr>
          <w:p>
            <w:pPr>
              <w:spacing w:after="0"/>
              <w:rPr>
                <w:sz w:val="17"/>
                <w:szCs w:val="17"/>
                <w:color w:val="auto"/>
              </w:rPr>
            </w:pPr>
          </w:p>
        </w:tc>
        <w:tc>
          <w:tcPr>
            <w:tcW w:w="2240" w:type="dxa"/>
            <w:vAlign w:val="bottom"/>
            <w:gridSpan w:val="5"/>
          </w:tcPr>
          <w:p>
            <w:pPr>
              <w:ind w:left="540"/>
              <w:spacing w:after="0" w:line="198" w:lineRule="exact"/>
              <w:rPr>
                <w:sz w:val="20"/>
                <w:szCs w:val="20"/>
                <w:color w:val="auto"/>
              </w:rPr>
            </w:pPr>
            <w:r>
              <w:rPr>
                <w:rFonts w:ascii="Times New Roman" w:cs="Times New Roman" w:eastAsia="Times New Roman" w:hAnsi="Times New Roman"/>
                <w:sz w:val="18"/>
                <w:szCs w:val="18"/>
                <w:color w:val="auto"/>
              </w:rPr>
              <w:t>Nine Months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41"/>
        </w:trPr>
        <w:tc>
          <w:tcPr>
            <w:tcW w:w="2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Ended September 30,</w:t>
            </w:r>
          </w:p>
        </w:tc>
        <w:tc>
          <w:tcPr>
            <w:tcW w:w="180" w:type="dxa"/>
            <w:vAlign w:val="bottom"/>
          </w:tcPr>
          <w:p>
            <w:pPr>
              <w:spacing w:after="0"/>
              <w:rPr>
                <w:sz w:val="20"/>
                <w:szCs w:val="20"/>
                <w:color w:val="auto"/>
              </w:rPr>
            </w:pPr>
          </w:p>
        </w:tc>
        <w:tc>
          <w:tcPr>
            <w:tcW w:w="224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Ended September 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color w:val="auto"/>
              </w:rPr>
              <w:t>Three Months</w:t>
            </w:r>
          </w:p>
        </w:tc>
        <w:tc>
          <w:tcPr>
            <w:tcW w:w="204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Nine Months</w:t>
            </w:r>
          </w:p>
        </w:tc>
      </w:tr>
      <w:tr>
        <w:trPr>
          <w:trHeight w:val="223"/>
        </w:trPr>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 Change</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340" w:type="dxa"/>
            <w:vAlign w:val="bottom"/>
          </w:tcPr>
          <w:p>
            <w:pPr>
              <w:spacing w:after="0"/>
              <w:rPr>
                <w:sz w:val="19"/>
                <w:szCs w:val="19"/>
                <w:color w:val="auto"/>
              </w:rPr>
            </w:pPr>
          </w:p>
        </w:tc>
        <w:tc>
          <w:tcPr>
            <w:tcW w:w="10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Change</w:t>
            </w:r>
          </w:p>
        </w:tc>
        <w:tc>
          <w:tcPr>
            <w:tcW w:w="8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Change</w:t>
            </w:r>
          </w:p>
        </w:tc>
        <w:tc>
          <w:tcPr>
            <w:tcW w:w="180" w:type="dxa"/>
            <w:vAlign w:val="bottom"/>
          </w:tcPr>
          <w:p>
            <w:pPr>
              <w:spacing w:after="0"/>
              <w:rPr>
                <w:sz w:val="19"/>
                <w:szCs w:val="19"/>
                <w:color w:val="auto"/>
              </w:rPr>
            </w:pPr>
          </w:p>
        </w:tc>
      </w:tr>
      <w:tr>
        <w:trPr>
          <w:trHeight w:val="216"/>
        </w:trPr>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gridSpan w:val="2"/>
          </w:tcPr>
          <w:p>
            <w:pPr>
              <w:spacing w:after="0"/>
              <w:rPr>
                <w:sz w:val="18"/>
                <w:szCs w:val="18"/>
                <w:color w:val="auto"/>
              </w:rPr>
            </w:pPr>
          </w:p>
        </w:tc>
        <w:tc>
          <w:tcPr>
            <w:tcW w:w="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except %)</w:t>
            </w:r>
          </w:p>
        </w:tc>
        <w:tc>
          <w:tcPr>
            <w:tcW w:w="1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1,524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1,631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4,989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4,792</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197</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bl>
    <w:p>
      <w:pPr>
        <w:spacing w:after="0" w:line="198"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including stock-based compensation, legal and accounting fees, insurance, investor relations, business development and other office related expenses. The primary reasons for the decrease in general and administrative expenses for the three months ended September 30, 2022 as compared to the same period in 2021 are due to decreases legal expense of $81,000. The primary reasons for the increase in general and administrative expenses for the nine months ended September 30, 2022 as compared to the same period in 2021 are due to increases in non-cash stock based compensation expense of $415,000 partially offset by decrease in investor relations/business development expense of $171,000.</w:t>
      </w:r>
    </w:p>
    <w:p>
      <w:pPr>
        <w:sectPr>
          <w:pgSz w:w="11900" w:h="16838" w:orient="portrait"/>
          <w:cols w:equalWidth="0" w:num="1">
            <w:col w:w="11240"/>
          </w:cols>
          <w:pgMar w:left="320" w:top="115" w:right="339"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385"/>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Other Income and Expense.</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2022 as Compared to 2021</w:t>
            </w: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98"/>
        </w:trPr>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20" w:type="dxa"/>
            <w:vAlign w:val="bottom"/>
            <w:gridSpan w:val="5"/>
          </w:tcPr>
          <w:p>
            <w:pPr>
              <w:ind w:left="440"/>
              <w:spacing w:after="0" w:line="198" w:lineRule="exact"/>
              <w:rPr>
                <w:sz w:val="20"/>
                <w:szCs w:val="20"/>
                <w:color w:val="auto"/>
              </w:rPr>
            </w:pPr>
            <w:r>
              <w:rPr>
                <w:rFonts w:ascii="Times New Roman" w:cs="Times New Roman" w:eastAsia="Times New Roman" w:hAnsi="Times New Roman"/>
                <w:sz w:val="18"/>
                <w:szCs w:val="18"/>
                <w:color w:val="auto"/>
              </w:rPr>
              <w:t>Three Months</w:t>
            </w:r>
          </w:p>
        </w:tc>
        <w:tc>
          <w:tcPr>
            <w:tcW w:w="200" w:type="dxa"/>
            <w:vAlign w:val="bottom"/>
          </w:tcPr>
          <w:p>
            <w:pPr>
              <w:spacing w:after="0"/>
              <w:rPr>
                <w:sz w:val="17"/>
                <w:szCs w:val="17"/>
                <w:color w:val="auto"/>
              </w:rPr>
            </w:pPr>
          </w:p>
        </w:tc>
        <w:tc>
          <w:tcPr>
            <w:tcW w:w="1880" w:type="dxa"/>
            <w:vAlign w:val="bottom"/>
            <w:gridSpan w:val="4"/>
          </w:tcPr>
          <w:p>
            <w:pPr>
              <w:jc w:val="center"/>
              <w:ind w:left="250"/>
              <w:spacing w:after="0" w:line="198" w:lineRule="exact"/>
              <w:rPr>
                <w:sz w:val="20"/>
                <w:szCs w:val="20"/>
                <w:color w:val="auto"/>
              </w:rPr>
            </w:pPr>
            <w:r>
              <w:rPr>
                <w:rFonts w:ascii="Times New Roman" w:cs="Times New Roman" w:eastAsia="Times New Roman" w:hAnsi="Times New Roman"/>
                <w:sz w:val="18"/>
                <w:szCs w:val="18"/>
                <w:color w:val="auto"/>
                <w:w w:val="99"/>
              </w:rPr>
              <w:t>Nine Months</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1"/>
        </w:trPr>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Ended September 30,</w:t>
            </w:r>
          </w:p>
        </w:tc>
        <w:tc>
          <w:tcPr>
            <w:tcW w:w="200" w:type="dxa"/>
            <w:vAlign w:val="bottom"/>
          </w:tcPr>
          <w:p>
            <w:pPr>
              <w:spacing w:after="0"/>
              <w:rPr>
                <w:sz w:val="20"/>
                <w:szCs w:val="20"/>
                <w:color w:val="auto"/>
              </w:rPr>
            </w:pPr>
          </w:p>
        </w:tc>
        <w:tc>
          <w:tcPr>
            <w:tcW w:w="1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Ended September 30,</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color w:val="auto"/>
              </w:rPr>
              <w:t>Three Months</w:t>
            </w:r>
          </w:p>
        </w:tc>
        <w:tc>
          <w:tcPr>
            <w:tcW w:w="210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Nine Months</w:t>
            </w:r>
          </w:p>
        </w:tc>
      </w:tr>
      <w:tr>
        <w:trPr>
          <w:trHeight w:val="223"/>
        </w:trPr>
        <w:tc>
          <w:tcPr>
            <w:tcW w:w="10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Change</w:t>
            </w:r>
          </w:p>
        </w:tc>
        <w:tc>
          <w:tcPr>
            <w:tcW w:w="340" w:type="dxa"/>
            <w:vAlign w:val="bottom"/>
            <w:tcBorders>
              <w:top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 Change</w:t>
            </w:r>
          </w:p>
        </w:tc>
        <w:tc>
          <w:tcPr>
            <w:tcW w:w="38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Change</w:t>
            </w:r>
          </w:p>
        </w:tc>
        <w:tc>
          <w:tcPr>
            <w:tcW w:w="320" w:type="dxa"/>
            <w:vAlign w:val="bottom"/>
            <w:tcBorders>
              <w:top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 Change</w:t>
            </w:r>
          </w:p>
        </w:tc>
        <w:tc>
          <w:tcPr>
            <w:tcW w:w="22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(In thousands,</w:t>
            </w:r>
          </w:p>
        </w:tc>
        <w:tc>
          <w:tcPr>
            <w:tcW w:w="11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except %)</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w:t>
            </w:r>
          </w:p>
        </w:tc>
        <w:tc>
          <w:tcPr>
            <w:tcW w:w="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(475)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(552)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199</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  $</w:t>
            </w:r>
          </w:p>
        </w:tc>
        <w:tc>
          <w:tcPr>
            <w:tcW w:w="11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(129)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198" w:lineRule="exact"/>
        <w:rPr>
          <w:sz w:val="20"/>
          <w:szCs w:val="20"/>
          <w:color w:val="auto"/>
        </w:rPr>
      </w:pPr>
    </w:p>
    <w:p>
      <w:pPr>
        <w:jc w:val="both"/>
        <w:ind w:right="20" w:firstLine="397"/>
        <w:spacing w:after="0" w:line="258" w:lineRule="auto"/>
        <w:rPr>
          <w:sz w:val="20"/>
          <w:szCs w:val="20"/>
          <w:color w:val="auto"/>
        </w:rPr>
      </w:pPr>
      <w:r>
        <w:rPr>
          <w:rFonts w:ascii="Times New Roman" w:cs="Times New Roman" w:eastAsia="Times New Roman" w:hAnsi="Times New Roman"/>
          <w:sz w:val="18"/>
          <w:szCs w:val="18"/>
          <w:color w:val="auto"/>
        </w:rPr>
        <w:t>Other income and expense consist of interest income, non-cash interest expense and change in fair value of derivatives. The primary reasons for the increase in other income and expense for the three months ended September 30, 2022 as compared to the same period in 2021 are due to an increase in non-cash interest expense of $158,000 and increase in change in fair value of derivatives $58,000. The primary reasons for the decrease in other income and expense for the nine months ended September 30, 2022 as compared to the same period in 2021 are due to increase in non-cash interest expense of $508,000 and increase in change in fair value of derivatives $(618,000).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397"/>
        <w:spacing w:after="0" w:line="254" w:lineRule="auto"/>
        <w:rPr>
          <w:sz w:val="20"/>
          <w:szCs w:val="20"/>
          <w:color w:val="auto"/>
        </w:rPr>
      </w:pPr>
      <w:r>
        <w:rPr>
          <w:rFonts w:ascii="Times New Roman" w:cs="Times New Roman" w:eastAsia="Times New Roman" w:hAnsi="Times New Roman"/>
          <w:sz w:val="18"/>
          <w:szCs w:val="18"/>
          <w:color w:val="auto"/>
        </w:rPr>
        <w:t>Since our inception on July 10, 2000, we have financed our operations from proceeds of public and private offerings of debt and equity. At September 30, 2022, the Company had $15,831,000 of unrestricted cash and cash equivalents available to fund future operations. In July 2022, the Company entered into a $60 million unsecured line of credit financing with its chairman, Richard E. Uihlein (See Note 12). The Company believes there is sufficient cash, including availability of the line of credit, to fund currently planned operations at least through December 31, 2024. To meet its future capital needs, the Company intends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 The Company has the ability to delay certain research activities and related clinical expenses if necessary due to liquidity concerns until a date when those concerns are relieved.</w:t>
      </w:r>
    </w:p>
    <w:p>
      <w:pPr>
        <w:spacing w:after="0" w:line="188" w:lineRule="exact"/>
        <w:rPr>
          <w:sz w:val="20"/>
          <w:szCs w:val="20"/>
          <w:color w:val="auto"/>
        </w:rPr>
      </w:pPr>
    </w:p>
    <w:p>
      <w:pPr>
        <w:ind w:right="140" w:firstLine="397"/>
        <w:spacing w:after="0" w:line="266" w:lineRule="auto"/>
        <w:rPr>
          <w:sz w:val="20"/>
          <w:szCs w:val="20"/>
          <w:color w:val="auto"/>
        </w:rPr>
      </w:pPr>
      <w:r>
        <w:rPr>
          <w:rFonts w:ascii="Times New Roman" w:cs="Times New Roman" w:eastAsia="Times New Roman" w:hAnsi="Times New Roman"/>
          <w:sz w:val="18"/>
          <w:szCs w:val="18"/>
          <w:color w:val="auto"/>
        </w:rPr>
        <w:t>Net cash used in operations increased by $6,460,000 to $23,817,000 for the nine months ended September 30, 2022, as compared to $17,357,000 for the nine months ended September 30, 2021. Cash operating expenses increased principally due to the preparations and expenses related to our NAVIGATE clinical trial with belapectin.</w:t>
      </w:r>
    </w:p>
    <w:p>
      <w:pPr>
        <w:spacing w:after="0" w:line="176" w:lineRule="exact"/>
        <w:rPr>
          <w:sz w:val="20"/>
          <w:szCs w:val="20"/>
          <w:color w:val="auto"/>
        </w:rPr>
      </w:pPr>
    </w:p>
    <w:p>
      <w:pPr>
        <w:jc w:val="both"/>
        <w:ind w:right="220" w:firstLine="397"/>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2021, of $26,815,000 represents proceeds of $20,000,000 from two convertible notes payable, $2,951,000 from the exercise of common stock warrants and $3,864,000 in net proceeds from issuance of common shares under our ATM.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right="200" w:firstLine="397"/>
        <w:spacing w:after="0" w:line="266" w:lineRule="auto"/>
        <w:rPr>
          <w:sz w:val="20"/>
          <w:szCs w:val="20"/>
          <w:color w:val="auto"/>
        </w:rPr>
      </w:pPr>
      <w:r>
        <w:rPr>
          <w:rFonts w:ascii="Times New Roman" w:cs="Times New Roman" w:eastAsia="Times New Roman" w:hAnsi="Times New Roman"/>
          <w:sz w:val="18"/>
          <w:szCs w:val="18"/>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Critical Accounting Policies and Estimates</w:t>
      </w:r>
    </w:p>
    <w:p>
      <w:pPr>
        <w:spacing w:after="0" w:line="229" w:lineRule="exact"/>
        <w:rPr>
          <w:sz w:val="20"/>
          <w:szCs w:val="20"/>
          <w:color w:val="auto"/>
        </w:rPr>
      </w:pPr>
    </w:p>
    <w:p>
      <w:pPr>
        <w:jc w:val="both"/>
        <w:ind w:right="380" w:firstLine="397"/>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requires us to make estimates and judgments that affect the reported amounts of assets, liabilities, expenses, and related disclosure of contingent assets and liabilities. On an ongoing basis, we evaluate our estimates, including those related to accrued expenses, stock-based compensation, contingencies and litigation. We base our estimates on historical experience, terms of existing contracts, our observance of trends in the industry, information available from other outside sources and on various other factors that we believe to be appropriate under the circumstances. Actual results may differ from these estimates under different assumptions or conditions.</w:t>
      </w:r>
    </w:p>
    <w:p>
      <w:pPr>
        <w:spacing w:after="0" w:line="183" w:lineRule="exact"/>
        <w:rPr>
          <w:sz w:val="20"/>
          <w:szCs w:val="20"/>
          <w:color w:val="auto"/>
        </w:rPr>
      </w:pPr>
    </w:p>
    <w:p>
      <w:pPr>
        <w:ind w:right="280" w:firstLine="397"/>
        <w:spacing w:after="0" w:line="266" w:lineRule="auto"/>
        <w:rPr>
          <w:sz w:val="20"/>
          <w:szCs w:val="20"/>
          <w:color w:val="auto"/>
        </w:rPr>
      </w:pPr>
      <w:r>
        <w:rPr>
          <w:rFonts w:ascii="Times New Roman" w:cs="Times New Roman" w:eastAsia="Times New Roman" w:hAnsi="Times New Roman"/>
          <w:sz w:val="18"/>
          <w:szCs w:val="18"/>
          <w:color w:val="auto"/>
        </w:rPr>
        <w:t>Critical accounting policies are those policies that affect our more significant judgments and estimates used in preparation of our consolidated financial statements. We believe our critical accounting policies include our policies regarding stock-based compensation, accrued expenses, derivatives and income taxes. For a more detailed discussion of our critical accounting policies, please refer to our 2021 Annual Report on Form 10-K.</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firstLine="397"/>
        <w:spacing w:after="0" w:line="261"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operating results or cash flows due to changes in the U.S. interest rates. The primary objective of our investment activities is to preserve cash until it is required to fund operations. To minimize risk, we maintain our portfolio of cash and cash equivalents in operating bank accounts and money market funds. Since our investments are short-term in duration, we believe that we are not subject to any material market risk exposure.</w:t>
      </w:r>
    </w:p>
    <w:p>
      <w:pPr>
        <w:spacing w:after="0" w:line="1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260" w:firstLine="397"/>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the Chief Executive Officer and Chief Financial Officer, evaluated the effectiveness of our disclosure controls and procedures (as defined in Rule 13a-15(e) promulgated under the Securities Exchange Act of 1934) and concluded that, as of September 30, 2022, our disclosure controls and procedures were not effective due to a material weakness in internal control over financial reporting described below.</w:t>
      </w:r>
    </w:p>
    <w:p>
      <w:pPr>
        <w:spacing w:after="0" w:line="176" w:lineRule="exact"/>
        <w:rPr>
          <w:sz w:val="20"/>
          <w:szCs w:val="20"/>
          <w:color w:val="auto"/>
        </w:rPr>
      </w:pPr>
    </w:p>
    <w:p>
      <w:pPr>
        <w:jc w:val="both"/>
        <w:ind w:firstLine="397"/>
        <w:spacing w:after="0" w:line="266" w:lineRule="auto"/>
        <w:rPr>
          <w:sz w:val="20"/>
          <w:szCs w:val="20"/>
          <w:color w:val="auto"/>
        </w:rPr>
      </w:pPr>
      <w:r>
        <w:rPr>
          <w:rFonts w:ascii="Times New Roman" w:cs="Times New Roman" w:eastAsia="Times New Roman" w:hAnsi="Times New Roman"/>
          <w:sz w:val="18"/>
          <w:szCs w:val="18"/>
          <w:color w:val="auto"/>
        </w:rPr>
        <w:t>During the course of preparing and reviewing the Company’s interim financial statements for the period ended September 30, 2022, we identified a computational error in an accrual relating to research and development costs. This error was corrected in the financial statements as of and for the period ended September 30, 2022.</w:t>
      </w:r>
    </w:p>
    <w:p>
      <w:pPr>
        <w:spacing w:after="0" w:line="176" w:lineRule="exact"/>
        <w:rPr>
          <w:sz w:val="20"/>
          <w:szCs w:val="20"/>
          <w:color w:val="auto"/>
        </w:rPr>
      </w:pPr>
    </w:p>
    <w:p>
      <w:pPr>
        <w:jc w:val="both"/>
        <w:ind w:right="340" w:firstLine="397"/>
        <w:spacing w:after="0" w:line="266" w:lineRule="auto"/>
        <w:rPr>
          <w:sz w:val="20"/>
          <w:szCs w:val="20"/>
          <w:color w:val="auto"/>
        </w:rPr>
      </w:pPr>
      <w:r>
        <w:rPr>
          <w:rFonts w:ascii="Times New Roman" w:cs="Times New Roman" w:eastAsia="Times New Roman" w:hAnsi="Times New Roman"/>
          <w:sz w:val="18"/>
          <w:szCs w:val="18"/>
          <w:color w:val="auto"/>
        </w:rPr>
        <w:t>Our Chief Executive Officer and our Chief Financial Officer concluded that we did not maintain effective internal control over the determination and reporting of a research and development accrual. Specifically, we did not perform a sufficiently precise review to ensure the accuracy of an accrual related to research and development costs.</w:t>
      </w:r>
    </w:p>
    <w:p>
      <w:pPr>
        <w:spacing w:after="0" w:line="176" w:lineRule="exact"/>
        <w:rPr>
          <w:sz w:val="20"/>
          <w:szCs w:val="20"/>
          <w:color w:val="auto"/>
        </w:rPr>
      </w:pPr>
    </w:p>
    <w:p>
      <w:pPr>
        <w:ind w:right="320" w:firstLine="397"/>
        <w:spacing w:after="0" w:line="258" w:lineRule="auto"/>
        <w:rPr>
          <w:sz w:val="20"/>
          <w:szCs w:val="20"/>
          <w:color w:val="auto"/>
        </w:rPr>
      </w:pPr>
      <w:r>
        <w:rPr>
          <w:rFonts w:ascii="Times New Roman" w:cs="Times New Roman" w:eastAsia="Times New Roman" w:hAnsi="Times New Roman"/>
          <w:sz w:val="18"/>
          <w:szCs w:val="18"/>
          <w:color w:val="auto"/>
        </w:rPr>
        <w:t>We have determined that this deficiency constitutes a "material weakness" in our internal control over financial reporting. We have advised our audit committee of this deficiency in our internal control over financial reporting, and the fact that this deficiency constitutes a "material weakness." A material weakness in internal control over financial reporting is a deficiency, or a combination of deficiencies, in internal control over financial reporting, such that there is a reasonable possibility that a material misstatement of our annual or interim financial statements will not be prevented or detected on a timely basis by our internal controls.</w:t>
      </w:r>
    </w:p>
    <w:p>
      <w:pPr>
        <w:spacing w:after="0" w:line="183" w:lineRule="exact"/>
        <w:rPr>
          <w:sz w:val="20"/>
          <w:szCs w:val="20"/>
          <w:color w:val="auto"/>
        </w:rPr>
      </w:pPr>
    </w:p>
    <w:p>
      <w:pPr>
        <w:ind w:right="260" w:firstLine="397"/>
        <w:spacing w:after="0" w:line="266" w:lineRule="auto"/>
        <w:rPr>
          <w:sz w:val="20"/>
          <w:szCs w:val="20"/>
          <w:color w:val="auto"/>
        </w:rPr>
      </w:pPr>
      <w:r>
        <w:rPr>
          <w:rFonts w:ascii="Times New Roman" w:cs="Times New Roman" w:eastAsia="Times New Roman" w:hAnsi="Times New Roman"/>
          <w:sz w:val="18"/>
          <w:szCs w:val="18"/>
          <w:color w:val="auto"/>
        </w:rPr>
        <w:t>Upon identification of this material weakness, we performed additional procedures to remediate this material weakness. Specifically, we have implemented additional reviews of research and development accruals and have enhanced documentation of processes. Management believes that these efforts will effectively remediate the material weakness.</w:t>
      </w:r>
    </w:p>
    <w:p>
      <w:pPr>
        <w:spacing w:after="0" w:line="176" w:lineRule="exact"/>
        <w:rPr>
          <w:sz w:val="20"/>
          <w:szCs w:val="20"/>
          <w:color w:val="auto"/>
        </w:rPr>
      </w:pPr>
    </w:p>
    <w:p>
      <w:pPr>
        <w:ind w:right="340" w:firstLine="397"/>
        <w:spacing w:after="0" w:line="266" w:lineRule="auto"/>
        <w:rPr>
          <w:sz w:val="20"/>
          <w:szCs w:val="20"/>
          <w:color w:val="auto"/>
        </w:rPr>
      </w:pPr>
      <w:r>
        <w:rPr>
          <w:rFonts w:ascii="Times New Roman" w:cs="Times New Roman" w:eastAsia="Times New Roman" w:hAnsi="Times New Roman"/>
          <w:sz w:val="18"/>
          <w:szCs w:val="18"/>
          <w:color w:val="auto"/>
        </w:rPr>
        <w:t>Therefore, notwithstanding the identified material weaknesses, management believes that our condensed consolidated financial statements included in this quarterly report on Form 10-Q present fairly, in all material respects, our financial position, results of operations and cash flows for the periods presented in conformity with accounting principles generally accepted in the United States.</w:t>
      </w:r>
    </w:p>
    <w:p>
      <w:pPr>
        <w:spacing w:after="0" w:line="176" w:lineRule="exact"/>
        <w:rPr>
          <w:sz w:val="20"/>
          <w:szCs w:val="20"/>
          <w:color w:val="auto"/>
        </w:rPr>
      </w:pPr>
    </w:p>
    <w:p>
      <w:pPr>
        <w:ind w:right="160" w:firstLine="397"/>
        <w:spacing w:after="0" w:line="258"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580" w:firstLine="397"/>
        <w:spacing w:after="0" w:line="282" w:lineRule="auto"/>
        <w:rPr>
          <w:sz w:val="20"/>
          <w:szCs w:val="20"/>
          <w:color w:val="auto"/>
        </w:rPr>
      </w:pPr>
      <w:r>
        <w:rPr>
          <w:rFonts w:ascii="Times New Roman" w:cs="Times New Roman" w:eastAsia="Times New Roman" w:hAnsi="Times New Roman"/>
          <w:sz w:val="18"/>
          <w:szCs w:val="18"/>
          <w:color w:val="auto"/>
        </w:rPr>
        <w:t>Except as noted in the preceding paragraphs, there have not been any change in our internal control over financial reporting during the quarter ended September 30, 2022 that has materially affected, or is reasonably likely to materially affect, our internal control over financial reporting.</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60" w:firstLine="397"/>
        <w:spacing w:after="0" w:line="282" w:lineRule="auto"/>
        <w:rPr>
          <w:sz w:val="20"/>
          <w:szCs w:val="20"/>
          <w:color w:val="auto"/>
        </w:rPr>
      </w:pPr>
      <w:r>
        <w:rPr>
          <w:rFonts w:ascii="Times New Roman" w:cs="Times New Roman" w:eastAsia="Times New Roman" w:hAnsi="Times New Roman"/>
          <w:sz w:val="18"/>
          <w:szCs w:val="18"/>
          <w:color w:val="auto"/>
        </w:rPr>
        <w:t>The information set forth in this report should be read in conjunction with the risk factors set forth in Item 1A, “Risk Factors,” of Part I of our Annual Report on Form 10-K for the year ended December 31, 2021, which could materially impact our business, financial condition or future results.</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5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0" w:type="dxa"/>
            <w:vAlign w:val="bottom"/>
          </w:tcPr>
          <w:p>
            <w:pPr>
              <w:spacing w:after="0"/>
              <w:rPr>
                <w:sz w:val="1"/>
                <w:szCs w:val="1"/>
                <w:color w:val="auto"/>
              </w:rPr>
            </w:pPr>
          </w:p>
        </w:tc>
      </w:tr>
      <w:tr>
        <w:trPr>
          <w:trHeight w:val="184"/>
        </w:trPr>
        <w:tc>
          <w:tcPr>
            <w:tcW w:w="800" w:type="dxa"/>
            <w:vAlign w:val="bottom"/>
            <w:gridSpan w:val="3"/>
          </w:tcPr>
          <w:p>
            <w:pPr>
              <w:ind w:left="140"/>
              <w:spacing w:after="0" w:line="16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5660" w:type="dxa"/>
            <w:vAlign w:val="bottom"/>
            <w:gridSpan w:val="2"/>
            <w:vMerge w:val="continue"/>
          </w:tcPr>
          <w:p>
            <w:pPr>
              <w:spacing w:after="0"/>
              <w:rPr>
                <w:sz w:val="16"/>
                <w:szCs w:val="16"/>
                <w:color w:val="auto"/>
              </w:rPr>
            </w:pPr>
          </w:p>
        </w:tc>
        <w:tc>
          <w:tcPr>
            <w:tcW w:w="90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41"/>
        </w:trPr>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760" w:type="dxa"/>
            <w:vAlign w:val="bottom"/>
          </w:tcPr>
          <w:p>
            <w:pPr>
              <w:spacing w:after="0"/>
              <w:rPr>
                <w:sz w:val="3"/>
                <w:szCs w:val="3"/>
                <w:color w:val="auto"/>
              </w:rPr>
            </w:pPr>
          </w:p>
        </w:tc>
        <w:tc>
          <w:tcPr>
            <w:tcW w:w="1920" w:type="dxa"/>
            <w:vAlign w:val="bottom"/>
            <w:tcBorders>
              <w:top w:val="single" w:sz="8" w:color="auto"/>
            </w:tcBorders>
          </w:tcPr>
          <w:p>
            <w:pPr>
              <w:spacing w:after="0"/>
              <w:rPr>
                <w:sz w:val="3"/>
                <w:szCs w:val="3"/>
                <w:color w:val="auto"/>
              </w:rPr>
            </w:pPr>
          </w:p>
        </w:tc>
        <w:tc>
          <w:tcPr>
            <w:tcW w:w="37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300" w:type="dxa"/>
            <w:vAlign w:val="bottom"/>
            <w:shd w:val="clear" w:color="auto" w:fill="CCEEFF"/>
          </w:tcPr>
          <w:p>
            <w:pPr>
              <w:spacing w:after="0"/>
              <w:rPr>
                <w:sz w:val="17"/>
                <w:szCs w:val="17"/>
                <w:color w:val="auto"/>
              </w:rPr>
            </w:pPr>
          </w:p>
        </w:tc>
        <w:tc>
          <w:tcPr>
            <w:tcW w:w="9540" w:type="dxa"/>
            <w:vAlign w:val="bottom"/>
            <w:gridSpan w:val="4"/>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Certification Pursuant to Rule 13a-14(a) of the Securities Exchange Act of 1934</w:t>
            </w: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37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300" w:type="dxa"/>
            <w:vAlign w:val="bottom"/>
            <w:shd w:val="clear" w:color="auto" w:fill="CCEEFF"/>
          </w:tcPr>
          <w:p>
            <w:pPr>
              <w:spacing w:after="0"/>
              <w:rPr>
                <w:sz w:val="17"/>
                <w:szCs w:val="17"/>
                <w:color w:val="auto"/>
              </w:rPr>
            </w:pPr>
          </w:p>
        </w:tc>
        <w:tc>
          <w:tcPr>
            <w:tcW w:w="9540" w:type="dxa"/>
            <w:vAlign w:val="bottom"/>
            <w:gridSpan w:val="4"/>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Certification Pursuant to Rule 13a-14(a) of the Securities Exchange Act of 1934</w:t>
            </w: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37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9540" w:type="dxa"/>
            <w:vAlign w:val="bottom"/>
            <w:gridSpan w:val="4"/>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37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9540" w:type="dxa"/>
            <w:vAlign w:val="bottom"/>
            <w:gridSpan w:val="4"/>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37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54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w w:val="99"/>
              </w:rPr>
              <w:t>The following financial statements and footnotes from the Registrant’s Quarterly Report on Form 10-Q for the fiscal quarter ended</w:t>
            </w: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5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June 30, 2022 formatted in Inline Extensible Business Reporting Language (Inline XBRL):</w:t>
            </w: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95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70"/>
        </w:trPr>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0" w:type="dxa"/>
            <w:vAlign w:val="bottom"/>
            <w:gridSpan w:val="3"/>
          </w:tcPr>
          <w:p>
            <w:pPr>
              <w:ind w:left="4760"/>
              <w:spacing w:after="0"/>
              <w:rPr>
                <w:sz w:val="20"/>
                <w:szCs w:val="20"/>
                <w:color w:val="auto"/>
              </w:rPr>
            </w:pPr>
            <w:r>
              <w:rPr>
                <w:rFonts w:ascii="Times New Roman" w:cs="Times New Roman" w:eastAsia="Times New Roman" w:hAnsi="Times New Roman"/>
                <w:sz w:val="14"/>
                <w:szCs w:val="14"/>
                <w:color w:val="auto"/>
              </w:rPr>
              <w:t>25</w:t>
            </w:r>
          </w:p>
        </w:tc>
        <w:tc>
          <w:tcPr>
            <w:tcW w:w="3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340" w:type="dxa"/>
            <w:vAlign w:val="bottom"/>
            <w:gridSpan w:val="6"/>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840" w:type="dxa"/>
            <w:vAlign w:val="bottom"/>
            <w:tcBorders>
              <w:top w:val="single" w:sz="8" w:color="0000EE"/>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60" w:type="dxa"/>
            <w:vAlign w:val="bottom"/>
          </w:tcPr>
          <w:p>
            <w:pPr>
              <w:spacing w:after="0"/>
              <w:rPr>
                <w:sz w:val="24"/>
                <w:szCs w:val="24"/>
                <w:color w:val="auto"/>
              </w:rPr>
            </w:pPr>
          </w:p>
        </w:tc>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0" w:type="dxa"/>
            <w:vAlign w:val="bottom"/>
          </w:tcPr>
          <w:p>
            <w:pPr>
              <w:spacing w:after="0"/>
              <w:rPr>
                <w:sz w:val="1"/>
                <w:szCs w:val="1"/>
                <w:color w:val="auto"/>
              </w:rPr>
            </w:pPr>
          </w:p>
        </w:tc>
      </w:tr>
      <w:tr>
        <w:trPr>
          <w:trHeight w:val="184"/>
        </w:trPr>
        <w:tc>
          <w:tcPr>
            <w:tcW w:w="840" w:type="dxa"/>
            <w:vAlign w:val="bottom"/>
          </w:tcPr>
          <w:p>
            <w:pPr>
              <w:ind w:left="140"/>
              <w:spacing w:after="0" w:line="164" w:lineRule="exact"/>
              <w:rPr>
                <w:sz w:val="20"/>
                <w:szCs w:val="20"/>
                <w:color w:val="auto"/>
              </w:rPr>
            </w:pPr>
            <w:r>
              <w:rPr>
                <w:rFonts w:ascii="Times New Roman" w:cs="Times New Roman" w:eastAsia="Times New Roman" w:hAnsi="Times New Roman"/>
                <w:sz w:val="18"/>
                <w:szCs w:val="18"/>
                <w:b w:val="1"/>
                <w:bCs w:val="1"/>
                <w:color w:val="auto"/>
              </w:rPr>
              <w:t>Number</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5660" w:type="dxa"/>
            <w:vAlign w:val="bottom"/>
            <w:gridSpan w:val="2"/>
            <w:vMerge w:val="continue"/>
          </w:tcPr>
          <w:p>
            <w:pPr>
              <w:spacing w:after="0"/>
              <w:rPr>
                <w:sz w:val="16"/>
                <w:szCs w:val="16"/>
                <w:color w:val="auto"/>
              </w:rPr>
            </w:pPr>
          </w:p>
        </w:tc>
        <w:tc>
          <w:tcPr>
            <w:tcW w:w="90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8"/>
              </w:rPr>
              <w:t>Reference</w:t>
            </w:r>
          </w:p>
        </w:tc>
        <w:tc>
          <w:tcPr>
            <w:tcW w:w="0" w:type="dxa"/>
            <w:vAlign w:val="bottom"/>
          </w:tcPr>
          <w:p>
            <w:pPr>
              <w:spacing w:after="0"/>
              <w:rPr>
                <w:sz w:val="1"/>
                <w:szCs w:val="1"/>
                <w:color w:val="auto"/>
              </w:rPr>
            </w:pPr>
          </w:p>
        </w:tc>
      </w:tr>
      <w:tr>
        <w:trPr>
          <w:trHeight w:val="41"/>
        </w:trPr>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60" w:type="dxa"/>
            <w:vAlign w:val="bottom"/>
          </w:tcPr>
          <w:p>
            <w:pPr>
              <w:spacing w:after="0"/>
              <w:rPr>
                <w:sz w:val="3"/>
                <w:szCs w:val="3"/>
                <w:color w:val="auto"/>
              </w:rPr>
            </w:pPr>
          </w:p>
        </w:tc>
        <w:tc>
          <w:tcPr>
            <w:tcW w:w="1920" w:type="dxa"/>
            <w:vAlign w:val="bottom"/>
            <w:tcBorders>
              <w:top w:val="single" w:sz="8" w:color="auto"/>
            </w:tcBorders>
          </w:tcPr>
          <w:p>
            <w:pPr>
              <w:spacing w:after="0"/>
              <w:rPr>
                <w:sz w:val="3"/>
                <w:szCs w:val="3"/>
                <w:color w:val="auto"/>
              </w:rPr>
            </w:pPr>
          </w:p>
        </w:tc>
        <w:tc>
          <w:tcPr>
            <w:tcW w:w="37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950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950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950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950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950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6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0400" w:type="dxa"/>
            <w:vAlign w:val="bottom"/>
            <w:gridSpan w:val="6"/>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in the Inline XBRL document and included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07124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94"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 and not “filed” for purposes of Section 18 of the Securities Exchange Act of 1934, as amended.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9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November 14, 2022.</w:t>
      </w:r>
    </w:p>
    <w:p>
      <w:pPr>
        <w:spacing w:after="0" w:line="16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GALECTIN THERAPEUTICS INC.</w:t>
      </w:r>
    </w:p>
    <w:p>
      <w:pPr>
        <w:spacing w:after="0" w:line="225" w:lineRule="exact"/>
        <w:rPr>
          <w:sz w:val="20"/>
          <w:szCs w:val="20"/>
          <w:color w:val="auto"/>
        </w:rPr>
      </w:pPr>
    </w:p>
    <w:p>
      <w:pPr>
        <w:ind w:left="6200"/>
        <w:spacing w:after="0"/>
        <w:tabs>
          <w:tab w:leader="none" w:pos="6720" w:val="left"/>
        </w:tabs>
        <w:rPr>
          <w:sz w:val="20"/>
          <w:szCs w:val="20"/>
          <w:color w:val="auto"/>
        </w:rPr>
      </w:pPr>
      <w:r>
        <w:rPr>
          <w:rFonts w:ascii="Times New Roman" w:cs="Times New Roman" w:eastAsia="Times New Roman" w:hAnsi="Times New Roman"/>
          <w:sz w:val="18"/>
          <w:szCs w:val="18"/>
          <w:color w:val="auto"/>
        </w:rPr>
        <w:t>By:</w:t>
        <w:tab/>
        <w:t>/s/ Joel Lewis</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-127635</wp:posOffset>
            </wp:positionV>
            <wp:extent cx="28543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1" w:lineRule="exact"/>
        <w:rPr>
          <w:sz w:val="20"/>
          <w:szCs w:val="20"/>
          <w:color w:val="auto"/>
        </w:rPr>
      </w:pPr>
    </w:p>
    <w:p>
      <w:pPr>
        <w:ind w:left="6200"/>
        <w:spacing w:after="0"/>
        <w:tabs>
          <w:tab w:leader="none" w:pos="67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6200"/>
        <w:spacing w:after="0"/>
        <w:tabs>
          <w:tab w:leader="none" w:pos="6720" w:val="left"/>
        </w:tabs>
        <w:rPr>
          <w:sz w:val="20"/>
          <w:szCs w:val="20"/>
          <w:color w:val="auto"/>
        </w:rPr>
      </w:pPr>
      <w:r>
        <w:rPr>
          <w:rFonts w:ascii="Times New Roman" w:cs="Times New Roman" w:eastAsia="Times New Roman" w:hAnsi="Times New Roman"/>
          <w:sz w:val="18"/>
          <w:szCs w:val="18"/>
          <w:color w:val="auto"/>
        </w:rPr>
        <w:t>By:</w:t>
        <w:tab/>
        <w:t>/s/ Jack W. Callicutt</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-127635</wp:posOffset>
            </wp:positionV>
            <wp:extent cx="28543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1" w:lineRule="exact"/>
        <w:rPr>
          <w:sz w:val="20"/>
          <w:szCs w:val="20"/>
          <w:color w:val="auto"/>
        </w:rPr>
      </w:pPr>
    </w:p>
    <w:p>
      <w:pPr>
        <w:ind w:left="6200"/>
        <w:spacing w:after="0"/>
        <w:tabs>
          <w:tab w:leader="none" w:pos="67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1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115" w:right="89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b w:val="1"/>
          <w:bCs w:val="1"/>
          <w:color w:val="auto"/>
        </w:rPr>
        <w:t>Certification Pursuant to Rule 13a-14(a) of the Securities Exchange Act of 1934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Joel Lewis, certify that:</w:t>
      </w:r>
    </w:p>
    <w:p>
      <w:pPr>
        <w:spacing w:after="0" w:line="242"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Galectin Therapeutics Inc;</w:t>
      </w:r>
    </w:p>
    <w:p>
      <w:pPr>
        <w:spacing w:after="0" w:line="252"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2" w:lineRule="exact"/>
        <w:rPr>
          <w:rFonts w:ascii="Times New Roman" w:cs="Times New Roman" w:eastAsia="Times New Roman" w:hAnsi="Times New Roman"/>
          <w:sz w:val="18"/>
          <w:szCs w:val="18"/>
          <w:color w:val="auto"/>
        </w:rPr>
      </w:pPr>
    </w:p>
    <w:p>
      <w:pPr>
        <w:ind w:left="800" w:right="220" w:hanging="374"/>
        <w:spacing w:after="0" w:line="266" w:lineRule="auto"/>
        <w:tabs>
          <w:tab w:leader="none" w:pos="8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800" w:right="540" w:hanging="374"/>
        <w:spacing w:after="0" w:line="266" w:lineRule="auto"/>
        <w:tabs>
          <w:tab w:leader="none" w:pos="8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800" w:hanging="374"/>
        <w:spacing w:after="0" w:line="282" w:lineRule="auto"/>
        <w:tabs>
          <w:tab w:leader="none" w:pos="8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800" w:right="220" w:hanging="374"/>
        <w:spacing w:after="0" w:line="266" w:lineRule="auto"/>
        <w:tabs>
          <w:tab w:leader="none" w:pos="8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80" w:right="280" w:hanging="372"/>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800" w:right="120" w:hanging="374"/>
        <w:spacing w:after="0" w:line="282" w:lineRule="auto"/>
        <w:tabs>
          <w:tab w:leader="none" w:pos="8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800" w:right="80" w:hanging="374"/>
        <w:spacing w:after="0" w:line="282" w:lineRule="auto"/>
        <w:tabs>
          <w:tab w:leader="none" w:pos="8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Date: November 14, 2022</w:t>
      </w:r>
      <w:r>
        <w:rPr>
          <w:sz w:val="20"/>
          <w:szCs w:val="20"/>
          <w:color w:val="auto"/>
        </w:rPr>
        <w:tab/>
      </w:r>
      <w:r>
        <w:rPr>
          <w:rFonts w:ascii="Times New Roman" w:cs="Times New Roman" w:eastAsia="Times New Roman" w:hAnsi="Times New Roman"/>
          <w:sz w:val="17"/>
          <w:szCs w:val="17"/>
          <w:color w:val="auto"/>
        </w:rPr>
        <w:t>/s/ Joel Lewis</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b w:val="1"/>
          <w:bCs w:val="1"/>
          <w:color w:val="auto"/>
        </w:rPr>
        <w:t>Certification Pursuant to Rule 13a-14(a) of the Securities Exchange Act of 1934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Jack W. Callicutt, certify that:</w:t>
      </w:r>
    </w:p>
    <w:p>
      <w:pPr>
        <w:spacing w:after="0" w:line="242"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Galectin Therapeutics Inc;</w:t>
      </w:r>
    </w:p>
    <w:p>
      <w:pPr>
        <w:spacing w:after="0" w:line="252"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2" w:lineRule="exact"/>
        <w:rPr>
          <w:rFonts w:ascii="Times New Roman" w:cs="Times New Roman" w:eastAsia="Times New Roman" w:hAnsi="Times New Roman"/>
          <w:sz w:val="18"/>
          <w:szCs w:val="18"/>
          <w:color w:val="auto"/>
        </w:rPr>
      </w:pPr>
    </w:p>
    <w:p>
      <w:pPr>
        <w:ind w:left="800" w:right="240" w:hanging="401"/>
        <w:spacing w:after="0" w:line="266" w:lineRule="auto"/>
        <w:tabs>
          <w:tab w:leader="none" w:pos="8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800" w:right="560" w:hanging="401"/>
        <w:spacing w:after="0" w:line="266" w:lineRule="auto"/>
        <w:tabs>
          <w:tab w:leader="none" w:pos="8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800" w:hanging="401"/>
        <w:spacing w:after="0" w:line="282" w:lineRule="auto"/>
        <w:tabs>
          <w:tab w:leader="none" w:pos="8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800" w:right="240" w:hanging="401"/>
        <w:spacing w:after="0" w:line="266" w:lineRule="auto"/>
        <w:tabs>
          <w:tab w:leader="none" w:pos="8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80" w:right="280" w:hanging="372"/>
        <w:spacing w:after="0" w:line="28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800" w:right="140" w:hanging="401"/>
        <w:spacing w:after="0" w:line="282" w:lineRule="auto"/>
        <w:tabs>
          <w:tab w:leader="none" w:pos="8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800" w:right="100" w:hanging="401"/>
        <w:spacing w:after="0" w:line="282" w:lineRule="auto"/>
        <w:tabs>
          <w:tab w:leader="none" w:pos="8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Date: November 14, 2022</w:t>
      </w:r>
      <w:r>
        <w:rPr>
          <w:sz w:val="20"/>
          <w:szCs w:val="20"/>
          <w:color w:val="auto"/>
        </w:rPr>
        <w:tab/>
      </w:r>
      <w:r>
        <w:rPr>
          <w:rFonts w:ascii="Times New Roman" w:cs="Times New Roman" w:eastAsia="Times New Roman" w:hAnsi="Times New Roman"/>
          <w:sz w:val="17"/>
          <w:szCs w:val="17"/>
          <w:color w:val="auto"/>
        </w:rPr>
        <w:t>/s/ Jack W. Callicutt</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b w:val="1"/>
          <w:bCs w:val="1"/>
          <w:color w:val="auto"/>
        </w:rPr>
        <w:t>CERTIFICATION PURSUANT TO 18 U.S.C. SECTION 1350, AS ADOPTED</w:t>
      </w:r>
    </w:p>
    <w:p>
      <w:pPr>
        <w:spacing w:after="0" w:line="1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b w:val="1"/>
          <w:bCs w:val="1"/>
          <w:color w:val="auto"/>
        </w:rPr>
        <w:t>PURSUANT TO SECTION 906 OF THE SARBANES-OXLEY ACT OF 2002</w:t>
      </w:r>
    </w:p>
    <w:p>
      <w:pPr>
        <w:spacing w:after="0" w:line="209" w:lineRule="exact"/>
        <w:rPr>
          <w:sz w:val="20"/>
          <w:szCs w:val="20"/>
          <w:color w:val="auto"/>
        </w:rPr>
      </w:pPr>
    </w:p>
    <w:p>
      <w:pPr>
        <w:ind w:right="160" w:firstLine="397"/>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Galectin Therapeutics Inc. (the “Company”) on Form 10-Q for the period ended September 30, 2022 as filed with the Securities and Exchange Commission on the date hereof (the “Report”), I, Joel Lewis, Chief Executive Officer of the Company, certify, pursuant to 18 U.S.C. § 1350, as adopted pursuant to § 906 of the Sarbanes-Oxley Act of 2002, that, to my knowledge:</w:t>
      </w:r>
    </w:p>
    <w:p>
      <w:pPr>
        <w:spacing w:after="0" w:line="216" w:lineRule="exact"/>
        <w:rPr>
          <w:sz w:val="20"/>
          <w:szCs w:val="20"/>
          <w:color w:val="auto"/>
        </w:rPr>
      </w:pPr>
    </w:p>
    <w:p>
      <w:pPr>
        <w:ind w:left="800" w:hanging="387"/>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800" w:hanging="387"/>
        <w:spacing w:after="0"/>
        <w:tabs>
          <w:tab w:leader="none" w:pos="8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2022</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Joel Lewis</w:t>
            </w:r>
          </w:p>
        </w:tc>
      </w:tr>
      <w:tr>
        <w:trPr>
          <w:trHeight w:val="198"/>
        </w:trPr>
        <w:tc>
          <w:tcPr>
            <w:tcW w:w="6200" w:type="dxa"/>
            <w:vAlign w:val="bottom"/>
          </w:tcPr>
          <w:p>
            <w:pPr>
              <w:ind w:left="56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Joel Lewis</w:t>
            </w:r>
          </w:p>
        </w:tc>
      </w:tr>
      <w:tr>
        <w:trPr>
          <w:trHeight w:val="21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16" w:lineRule="exact"/>
        <w:rPr>
          <w:sz w:val="20"/>
          <w:szCs w:val="20"/>
          <w:color w:val="auto"/>
        </w:rPr>
      </w:pPr>
    </w:p>
    <w:p>
      <w:pPr>
        <w:ind w:right="140" w:firstLine="397"/>
        <w:spacing w:after="0" w:line="239" w:lineRule="auto"/>
        <w:rPr>
          <w:sz w:val="20"/>
          <w:szCs w:val="20"/>
          <w:color w:val="auto"/>
        </w:rPr>
      </w:pPr>
      <w:r>
        <w:rPr>
          <w:rFonts w:ascii="Times New Roman" w:cs="Times New Roman" w:eastAsia="Times New Roman" w:hAnsi="Times New Roman"/>
          <w:sz w:val="22"/>
          <w:szCs w:val="22"/>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b w:val="1"/>
          <w:bCs w:val="1"/>
          <w:color w:val="auto"/>
        </w:rPr>
        <w:t>CERTIFICATION PURSUANT TO 18 U.S.C. SECTION 1350, AS ADOPTED</w:t>
      </w:r>
    </w:p>
    <w:p>
      <w:pPr>
        <w:spacing w:after="0" w:line="1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b w:val="1"/>
          <w:bCs w:val="1"/>
          <w:color w:val="auto"/>
        </w:rPr>
        <w:t>PURSUANT TO SECTION 906 OF THE SARBANES-OXLEY ACT OF 2002</w:t>
      </w:r>
    </w:p>
    <w:p>
      <w:pPr>
        <w:spacing w:after="0" w:line="209" w:lineRule="exact"/>
        <w:rPr>
          <w:sz w:val="20"/>
          <w:szCs w:val="20"/>
          <w:color w:val="auto"/>
        </w:rPr>
      </w:pPr>
    </w:p>
    <w:p>
      <w:pPr>
        <w:jc w:val="both"/>
        <w:ind w:right="20" w:firstLine="397"/>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Galectin Therapeutics Inc. (the “Company”) on Form 10-Q for the period ended September 30, 2022 as filed with the Securities and Exchange Commission on the date hereof (the “Report”), I, Jack W. Callicutt, Chief Financial Officer of the Company, certify, pursuant to 18 U.S.C. § 1350, as adopted pursuant to § 906 of the Sarbanes-Oxley Act of 2002, that, to my knowledge:</w:t>
      </w:r>
    </w:p>
    <w:p>
      <w:pPr>
        <w:spacing w:after="0" w:line="216" w:lineRule="exact"/>
        <w:rPr>
          <w:sz w:val="20"/>
          <w:szCs w:val="20"/>
          <w:color w:val="auto"/>
        </w:rPr>
      </w:pPr>
    </w:p>
    <w:p>
      <w:pPr>
        <w:ind w:left="880" w:hanging="386"/>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880" w:right="700" w:hanging="386"/>
        <w:spacing w:after="0" w:line="282"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Date: November 14, 2022</w:t>
      </w:r>
      <w:r>
        <w:rPr>
          <w:sz w:val="20"/>
          <w:szCs w:val="20"/>
          <w:color w:val="auto"/>
        </w:rPr>
        <w:tab/>
      </w:r>
      <w:r>
        <w:rPr>
          <w:rFonts w:ascii="Times New Roman" w:cs="Times New Roman" w:eastAsia="Times New Roman" w:hAnsi="Times New Roman"/>
          <w:sz w:val="17"/>
          <w:szCs w:val="17"/>
          <w:color w:val="auto"/>
        </w:rPr>
        <w:t>/s/ Jack W. Callicutt</w:t>
      </w:r>
    </w:p>
    <w:p>
      <w:pPr>
        <w:spacing w:after="0" w:line="3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-127635</wp:posOffset>
            </wp:positionV>
            <wp:extent cx="31972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21" w:lineRule="exact"/>
        <w:rPr>
          <w:sz w:val="20"/>
          <w:szCs w:val="20"/>
          <w:color w:val="auto"/>
        </w:rPr>
      </w:pPr>
    </w:p>
    <w:p>
      <w:pPr>
        <w:ind w:left="566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25" w:lineRule="exact"/>
        <w:rPr>
          <w:sz w:val="20"/>
          <w:szCs w:val="20"/>
          <w:color w:val="auto"/>
        </w:rPr>
      </w:pPr>
    </w:p>
    <w:p>
      <w:pPr>
        <w:ind w:right="140" w:firstLine="397"/>
        <w:spacing w:after="0" w:line="239" w:lineRule="auto"/>
        <w:rPr>
          <w:sz w:val="20"/>
          <w:szCs w:val="20"/>
          <w:color w:val="auto"/>
        </w:rPr>
      </w:pPr>
      <w:r>
        <w:rPr>
          <w:rFonts w:ascii="Times New Roman" w:cs="Times New Roman" w:eastAsia="Times New Roman" w:hAnsi="Times New Roman"/>
          <w:sz w:val="22"/>
          <w:szCs w:val="22"/>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2022-11-14T07:58:16Z</dcterms:created>
  <dcterms:modified xsi:type="dcterms:W3CDTF">2022-11-14T07:58:16Z</dcterms:modified>
</cp:coreProperties>
</file>