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Nevada</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7020" w:type="dxa"/>
            <w:vAlign w:val="bottom"/>
          </w:tcPr>
          <w:p>
            <w:pPr>
              <w:jc w:val="center"/>
              <w:ind w:right="258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4"/>
              </w:rPr>
              <w:t>of incorporation)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4960 Peachtree Industrial Blvd., Suite 240, Norcross, GA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7020" w:type="dxa"/>
            <w:vAlign w:val="bottom"/>
          </w:tcPr>
          <w:p>
            <w:pPr>
              <w:jc w:val="right"/>
              <w:ind w:right="1380"/>
              <w:spacing w:after="0"/>
              <w:rPr>
                <w:sz w:val="20"/>
                <w:szCs w:val="20"/>
                <w:color w:val="auto"/>
              </w:rPr>
            </w:pPr>
            <w:r>
              <w:rPr>
                <w:rFonts w:ascii="Arial" w:cs="Arial" w:eastAsia="Arial" w:hAnsi="Arial"/>
                <w:sz w:val="18"/>
                <w:szCs w:val="18"/>
                <w:b w:val="1"/>
                <w:bCs w:val="1"/>
                <w:color w:val="auto"/>
              </w:rPr>
              <w:t>(678) 620-3186</w:t>
            </w:r>
          </w:p>
        </w:tc>
        <w:tc>
          <w:tcPr>
            <w:tcW w:w="1480" w:type="dxa"/>
            <w:vAlign w:val="bottom"/>
          </w:tcPr>
          <w:p>
            <w:pPr>
              <w:spacing w:after="0"/>
              <w:rPr>
                <w:sz w:val="24"/>
                <w:szCs w:val="24"/>
                <w:color w:val="auto"/>
              </w:rPr>
            </w:pPr>
          </w:p>
        </w:tc>
      </w:tr>
      <w:tr>
        <w:trPr>
          <w:trHeight w:val="186"/>
        </w:trPr>
        <w:tc>
          <w:tcPr>
            <w:tcW w:w="7020" w:type="dxa"/>
            <w:vAlign w:val="bottom"/>
          </w:tcPr>
          <w:p>
            <w:pPr>
              <w:jc w:val="center"/>
              <w:ind w:left="290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64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w w:val="94"/>
              </w:rPr>
              <w:t>The number of shares outstanding of the registrant’s common stock as of November 8, 2013 was 18,311,968.</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86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86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GALECTIN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SEPTEMBER 30,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0" w:type="dxa"/>
            <w:vAlign w:val="bottom"/>
            <w:gridSpan w:val="14"/>
            <w:vMerge w:val="restart"/>
          </w:tcPr>
          <w:p>
            <w:pPr>
              <w:jc w:val="center"/>
              <w:ind w:right="2960"/>
              <w:spacing w:after="0"/>
              <w:rPr>
                <w:sz w:val="20"/>
                <w:szCs w:val="20"/>
                <w:color w:val="auto"/>
              </w:rPr>
            </w:pPr>
            <w:r>
              <w:rPr>
                <w:rFonts w:ascii="Arial" w:cs="Arial" w:eastAsia="Arial" w:hAnsi="Arial"/>
                <w:sz w:val="18"/>
                <w:szCs w:val="18"/>
                <w:b w:val="1"/>
                <w:bCs w:val="1"/>
                <w:color w:val="auto"/>
              </w:rPr>
              <w:t>PART I – FINANCIAL INFORMATION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0" w:type="dxa"/>
            <w:vAlign w:val="bottom"/>
            <w:gridSpan w:val="14"/>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22"/>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940" w:type="dxa"/>
            <w:vAlign w:val="bottom"/>
            <w:gridSpan w:val="22"/>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2013 and December 31, 2012 (unaudited)</w:t>
              </w:r>
            </w:hyperlink>
          </w:p>
        </w:tc>
        <w:tc>
          <w:tcPr>
            <w:tcW w:w="3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Operations for the Three and Nine Months Ended September 30, 2013 and 2012, and for the</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Cumulative Period From Inception (July 10, 2000) to September 30, 2013 (unaudited)</w:t>
              </w:r>
            </w:hyperlink>
          </w:p>
        </w:tc>
        <w:tc>
          <w:tcPr>
            <w:tcW w:w="3160" w:type="dxa"/>
            <w:vAlign w:val="bottom"/>
            <w:tcBorders>
              <w:top w:val="single" w:sz="8" w:color="0000EE"/>
            </w:tcBorders>
            <w:gridSpan w:val="3"/>
          </w:tcPr>
          <w:p>
            <w:pPr>
              <w:spacing w:after="0"/>
              <w:rPr>
                <w:sz w:val="17"/>
                <w:szCs w:val="17"/>
                <w:color w:val="auto"/>
              </w:rPr>
            </w:pPr>
          </w:p>
        </w:tc>
        <w:tc>
          <w:tcPr>
            <w:tcW w:w="38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 of Changes in Redeemable Convertible Preferred Stock and Stockholders’ Equity (Deficit) for the</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4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Nine Months Ended September 30, 2013 (unaudited)</w:t>
              </w:r>
            </w:hyperlink>
          </w:p>
        </w:tc>
        <w:tc>
          <w:tcPr>
            <w:tcW w:w="2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7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September 30, 2013 and 2012, and for the Cumulative</w:t>
              </w:r>
            </w:hyperlink>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6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Period From Inception (July 10, 2000) to September 30, 2013 (unaudited)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8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514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2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6"/>
          </w:tcPr>
          <w:p>
            <w:pPr>
              <w:spacing w:after="0"/>
              <w:rPr>
                <w:sz w:val="24"/>
                <w:szCs w:val="24"/>
                <w:color w:val="auto"/>
              </w:rPr>
            </w:pPr>
          </w:p>
        </w:tc>
        <w:tc>
          <w:tcPr>
            <w:tcW w:w="348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94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60" w:type="dxa"/>
            <w:vAlign w:val="bottom"/>
            <w:tcBorders>
              <w:bottom w:val="single" w:sz="8" w:color="0000EE"/>
            </w:tcBorders>
            <w:gridSpan w:val="6"/>
          </w:tcPr>
          <w:p>
            <w:pPr>
              <w:jc w:val="cente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 OTHER INFORMATION</w:t>
              </w:r>
            </w:hyperlink>
          </w:p>
        </w:tc>
        <w:tc>
          <w:tcPr>
            <w:tcW w:w="3840" w:type="dxa"/>
            <w:vAlign w:val="bottom"/>
            <w:gridSpan w:val="7"/>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60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Unregistered Sales of Equity Securities and Use of Proceeds</w:t>
              </w:r>
            </w:hyperlink>
          </w:p>
        </w:tc>
        <w:tc>
          <w:tcPr>
            <w:tcW w:w="558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Defaults Upon Senior Securities</w:t>
              </w:r>
            </w:hyperlink>
          </w:p>
        </w:tc>
        <w:tc>
          <w:tcPr>
            <w:tcW w:w="760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Mine Safety Disclosures</w:t>
              </w:r>
            </w:hyperlink>
          </w:p>
        </w:tc>
        <w:tc>
          <w:tcPr>
            <w:tcW w:w="816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94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862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340" w:type="dxa"/>
            <w:vAlign w:val="bottom"/>
            <w:gridSpan w:val="1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40" w:type="dxa"/>
            <w:vAlign w:val="bottom"/>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85"/>
        </w:trPr>
        <w:tc>
          <w:tcPr>
            <w:tcW w:w="10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700" w:type="dxa"/>
            <w:vAlign w:val="bottom"/>
            <w:gridSpan w:val="12"/>
          </w:tcPr>
          <w:p>
            <w:pPr>
              <w:jc w:val="right"/>
              <w:ind w:right="4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3"/>
          </w:tcPr>
          <w:p>
            <w:pPr>
              <w:ind w:left="58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9,517</w:t>
            </w:r>
          </w:p>
        </w:tc>
        <w:tc>
          <w:tcPr>
            <w:tcW w:w="0" w:type="dxa"/>
            <w:vAlign w:val="bottom"/>
          </w:tcPr>
          <w:p>
            <w:pPr>
              <w:spacing w:after="0"/>
              <w:rPr>
                <w:sz w:val="1"/>
                <w:szCs w:val="1"/>
                <w:color w:val="auto"/>
              </w:rPr>
            </w:pPr>
          </w:p>
        </w:tc>
      </w:tr>
      <w:tr>
        <w:trPr>
          <w:trHeight w:val="223"/>
        </w:trPr>
        <w:tc>
          <w:tcPr>
            <w:tcW w:w="88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assets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9,561</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88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60" w:type="dxa"/>
            <w:vAlign w:val="bottom"/>
          </w:tcPr>
          <w:p>
            <w:pPr>
              <w:ind w:left="160"/>
              <w:spacing w:after="0"/>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331"/>
        </w:trPr>
        <w:tc>
          <w:tcPr>
            <w:tcW w:w="888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B-1 12% redeemable convertible preferred stock; 900,000 shares authorized, issued and outstanding at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September 30, 2013 and December 31, 2012, redemption value: $1,800,000, liquidation value: $1,800,000 at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2013</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60" w:type="dxa"/>
            <w:vAlign w:val="bottom"/>
          </w:tcPr>
          <w:p>
            <w:pPr>
              <w:spacing w:after="0" w:line="201" w:lineRule="exact"/>
              <w:rPr>
                <w:sz w:val="20"/>
                <w:szCs w:val="20"/>
                <w:color w:val="auto"/>
              </w:rPr>
            </w:pPr>
            <w:r>
              <w:rPr>
                <w:rFonts w:ascii="Arial" w:cs="Arial" w:eastAsia="Arial" w:hAnsi="Arial"/>
                <w:sz w:val="18"/>
                <w:szCs w:val="18"/>
                <w:color w:val="auto"/>
                <w:w w:val="98"/>
              </w:rPr>
              <w:t>Series B-2 12% redeemable convertible preferred stock; 2,100,000 shares authorized, issued and outstanding at</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160"/>
              <w:spacing w:after="0"/>
              <w:rPr>
                <w:sz w:val="20"/>
                <w:szCs w:val="20"/>
                <w:color w:val="auto"/>
              </w:rPr>
            </w:pPr>
            <w:r>
              <w:rPr>
                <w:rFonts w:ascii="Arial" w:cs="Arial" w:eastAsia="Arial" w:hAnsi="Arial"/>
                <w:sz w:val="18"/>
                <w:szCs w:val="18"/>
                <w:color w:val="auto"/>
                <w:w w:val="99"/>
              </w:rPr>
              <w:t>September 30, 2013 and December 31, 2012, redemption value: $4,200,000, liquidation value: $4,200,000 at</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160"/>
              <w:spacing w:after="0"/>
              <w:rPr>
                <w:sz w:val="20"/>
                <w:szCs w:val="20"/>
                <w:color w:val="auto"/>
              </w:rPr>
            </w:pPr>
            <w:r>
              <w:rPr>
                <w:rFonts w:ascii="Arial" w:cs="Arial" w:eastAsia="Arial" w:hAnsi="Arial"/>
                <w:sz w:val="18"/>
                <w:szCs w:val="18"/>
                <w:color w:val="auto"/>
              </w:rPr>
              <w:t>September 30, 2013</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3,058</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C super dividend convertible preferred stock; 1,000 shares authorized, 215 and 220 shares issued and</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September 30, 2013 and December 31, 2012, respectively, redemption value: $5,013,000,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liquidation value: $2,150,000 at September 30, 2013</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324"/>
        </w:trPr>
        <w:tc>
          <w:tcPr>
            <w:tcW w:w="88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Undesignated stock, $0.01 par value; 20,000,000 shares authorized, 8,001,000 designated at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September 30, 2013 and December 31, 2012</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60" w:type="dxa"/>
            <w:vAlign w:val="bottom"/>
          </w:tcPr>
          <w:p>
            <w:pPr>
              <w:ind w:left="700"/>
              <w:spacing w:after="0" w:line="201" w:lineRule="exact"/>
              <w:rPr>
                <w:sz w:val="20"/>
                <w:szCs w:val="20"/>
                <w:color w:val="auto"/>
              </w:rPr>
            </w:pPr>
            <w:r>
              <w:rPr>
                <w:rFonts w:ascii="Arial" w:cs="Arial" w:eastAsia="Arial" w:hAnsi="Arial"/>
                <w:sz w:val="18"/>
                <w:szCs w:val="18"/>
                <w:color w:val="auto"/>
              </w:rPr>
              <w:t>Series A 12% convertible preferred stock; 5,000,000 shares authorized, 1,562,500 issued and</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880"/>
              <w:spacing w:after="0"/>
              <w:rPr>
                <w:sz w:val="20"/>
                <w:szCs w:val="20"/>
                <w:color w:val="auto"/>
              </w:rPr>
            </w:pPr>
            <w:r>
              <w:rPr>
                <w:rFonts w:ascii="Arial" w:cs="Arial" w:eastAsia="Arial" w:hAnsi="Arial"/>
                <w:sz w:val="18"/>
                <w:szCs w:val="18"/>
                <w:color w:val="auto"/>
              </w:rPr>
              <w:t>outstanding at September 30, 2013 and December 31, 2012</w:t>
            </w:r>
          </w:p>
        </w:tc>
        <w:tc>
          <w:tcPr>
            <w:tcW w:w="200" w:type="dxa"/>
            <w:vAlign w:val="bottom"/>
          </w:tcPr>
          <w:p>
            <w:pPr>
              <w:spacing w:after="0"/>
              <w:rPr>
                <w:sz w:val="20"/>
                <w:szCs w:val="20"/>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632</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Common stock, $0.001 par value; 50,000,000 shares authorized at September 30, 2013 and</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9"/>
              </w:rPr>
              <w:t>December 31, 2012, 17,650,977 and 16,060,853 issued and outstanding at September 30, 2013 and</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December 31, 2012, respectively</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99,500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Deficit accumulated during the development stage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(98,850)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10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2"/>
                <w:szCs w:val="12"/>
                <w:color w:val="auto"/>
              </w:rPr>
            </w:pPr>
          </w:p>
        </w:tc>
        <w:tc>
          <w:tcPr>
            <w:tcW w:w="180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(July 10, 2000)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to September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5"/>
          </w:tcPr>
          <w:p>
            <w:pPr>
              <w:jc w:val="right"/>
              <w:ind w:right="272"/>
              <w:spacing w:after="0" w:line="115" w:lineRule="exact"/>
              <w:rPr>
                <w:sz w:val="20"/>
                <w:szCs w:val="20"/>
                <w:color w:val="auto"/>
              </w:rPr>
            </w:pPr>
            <w:r>
              <w:rPr>
                <w:rFonts w:ascii="Arial" w:cs="Arial" w:eastAsia="Arial" w:hAnsi="Arial"/>
                <w:sz w:val="13"/>
                <w:szCs w:val="13"/>
                <w:b w:val="1"/>
                <w:bCs w:val="1"/>
                <w:color w:val="auto"/>
              </w:rPr>
              <w:t>September 30,</w:t>
            </w: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jc w:val="right"/>
              <w:ind w:right="291"/>
              <w:spacing w:after="0" w:line="115"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294"/>
              <w:spacing w:after="0" w:line="129" w:lineRule="exact"/>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8"/>
          </w:tcPr>
          <w:p>
            <w:pPr>
              <w:jc w:val="right"/>
              <w:ind w:right="140"/>
              <w:spacing w:after="0" w:line="142" w:lineRule="exact"/>
              <w:rPr>
                <w:sz w:val="20"/>
                <w:szCs w:val="20"/>
                <w:color w:val="auto"/>
              </w:rPr>
            </w:pPr>
            <w:r>
              <w:rPr>
                <w:rFonts w:ascii="Arial" w:cs="Arial" w:eastAsia="Arial" w:hAnsi="Arial"/>
                <w:sz w:val="14"/>
                <w:szCs w:val="14"/>
                <w:b w:val="1"/>
                <w:bCs w:val="1"/>
                <w:color w:val="auto"/>
                <w:w w:val="94"/>
              </w:rPr>
              <w:t>(in thousands, except per share amounts)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1,409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4,293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3,525</w:t>
            </w:r>
          </w:p>
        </w:tc>
        <w:tc>
          <w:tcPr>
            <w:tcW w:w="24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52,043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83,946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(3,545)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(2,896)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(7,517)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(83,946)</w:t>
            </w:r>
          </w:p>
        </w:tc>
        <w:tc>
          <w:tcPr>
            <w:tcW w:w="0" w:type="dxa"/>
            <w:vAlign w:val="bottom"/>
          </w:tcPr>
          <w:p>
            <w:pPr>
              <w:spacing w:after="0"/>
              <w:rPr>
                <w:sz w:val="1"/>
                <w:szCs w:val="1"/>
                <w:color w:val="auto"/>
              </w:rPr>
            </w:pPr>
          </w:p>
        </w:tc>
      </w:tr>
      <w:tr>
        <w:trPr>
          <w:trHeight w:val="331"/>
        </w:trPr>
        <w:tc>
          <w:tcPr>
            <w:tcW w:w="55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convertible debt instrument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Change in fair value of warrant liabilities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560" w:type="dxa"/>
            <w:vAlign w:val="bottom"/>
          </w:tcPr>
          <w:p>
            <w:pPr>
              <w:ind w:left="700"/>
              <w:spacing w:after="0"/>
              <w:rPr>
                <w:sz w:val="20"/>
                <w:szCs w:val="20"/>
                <w:color w:val="auto"/>
              </w:rPr>
            </w:pPr>
            <w:r>
              <w:rPr>
                <w:rFonts w:ascii="Arial" w:cs="Arial" w:eastAsia="Arial" w:hAnsi="Arial"/>
                <w:sz w:val="18"/>
                <w:szCs w:val="18"/>
                <w:color w:val="auto"/>
              </w:rPr>
              <w:t>Total other income (expense)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(3,542)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(2,689)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(7,299)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(81,281)</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580" w:type="dxa"/>
            <w:vAlign w:val="bottom"/>
            <w:gridSpan w:val="2"/>
          </w:tcPr>
          <w:p>
            <w:pPr>
              <w:spacing w:after="0"/>
              <w:rPr>
                <w:sz w:val="20"/>
                <w:szCs w:val="20"/>
                <w:color w:val="auto"/>
              </w:rPr>
            </w:pPr>
            <w:r>
              <w:rPr>
                <w:rFonts w:ascii="Arial" w:cs="Arial" w:eastAsia="Arial" w:hAnsi="Arial"/>
                <w:sz w:val="18"/>
                <w:szCs w:val="18"/>
                <w:color w:val="auto"/>
              </w:rPr>
              <w:t>Preferred stock dividends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(702)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Modification of warrants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(8,763)</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(8,763)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(3,723)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(2,985)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(18,836)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(8,173)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(99,108)</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580" w:type="dxa"/>
            <w:vAlign w:val="bottom"/>
            <w:gridSpan w:val="2"/>
          </w:tcPr>
          <w:p>
            <w:pPr>
              <w:spacing w:after="0"/>
              <w:rPr>
                <w:sz w:val="20"/>
                <w:szCs w:val="20"/>
                <w:color w:val="auto"/>
              </w:rPr>
            </w:pPr>
            <w:r>
              <w:rPr>
                <w:rFonts w:ascii="Arial" w:cs="Arial" w:eastAsia="Arial" w:hAnsi="Arial"/>
                <w:sz w:val="18"/>
                <w:szCs w:val="18"/>
                <w:color w:val="auto"/>
              </w:rPr>
              <w:t>Net loss per common share – basic and diluted</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(0.55)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16,988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15,822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16,438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14,851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9"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(DEFICIT) EQUITY NINE MONTHS ENDED SEPTEMBER 30, 2013 (UNAUDITED) (in thousands except share data)</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0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Series B-1 12%</w:t>
            </w:r>
          </w:p>
        </w:tc>
        <w:tc>
          <w:tcPr>
            <w:tcW w:w="140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3"/>
              </w:rPr>
              <w:t>Series B-2 12%</w:t>
            </w:r>
          </w:p>
        </w:tc>
        <w:tc>
          <w:tcPr>
            <w:tcW w:w="132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0"/>
              </w:rPr>
              <w:t>Series C Super</w:t>
            </w:r>
          </w:p>
        </w:tc>
        <w:tc>
          <w:tcPr>
            <w:tcW w:w="1060" w:type="dxa"/>
            <w:vAlign w:val="bottom"/>
            <w:gridSpan w:val="3"/>
            <w:vMerge w:val="restart"/>
          </w:tcPr>
          <w:p>
            <w:pPr>
              <w:jc w:val="center"/>
              <w:ind w:left="148"/>
              <w:spacing w:after="0"/>
              <w:rPr>
                <w:sz w:val="20"/>
                <w:szCs w:val="20"/>
                <w:color w:val="auto"/>
              </w:rPr>
            </w:pPr>
            <w:r>
              <w:rPr>
                <w:rFonts w:ascii="Arial" w:cs="Arial" w:eastAsia="Arial" w:hAnsi="Arial"/>
                <w:sz w:val="14"/>
                <w:szCs w:val="14"/>
                <w:b w:val="1"/>
                <w:bCs w:val="1"/>
                <w:color w:val="auto"/>
                <w:w w:val="95"/>
              </w:rPr>
              <w:t>Series A 12%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9"/>
          </w:tcPr>
          <w:p>
            <w:pPr>
              <w:jc w:val="right"/>
              <w:spacing w:after="0"/>
              <w:rPr>
                <w:sz w:val="20"/>
                <w:szCs w:val="20"/>
                <w:color w:val="auto"/>
              </w:rPr>
            </w:pPr>
            <w:r>
              <w:rPr>
                <w:rFonts w:ascii="Arial" w:cs="Arial" w:eastAsia="Arial" w:hAnsi="Arial"/>
                <w:sz w:val="14"/>
                <w:szCs w:val="14"/>
                <w:b w:val="1"/>
                <w:bCs w:val="1"/>
                <w:color w:val="auto"/>
              </w:rPr>
              <w:t>Stockholders’ Equity (Deficit)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300" w:type="dxa"/>
            <w:vAlign w:val="bottom"/>
            <w:gridSpan w:val="6"/>
            <w:vMerge w:val="continue"/>
          </w:tcPr>
          <w:p>
            <w:pPr>
              <w:spacing w:after="0"/>
              <w:rPr>
                <w:sz w:val="10"/>
                <w:szCs w:val="10"/>
                <w:color w:val="auto"/>
              </w:rPr>
            </w:pPr>
          </w:p>
        </w:tc>
        <w:tc>
          <w:tcPr>
            <w:tcW w:w="1400" w:type="dxa"/>
            <w:vAlign w:val="bottom"/>
            <w:gridSpan w:val="6"/>
            <w:vMerge w:val="continue"/>
          </w:tcPr>
          <w:p>
            <w:pPr>
              <w:spacing w:after="0"/>
              <w:rPr>
                <w:sz w:val="10"/>
                <w:szCs w:val="10"/>
                <w:color w:val="auto"/>
              </w:rPr>
            </w:pPr>
          </w:p>
        </w:tc>
        <w:tc>
          <w:tcPr>
            <w:tcW w:w="1320" w:type="dxa"/>
            <w:vAlign w:val="bottom"/>
            <w:gridSpan w:val="6"/>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0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Redeemable</w:t>
            </w:r>
          </w:p>
        </w:tc>
        <w:tc>
          <w:tcPr>
            <w:tcW w:w="140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Redeemable</w:t>
            </w:r>
          </w:p>
        </w:tc>
        <w:tc>
          <w:tcPr>
            <w:tcW w:w="132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Dividend</w:t>
            </w:r>
          </w:p>
        </w:tc>
        <w:tc>
          <w:tcPr>
            <w:tcW w:w="106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0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40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32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06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6"/>
              </w:rPr>
              <w:t>Preferred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3"/>
              </w:rPr>
              <w:t>Common Stock</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Preferred Stock</w:t>
            </w:r>
          </w:p>
        </w:tc>
        <w:tc>
          <w:tcPr>
            <w:tcW w:w="14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3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06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4"/>
              </w:rPr>
              <w:t>During the</w:t>
            </w:r>
          </w:p>
        </w:tc>
        <w:tc>
          <w:tcPr>
            <w:tcW w:w="94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40" w:type="dxa"/>
            <w:vAlign w:val="bottom"/>
          </w:tcPr>
          <w:p>
            <w:pPr>
              <w:spacing w:after="0"/>
              <w:rPr>
                <w:sz w:val="12"/>
                <w:szCs w:val="12"/>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Development</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4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5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Stage</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 December 31,</w:t>
            </w: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8"/>
              </w:rPr>
              <w:t>900,000</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1,698</w:t>
            </w:r>
          </w:p>
        </w:tc>
        <w:tc>
          <w:tcPr>
            <w:tcW w:w="6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99"/>
              </w:rPr>
              <w:t>2,100,000</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2,900</w:t>
            </w: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220</w:t>
            </w:r>
          </w:p>
        </w:tc>
        <w:tc>
          <w:tcPr>
            <w:tcW w:w="1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2,154</w:t>
            </w:r>
          </w:p>
        </w:tc>
        <w:tc>
          <w:tcPr>
            <w:tcW w:w="640" w:type="dxa"/>
            <w:vAlign w:val="bottom"/>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w w:val="89"/>
              </w:rPr>
              <w:t>1,562,500</w:t>
            </w: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85"/>
              </w:rPr>
              <w:t>632</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94"/>
              </w:rPr>
              <w:t>16,060,853</w:t>
            </w:r>
          </w:p>
        </w:tc>
        <w:tc>
          <w:tcPr>
            <w:tcW w:w="3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16</w:t>
            </w:r>
          </w:p>
        </w:tc>
        <w:tc>
          <w:tcPr>
            <w:tcW w:w="1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80,535</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(80,018)</w:t>
            </w:r>
          </w:p>
        </w:tc>
        <w:tc>
          <w:tcPr>
            <w:tcW w:w="120" w:type="dxa"/>
            <w:vAlign w:val="bottom"/>
            <w:vMerge w:val="restart"/>
            <w:shd w:val="clear" w:color="auto" w:fill="CCEEFF"/>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1,165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2012</w:t>
            </w:r>
          </w:p>
        </w:tc>
        <w:tc>
          <w:tcPr>
            <w:tcW w:w="58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tcPr>
          <w:p>
            <w:pPr>
              <w:spacing w:after="0" w:line="130" w:lineRule="exact"/>
              <w:rPr>
                <w:sz w:val="20"/>
                <w:szCs w:val="20"/>
                <w:color w:val="auto"/>
              </w:rPr>
            </w:pPr>
            <w:r>
              <w:rPr>
                <w:rFonts w:ascii="Arial" w:cs="Arial" w:eastAsia="Arial" w:hAnsi="Arial"/>
                <w:sz w:val="14"/>
                <w:szCs w:val="14"/>
                <w:color w:val="auto"/>
              </w:rPr>
              <w:t>Accretion of Series B</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ind w:left="140"/>
              <w:spacing w:after="0" w:line="149" w:lineRule="exact"/>
              <w:rPr>
                <w:sz w:val="20"/>
                <w:szCs w:val="20"/>
                <w:color w:val="auto"/>
              </w:rPr>
            </w:pPr>
            <w:r>
              <w:rPr>
                <w:rFonts w:ascii="Arial" w:cs="Arial" w:eastAsia="Arial" w:hAnsi="Arial"/>
                <w:sz w:val="14"/>
                <w:szCs w:val="14"/>
                <w:color w:val="auto"/>
              </w:rPr>
              <w:t>redeemable convertible</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Arial" w:cs="Arial" w:eastAsia="Arial" w:hAnsi="Arial"/>
                <w:sz w:val="14"/>
                <w:szCs w:val="14"/>
                <w:color w:val="auto"/>
              </w:rPr>
              <w:t>preferred 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12</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118</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of beneficial</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conversion feature for</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Series B-2</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500,000</w:t>
            </w:r>
          </w:p>
        </w:tc>
        <w:tc>
          <w:tcPr>
            <w:tcW w:w="34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2,999</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A 12% convertible</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dividend</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25,038</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tcPr>
          <w:p>
            <w:pPr>
              <w:spacing w:after="0" w:line="130" w:lineRule="exact"/>
              <w:rPr>
                <w:sz w:val="20"/>
                <w:szCs w:val="20"/>
                <w:color w:val="auto"/>
              </w:rPr>
            </w:pPr>
            <w:r>
              <w:rPr>
                <w:rFonts w:ascii="Arial" w:cs="Arial" w:eastAsia="Arial" w:hAnsi="Arial"/>
                <w:sz w:val="14"/>
                <w:szCs w:val="14"/>
                <w:color w:val="auto"/>
              </w:rPr>
              <w:t>Series B-1 redeemable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ind w:left="140"/>
              <w:spacing w:after="0" w:line="149" w:lineRule="exact"/>
              <w:rPr>
                <w:sz w:val="20"/>
                <w:szCs w:val="20"/>
                <w:color w:val="auto"/>
              </w:rPr>
            </w:pPr>
            <w:r>
              <w:rPr>
                <w:rFonts w:ascii="Arial" w:cs="Arial" w:eastAsia="Arial" w:hAnsi="Arial"/>
                <w:sz w:val="14"/>
                <w:szCs w:val="14"/>
                <w:color w:val="auto"/>
                <w:w w:val="98"/>
              </w:rPr>
              <w:t>convertible preferred 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Arial" w:cs="Arial" w:eastAsia="Arial" w:hAnsi="Arial"/>
                <w:sz w:val="14"/>
                <w:szCs w:val="14"/>
                <w:color w:val="auto"/>
              </w:rPr>
              <w:t>dividend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29,689</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B-2 redeemable</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8"/>
              </w:rPr>
              <w:t>convertible preferred stock</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69,580</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291</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tcPr>
          <w:p>
            <w:pPr>
              <w:spacing w:after="0" w:line="130" w:lineRule="exact"/>
              <w:rPr>
                <w:sz w:val="20"/>
                <w:szCs w:val="20"/>
                <w:color w:val="auto"/>
              </w:rPr>
            </w:pPr>
            <w:r>
              <w:rPr>
                <w:rFonts w:ascii="Arial" w:cs="Arial" w:eastAsia="Arial" w:hAnsi="Arial"/>
                <w:sz w:val="14"/>
                <w:szCs w:val="14"/>
                <w:color w:val="auto"/>
              </w:rPr>
              <w:t>Series C super dividend</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ind w:left="140"/>
              <w:spacing w:after="0" w:line="149" w:lineRule="exact"/>
              <w:rPr>
                <w:sz w:val="20"/>
                <w:szCs w:val="20"/>
                <w:color w:val="auto"/>
              </w:rPr>
            </w:pPr>
            <w:r>
              <w:rPr>
                <w:rFonts w:ascii="Arial" w:cs="Arial" w:eastAsia="Arial" w:hAnsi="Arial"/>
                <w:sz w:val="14"/>
                <w:szCs w:val="14"/>
                <w:color w:val="auto"/>
                <w:w w:val="98"/>
              </w:rPr>
              <w:t>convertible preferred 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Arial" w:cs="Arial" w:eastAsia="Arial" w:hAnsi="Arial"/>
                <w:sz w:val="14"/>
                <w:szCs w:val="14"/>
                <w:color w:val="auto"/>
              </w:rPr>
              <w:t>dividend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23,848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Series C to</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8,475</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tcPr>
          <w:p>
            <w:pPr>
              <w:spacing w:after="0" w:line="130" w:lineRule="exact"/>
              <w:rPr>
                <w:sz w:val="20"/>
                <w:szCs w:val="20"/>
                <w:color w:val="auto"/>
              </w:rPr>
            </w:pPr>
            <w:r>
              <w:rPr>
                <w:rFonts w:ascii="Arial" w:cs="Arial" w:eastAsia="Arial" w:hAnsi="Arial"/>
                <w:sz w:val="14"/>
                <w:szCs w:val="14"/>
                <w:color w:val="auto"/>
              </w:rPr>
              <w:t>Issuance of common 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tcPr>
          <w:p>
            <w:pPr>
              <w:ind w:left="140"/>
              <w:spacing w:after="0"/>
              <w:rPr>
                <w:sz w:val="20"/>
                <w:szCs w:val="20"/>
                <w:color w:val="auto"/>
              </w:rPr>
            </w:pPr>
            <w:r>
              <w:rPr>
                <w:rFonts w:ascii="Arial" w:cs="Arial" w:eastAsia="Arial" w:hAnsi="Arial"/>
                <w:sz w:val="14"/>
                <w:szCs w:val="14"/>
                <w:color w:val="auto"/>
              </w:rPr>
              <w:t>upon exercise of options</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156,341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upon exercise of warrants</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777,153</w:t>
            </w:r>
          </w:p>
        </w:tc>
        <w:tc>
          <w:tcPr>
            <w:tcW w:w="3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3,004</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Modification of warrants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8,763</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(8,763)</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3,276</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(9,289)</w:t>
            </w:r>
          </w:p>
        </w:tc>
        <w:tc>
          <w:tcPr>
            <w:tcW w:w="12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(9,289)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17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 September 30,</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900,000</w:t>
            </w:r>
          </w:p>
        </w:tc>
        <w:tc>
          <w:tcPr>
            <w:tcW w:w="60" w:type="dxa"/>
            <w:vAlign w:val="bottom"/>
            <w:vMerge w:val="restart"/>
            <w:shd w:val="clear" w:color="auto" w:fill="CCEEFF"/>
          </w:tcPr>
          <w:p>
            <w:pPr>
              <w:spacing w:after="0"/>
              <w:rPr>
                <w:sz w:val="10"/>
                <w:szCs w:val="10"/>
                <w:color w:val="auto"/>
              </w:rPr>
            </w:pP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1,710</w:t>
            </w:r>
          </w:p>
        </w:tc>
        <w:tc>
          <w:tcPr>
            <w:tcW w:w="6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99"/>
              </w:rPr>
              <w:t>2,100,000</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3,058</w:t>
            </w: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215</w:t>
            </w:r>
          </w:p>
        </w:tc>
        <w:tc>
          <w:tcPr>
            <w:tcW w:w="1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2,105</w:t>
            </w:r>
          </w:p>
        </w:tc>
        <w:tc>
          <w:tcPr>
            <w:tcW w:w="640" w:type="dxa"/>
            <w:vAlign w:val="bottom"/>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w w:val="89"/>
              </w:rPr>
              <w:t>1,562,500</w:t>
            </w: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85"/>
              </w:rPr>
              <w:t>632</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94"/>
              </w:rPr>
              <w:t>17,650,977</w:t>
            </w:r>
          </w:p>
        </w:tc>
        <w:tc>
          <w:tcPr>
            <w:tcW w:w="3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18</w:t>
            </w:r>
          </w:p>
        </w:tc>
        <w:tc>
          <w:tcPr>
            <w:tcW w:w="1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99,500</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(98,850)</w:t>
            </w:r>
          </w:p>
        </w:tc>
        <w:tc>
          <w:tcPr>
            <w:tcW w:w="120" w:type="dxa"/>
            <w:vAlign w:val="bottom"/>
            <w:vMerge w:val="restart"/>
            <w:shd w:val="clear" w:color="auto" w:fill="CCEEFF"/>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1,300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2013</w:t>
            </w:r>
          </w:p>
        </w:tc>
        <w:tc>
          <w:tcPr>
            <w:tcW w:w="520" w:type="dxa"/>
            <w:vAlign w:val="bottom"/>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Inception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(July 10, 2000)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3"/>
          </w:tcPr>
          <w:p>
            <w:pPr>
              <w:jc w:val="center"/>
              <w:ind w:right="120"/>
              <w:spacing w:after="0" w:line="118" w:lineRule="exact"/>
              <w:rPr>
                <w:sz w:val="20"/>
                <w:szCs w:val="20"/>
                <w:color w:val="auto"/>
              </w:rPr>
            </w:pPr>
            <w:r>
              <w:rPr>
                <w:rFonts w:ascii="Arial" w:cs="Arial" w:eastAsia="Arial" w:hAnsi="Arial"/>
                <w:sz w:val="13"/>
                <w:szCs w:val="13"/>
                <w:b w:val="1"/>
                <w:bCs w:val="1"/>
                <w:color w:val="auto"/>
                <w:w w:val="97"/>
              </w:rPr>
              <w:t>to September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(9,289)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(7,299)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3,276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520"/>
              <w:spacing w:after="0"/>
              <w:rPr>
                <w:sz w:val="20"/>
                <w:szCs w:val="20"/>
                <w:color w:val="auto"/>
              </w:rPr>
            </w:pPr>
            <w:r>
              <w:rPr>
                <w:rFonts w:ascii="Arial" w:cs="Arial" w:eastAsia="Arial" w:hAnsi="Arial"/>
                <w:sz w:val="18"/>
                <w:szCs w:val="18"/>
                <w:color w:val="auto"/>
              </w:rPr>
              <w:t>Non-cash interest expense</w:t>
            </w:r>
          </w:p>
        </w:tc>
        <w:tc>
          <w:tcPr>
            <w:tcW w:w="10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 in fair value of convertible debt instrument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520"/>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Write off of intangible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5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(5,838)</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(5,749)</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restricted cash</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Increase in patents costs and other assets</w:t>
            </w: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common stock and warrants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10,403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Net proceeds from issuance of Series A preferred stock and related warrants</w:t>
            </w:r>
          </w:p>
        </w:tc>
        <w:tc>
          <w:tcPr>
            <w:tcW w:w="10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Series B-1 preferred stock and related warrants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Net proceeds from issuance of Series B-2 preferred stock and related warrants</w:t>
            </w:r>
          </w:p>
        </w:tc>
        <w:tc>
          <w:tcPr>
            <w:tcW w:w="10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Series C preferred stock</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Net proceeds from issuance of convertible debt instruments</w:t>
            </w:r>
          </w:p>
        </w:tc>
        <w:tc>
          <w:tcPr>
            <w:tcW w:w="10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convertible debt instruments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Proceeds from exercise of common stock warrants and options</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3,189</w:t>
            </w:r>
          </w:p>
        </w:tc>
        <w:tc>
          <w:tcPr>
            <w:tcW w:w="10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shareholder advances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6,189</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10,403</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9,364</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11,059</w:t>
            </w:r>
          </w:p>
        </w:tc>
        <w:tc>
          <w:tcPr>
            <w:tcW w:w="4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 Cash paid for interest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Issuance of equity warrants in connection with equity offerings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4,445</w:t>
            </w:r>
          </w:p>
        </w:tc>
        <w:tc>
          <w:tcPr>
            <w:tcW w:w="4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of accrued expenses into common stock</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Conversion and redemption of convertible notes and accrued interest into common stock</w:t>
            </w:r>
          </w:p>
        </w:tc>
        <w:tc>
          <w:tcPr>
            <w:tcW w:w="10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of extension costs related to convertible notes into common stock</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Payment of preferred stock dividends in common stock</w:t>
            </w:r>
          </w:p>
        </w:tc>
        <w:tc>
          <w:tcPr>
            <w:tcW w:w="10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warrants to induce conversion of notes payable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Issuance of stock to acquire Pro-Pharmaceuticals-NV</w:t>
            </w:r>
          </w:p>
        </w:tc>
        <w:tc>
          <w:tcPr>
            <w:tcW w:w="100" w:type="dxa"/>
            <w:vAlign w:val="bottom"/>
          </w:tcPr>
          <w:p>
            <w:pPr>
              <w:spacing w:after="0"/>
              <w:rPr>
                <w:sz w:val="20"/>
                <w:szCs w:val="20"/>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Galectin Therapeutics Inc. (the “Company”) is a development-stage company that is applying its leadership in galectin science and drug development to create new therapies for fibrotic disease and cancer. These therapeutic candidates are based on the Company’s targeting of galectin proteins which are key mediators of biologic and pathologic functions. These compounds also may have application for drugs to treat other diseases and chronic health conditions.</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unaudited condensed consolidated financial statements as reported in this Quarterly Report on Form 10-Q reflect all adjustments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which are, in the opinion of management, necessary to present fairly the financial position of the Company as of September 30, 2013 and the results of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operations for the three and nine months ended September 30, 2013 and 2012 and the cumulative period from inception (July 10, 2000)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2013 and its cash flows for the nine months ended September 30, 2013 and 2012, and for the cumulative period from inception (July 10, 2000)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September 30, 2013. Such adjustments, other than nonrecurring adjustments that have been separately disclosed, are of a normal, recurring nature.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considers events or transactions that occur after the balance sheet date but before the financial statements are issued to provide additional evidence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relative to certain estimates or to identify matters that require additional disclosure. Subsequent events have been evaluated through the date these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are available to be issued. The results for interim periods are not necessarily indicative of results which may be expected for any other interim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or for the full year. The unaudited condensed consolidated financial statements of the Company should be read in conjunction with its Annual Report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Form 10-K for the year ended December 31, 2012.</w:t>
      </w:r>
    </w:p>
    <w:p>
      <w:pPr>
        <w:spacing w:after="0" w:line="211" w:lineRule="exact"/>
        <w:rPr>
          <w:sz w:val="20"/>
          <w:szCs w:val="20"/>
          <w:color w:val="auto"/>
        </w:rPr>
      </w:pPr>
    </w:p>
    <w:p>
      <w:pPr>
        <w:ind w:right="80" w:firstLine="1484"/>
        <w:spacing w:after="0" w:line="269" w:lineRule="auto"/>
        <w:rPr>
          <w:sz w:val="20"/>
          <w:szCs w:val="20"/>
          <w:color w:val="auto"/>
        </w:rPr>
      </w:pPr>
      <w:r>
        <w:rPr>
          <w:rFonts w:ascii="Arial" w:cs="Arial" w:eastAsia="Arial" w:hAnsi="Arial"/>
          <w:sz w:val="17"/>
          <w:szCs w:val="17"/>
          <w:color w:val="auto"/>
        </w:rPr>
        <w:t>The Company has operated at a loss since its inception and has had no significant revenues. The Company anticipates that losses will continue for the foreseeable future as is develops its therapeutic candidates. At September 30, 2013, the Company had $9,715,000 of unrestricted cash and cash equivalents available to fund future operations. Subsequent to September 30, 2013, the Company received $1,580,600 from the exercise of warrants and stock options for 556,667 shares of common stock. Additionally subsequent to September 30, 2013, the Company had issued 50,643 shares of its common stock through its At Market issuance program (see Note 9) at an average price of $10.82 per share resulting in net proceeds of approximately $531,000. The Company believes that with the cash on hand at September 30, 2013 and the cash received subsequent to quarter end, there is sufficient cash to fund operations into the third quarter of 2014. The Company’s ability to fund operations after its current cash resources are exhausted depends on its ability to obtain additional financing or achieve profitable operations, as to which no assurances can be given. The Company has developed plans, including cost containment efforts in the event that such financing cannot be realized by the Company. Accordingly, based on the forecasts and estimates underlying the Company’s current operating plan, the financial statements do not currently include any adjustments that might be necessary if the Company is unable to continue as a going concern.</w:t>
      </w:r>
    </w:p>
    <w:p>
      <w:pPr>
        <w:spacing w:after="0" w:line="183" w:lineRule="exact"/>
        <w:rPr>
          <w:sz w:val="20"/>
          <w:szCs w:val="20"/>
          <w:color w:val="auto"/>
        </w:rPr>
      </w:pPr>
    </w:p>
    <w:p>
      <w:pPr>
        <w:ind w:right="100" w:firstLine="1484"/>
        <w:spacing w:after="0" w:line="288" w:lineRule="auto"/>
        <w:rPr>
          <w:sz w:val="20"/>
          <w:szCs w:val="20"/>
          <w:color w:val="auto"/>
        </w:rPr>
      </w:pPr>
      <w:r>
        <w:rPr>
          <w:rFonts w:ascii="Arial" w:cs="Arial" w:eastAsia="Arial" w:hAnsi="Arial"/>
          <w:sz w:val="16"/>
          <w:szCs w:val="16"/>
          <w:color w:val="auto"/>
        </w:rPr>
        <w:t>As shown in the condensed consolidated financial statements, the Company incurred cumulative net losses applicable to common stockholders of $99.1 million for the cumulative period from inception (July 10, 2000) through September 30, 2013. The Company’s net losses have resulted principally from costs associated with (i) research and development expenses, including clinical trial costs, (ii) general and administrative activities and</w:t>
      </w:r>
    </w:p>
    <w:p>
      <w:pPr>
        <w:ind w:right="80" w:firstLine="8"/>
        <w:spacing w:after="0" w:line="270"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Company’s financing transactions including interest, dividend payments, and the costs related to fair value accounting for the Company’s convertible debt instruments. As a result of planned expenditures for future research, discovery, development and commercialization activities and potential legal cost to protect its intellectual property, the Company expects to incur additional losses and use additional cash in its operations for the foreseeable future. Through September 30, 2013, the Company had raised a net total of $74.9 million in capital through sale and issuance of common stock, common stock purchase warrants, convertible preferred stock and debt securities in public and private offerings. From inception (July 10, 2000) through September 30, 2013, the Company used cash of $64.4 million in its operations.</w:t>
      </w:r>
    </w:p>
    <w:p>
      <w:pPr>
        <w:spacing w:after="0" w:line="179" w:lineRule="exact"/>
        <w:rPr>
          <w:sz w:val="20"/>
          <w:szCs w:val="20"/>
          <w:color w:val="auto"/>
        </w:rPr>
      </w:pPr>
    </w:p>
    <w:p>
      <w:pPr>
        <w:ind w:right="40" w:firstLine="1484"/>
        <w:spacing w:after="0" w:line="259"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 On March 23, 2012, the Company began trading on The NASDAQ Capital Market under the symbol GALT. Immediately prior to March 23, 2012, the Company was traded on the Over-the Counter Bulletin Board (“OTCBB”) under the symbol GALT.OB.</w:t>
      </w:r>
    </w:p>
    <w:p>
      <w:pPr>
        <w:spacing w:after="0" w:line="187" w:lineRule="exact"/>
        <w:rPr>
          <w:sz w:val="20"/>
          <w:szCs w:val="20"/>
          <w:color w:val="auto"/>
        </w:rPr>
      </w:pPr>
    </w:p>
    <w:p>
      <w:pPr>
        <w:ind w:right="80" w:firstLine="1484"/>
        <w:spacing w:after="0" w:line="272" w:lineRule="auto"/>
        <w:rPr>
          <w:sz w:val="20"/>
          <w:szCs w:val="20"/>
          <w:color w:val="auto"/>
        </w:rPr>
      </w:pPr>
      <w:r>
        <w:rPr>
          <w:rFonts w:ascii="Arial" w:cs="Arial" w:eastAsia="Arial" w:hAnsi="Arial"/>
          <w:sz w:val="17"/>
          <w:szCs w:val="17"/>
          <w:color w:val="auto"/>
        </w:rPr>
        <w:t>The Company is subject to a number of risks similar to those of other development-stage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60" w:type="dxa"/>
            <w:vAlign w:val="bottom"/>
            <w:gridSpan w:val="3"/>
          </w:tcPr>
          <w:p>
            <w:pPr>
              <w:ind w:left="2020"/>
              <w:spacing w:after="0"/>
              <w:rPr>
                <w:sz w:val="20"/>
                <w:szCs w:val="20"/>
                <w:color w:val="auto"/>
              </w:rPr>
            </w:pPr>
            <w:r>
              <w:rPr>
                <w:rFonts w:ascii="Arial" w:cs="Arial" w:eastAsia="Arial" w:hAnsi="Arial"/>
                <w:sz w:val="14"/>
                <w:szCs w:val="14"/>
                <w:color w:val="auto"/>
                <w:w w:val="89"/>
              </w:rPr>
              <w:t>September 30,</w:t>
            </w:r>
          </w:p>
        </w:tc>
        <w:tc>
          <w:tcPr>
            <w:tcW w:w="1620" w:type="dxa"/>
            <w:vAlign w:val="bottom"/>
            <w:gridSpan w:val="4"/>
          </w:tcPr>
          <w:p>
            <w:pPr>
              <w:ind w:left="700"/>
              <w:spacing w:after="0"/>
              <w:rPr>
                <w:sz w:val="20"/>
                <w:szCs w:val="20"/>
                <w:color w:val="auto"/>
              </w:rPr>
            </w:pPr>
            <w:r>
              <w:rPr>
                <w:rFonts w:ascii="Arial" w:cs="Arial" w:eastAsia="Arial" w:hAnsi="Arial"/>
                <w:sz w:val="14"/>
                <w:szCs w:val="14"/>
                <w:color w:val="auto"/>
              </w:rPr>
              <w:t>December 31,</w:t>
            </w:r>
          </w:p>
        </w:tc>
      </w:tr>
      <w:tr>
        <w:trPr>
          <w:trHeight w:val="167"/>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2013</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ind w:left="58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220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Accrued compensation</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Severance agreement (Note 8)</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80" w:firstLine="1484"/>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300"/>
              <w:spacing w:after="0"/>
              <w:rPr>
                <w:sz w:val="20"/>
                <w:szCs w:val="20"/>
                <w:color w:val="auto"/>
              </w:rPr>
            </w:pPr>
            <w:r>
              <w:rPr>
                <w:rFonts w:ascii="Arial" w:cs="Arial" w:eastAsia="Arial" w:hAnsi="Arial"/>
                <w:sz w:val="14"/>
                <w:szCs w:val="14"/>
                <w:color w:val="auto"/>
                <w:w w:val="90"/>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right"/>
              <w:ind w:right="200"/>
              <w:spacing w:after="0"/>
              <w:rPr>
                <w:sz w:val="20"/>
                <w:szCs w:val="20"/>
                <w:color w:val="auto"/>
              </w:rPr>
            </w:pPr>
            <w:r>
              <w:rPr>
                <w:rFonts w:ascii="Arial" w:cs="Arial" w:eastAsia="Arial" w:hAnsi="Arial"/>
                <w:sz w:val="14"/>
                <w:szCs w:val="14"/>
                <w:color w:val="auto"/>
                <w:w w:val="95"/>
              </w:rPr>
              <w:t>Nine Months Ended</w:t>
            </w:r>
          </w:p>
        </w:tc>
      </w:tr>
      <w:tr>
        <w:trPr>
          <w:trHeight w:val="167"/>
        </w:trPr>
        <w:tc>
          <w:tcPr>
            <w:tcW w:w="5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480"/>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right"/>
              <w:ind w:right="380"/>
              <w:spacing w:after="0"/>
              <w:rPr>
                <w:sz w:val="20"/>
                <w:szCs w:val="20"/>
                <w:color w:val="auto"/>
              </w:rPr>
            </w:pPr>
            <w:r>
              <w:rPr>
                <w:rFonts w:ascii="Arial" w:cs="Arial" w:eastAsia="Arial" w:hAnsi="Arial"/>
                <w:sz w:val="14"/>
                <w:szCs w:val="14"/>
                <w:color w:val="auto"/>
              </w:rPr>
              <w:t>September 30,</w:t>
            </w:r>
          </w:p>
        </w:tc>
      </w:tr>
      <w:tr>
        <w:trPr>
          <w:trHeight w:val="123"/>
        </w:trPr>
        <w:tc>
          <w:tcPr>
            <w:tcW w:w="52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59"/>
              <w:spacing w:after="0" w:line="123" w:lineRule="exact"/>
              <w:rPr>
                <w:sz w:val="20"/>
                <w:szCs w:val="20"/>
                <w:color w:val="auto"/>
              </w:rPr>
            </w:pPr>
            <w:r>
              <w:rPr>
                <w:rFonts w:ascii="Arial" w:cs="Arial" w:eastAsia="Arial" w:hAnsi="Arial"/>
                <w:sz w:val="14"/>
                <w:szCs w:val="14"/>
                <w:color w:val="auto"/>
                <w:w w:val="96"/>
              </w:rPr>
              <w:t>2013</w:t>
            </w:r>
          </w:p>
        </w:tc>
        <w:tc>
          <w:tcPr>
            <w:tcW w:w="4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2012</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39"/>
              <w:spacing w:after="0" w:line="123" w:lineRule="exact"/>
              <w:rPr>
                <w:sz w:val="20"/>
                <w:szCs w:val="20"/>
                <w:color w:val="auto"/>
              </w:rPr>
            </w:pPr>
            <w:r>
              <w:rPr>
                <w:rFonts w:ascii="Arial" w:cs="Arial" w:eastAsia="Arial" w:hAnsi="Arial"/>
                <w:sz w:val="14"/>
                <w:szCs w:val="14"/>
                <w:color w:val="auto"/>
                <w:w w:val="89"/>
              </w:rPr>
              <w:t>2013</w:t>
            </w: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14"/>
              <w:spacing w:after="0" w:line="123"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0"/>
                <w:szCs w:val="10"/>
                <w:color w:val="auto"/>
              </w:rPr>
            </w:pPr>
          </w:p>
        </w:tc>
      </w:tr>
      <w:tr>
        <w:trPr>
          <w:trHeight w:val="167"/>
        </w:trPr>
        <w:tc>
          <w:tcPr>
            <w:tcW w:w="5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6"/>
          </w:tcPr>
          <w:p>
            <w:pPr>
              <w:ind w:left="20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$ 248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1,473</w:t>
            </w:r>
          </w:p>
        </w:tc>
        <w:tc>
          <w:tcPr>
            <w:tcW w:w="4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2,411</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1,414</w:t>
            </w:r>
          </w:p>
        </w:tc>
      </w:tr>
      <w:tr>
        <w:trPr>
          <w:trHeight w:val="27"/>
        </w:trPr>
        <w:tc>
          <w:tcPr>
            <w:tcW w:w="5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1,808</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$ 819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3,276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2,170</w:t>
            </w:r>
          </w:p>
        </w:tc>
      </w:tr>
      <w:tr>
        <w:trPr>
          <w:trHeight w:val="20"/>
        </w:trPr>
        <w:tc>
          <w:tcPr>
            <w:tcW w:w="5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1484"/>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2012 through September 30, 2013:</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4"/>
          </w:tcPr>
          <w:p>
            <w:pPr>
              <w:ind w:left="320"/>
              <w:spacing w:after="0"/>
              <w:rPr>
                <w:sz w:val="20"/>
                <w:szCs w:val="20"/>
                <w:color w:val="auto"/>
              </w:rPr>
            </w:pPr>
            <w:r>
              <w:rPr>
                <w:rFonts w:ascii="Arial" w:cs="Arial" w:eastAsia="Arial" w:hAnsi="Arial"/>
                <w:sz w:val="14"/>
                <w:szCs w:val="14"/>
                <w:color w:val="auto"/>
                <w:w w:val="98"/>
              </w:rPr>
              <w:t>Weighted Average</w:t>
            </w: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3,539,961</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425,426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(156,349)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(302,041)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3,507,005</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color w:val="auto"/>
        </w:rPr>
        <w:t>As of September 30, 2013, there was $5,086,000 of unrecognized compensation related to 1,515,137 unvested options, which is expected to be recognized over a weighted–average period of approximately 4.2 years. The weighted-average grant date fair value for options granted during the three and nine months ended September 30, 2013 was $3.55 and $3.17, respectively. The weighted-average grant date fair value for options granted during the three and nine months ended September 30, 2012 was $1.89 and $1.72, respectively.</w:t>
      </w:r>
    </w:p>
    <w:p>
      <w:pPr>
        <w:spacing w:after="0" w:line="187" w:lineRule="exact"/>
        <w:rPr>
          <w:sz w:val="20"/>
          <w:szCs w:val="20"/>
          <w:color w:val="auto"/>
        </w:rPr>
      </w:pPr>
    </w:p>
    <w:p>
      <w:pPr>
        <w:ind w:right="100" w:firstLine="1484"/>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Cumulative</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840" w:type="dxa"/>
            <w:vAlign w:val="bottom"/>
            <w:gridSpan w:val="3"/>
            <w:vMerge w:val="restart"/>
          </w:tcPr>
          <w:p>
            <w:pPr>
              <w:jc w:val="center"/>
              <w:ind w:left="556"/>
              <w:spacing w:after="0"/>
              <w:rPr>
                <w:sz w:val="20"/>
                <w:szCs w:val="20"/>
                <w:color w:val="auto"/>
              </w:rPr>
            </w:pPr>
            <w:r>
              <w:rPr>
                <w:rFonts w:ascii="Arial" w:cs="Arial" w:eastAsia="Arial" w:hAnsi="Arial"/>
                <w:sz w:val="14"/>
                <w:szCs w:val="14"/>
                <w:color w:val="auto"/>
                <w:w w:val="94"/>
              </w:rPr>
              <w:t>Nine Months Ended</w:t>
            </w:r>
          </w:p>
        </w:tc>
        <w:tc>
          <w:tcPr>
            <w:tcW w:w="38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Inception</w:t>
            </w:r>
          </w:p>
        </w:tc>
        <w:tc>
          <w:tcPr>
            <w:tcW w:w="0" w:type="dxa"/>
            <w:vAlign w:val="bottom"/>
          </w:tcPr>
          <w:p>
            <w:pPr>
              <w:spacing w:after="0"/>
              <w:rPr>
                <w:sz w:val="1"/>
                <w:szCs w:val="1"/>
                <w:color w:val="auto"/>
              </w:rPr>
            </w:pPr>
          </w:p>
        </w:tc>
      </w:tr>
      <w:tr>
        <w:trPr>
          <w:trHeight w:val="140"/>
        </w:trPr>
        <w:tc>
          <w:tcPr>
            <w:tcW w:w="4220" w:type="dxa"/>
            <w:vAlign w:val="bottom"/>
          </w:tcPr>
          <w:p>
            <w:pPr>
              <w:spacing w:after="0"/>
              <w:rPr>
                <w:sz w:val="12"/>
                <w:szCs w:val="12"/>
                <w:color w:val="auto"/>
              </w:rPr>
            </w:pPr>
          </w:p>
        </w:tc>
        <w:tc>
          <w:tcPr>
            <w:tcW w:w="2840" w:type="dxa"/>
            <w:vAlign w:val="bottom"/>
            <w:gridSpan w:val="3"/>
            <w:vMerge w:val="continue"/>
          </w:tcPr>
          <w:p>
            <w:pPr>
              <w:spacing w:after="0"/>
              <w:rPr>
                <w:sz w:val="12"/>
                <w:szCs w:val="12"/>
                <w:color w:val="auto"/>
              </w:rPr>
            </w:pPr>
          </w:p>
        </w:tc>
        <w:tc>
          <w:tcPr>
            <w:tcW w:w="1620" w:type="dxa"/>
            <w:vAlign w:val="bottom"/>
            <w:gridSpan w:val="3"/>
          </w:tcPr>
          <w:p>
            <w:pPr>
              <w:jc w:val="center"/>
              <w:ind w:left="76"/>
              <w:spacing w:after="0" w:line="141" w:lineRule="exact"/>
              <w:rPr>
                <w:sz w:val="20"/>
                <w:szCs w:val="20"/>
                <w:color w:val="auto"/>
              </w:rPr>
            </w:pPr>
            <w:r>
              <w:rPr>
                <w:rFonts w:ascii="Arial" w:cs="Arial" w:eastAsia="Arial" w:hAnsi="Arial"/>
                <w:sz w:val="14"/>
                <w:szCs w:val="14"/>
                <w:color w:val="auto"/>
                <w:w w:val="94"/>
              </w:rPr>
              <w:t>(July 10, 2000) to</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color w:val="auto"/>
                <w:w w:val="91"/>
              </w:rPr>
              <w:t>September 30,</w:t>
            </w:r>
          </w:p>
        </w:tc>
        <w:tc>
          <w:tcPr>
            <w:tcW w:w="38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2013</w:t>
            </w:r>
          </w:p>
        </w:tc>
        <w:tc>
          <w:tcPr>
            <w:tcW w:w="5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16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5.3 years</w:t>
            </w:r>
          </w:p>
        </w:tc>
        <w:tc>
          <w:tcPr>
            <w:tcW w:w="3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 years</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2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115%</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840" w:type="dxa"/>
            <w:vAlign w:val="bottom"/>
            <w:gridSpan w:val="3"/>
          </w:tcPr>
          <w:p>
            <w:pPr>
              <w:jc w:val="right"/>
              <w:ind w:right="380"/>
              <w:spacing w:after="0"/>
              <w:rPr>
                <w:sz w:val="20"/>
                <w:szCs w:val="20"/>
                <w:color w:val="auto"/>
              </w:rPr>
            </w:pPr>
            <w:r>
              <w:rPr>
                <w:rFonts w:ascii="Arial" w:cs="Arial" w:eastAsia="Arial" w:hAnsi="Arial"/>
                <w:sz w:val="18"/>
                <w:szCs w:val="18"/>
                <w:color w:val="auto"/>
              </w:rPr>
              <w:t>0%</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color w:val="auto"/>
        </w:rPr>
        <w:t>On September 26, 2013, the Company modified certain vested stock options held by a former member of the Company’s board of directors. The individual left the board on May 23, 2013. The modification extended the contractual period of exercise of 103,158 stock options until the end of their original terms instead of such options expiring 3 months after service on the board ended. As a result, the Company recorded a non-cash charge of $930,000 related to the modification in the quarter ended September 30, 2013.</w:t>
      </w:r>
    </w:p>
    <w:p>
      <w:pPr>
        <w:sectPr>
          <w:pgSz w:w="11900" w:h="16838" w:orient="portrait"/>
          <w:cols w:equalWidth="0" w:num="1">
            <w:col w:w="11400"/>
          </w:cols>
          <w:pgMar w:left="240" w:top="459" w:right="2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59"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following table summarizes the common stock warrant activity from December 31, 2012 through September 30, 2013:</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7,424,241</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(831,212)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6,548,029</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Modification</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May 6, 2013, the Company modified the terms of the Class A-2 and Class B warrants that were originally issued to the 10X Fund with the Series B Preferred Stock offering. The Class B warrants were modified to allow for the cashless exercise of all 4,000,000 outstanding Class B warrants. Previously, only half of the Class B warrants allowed for cashless exercise. The Class A-2 warrants for the purchase of 1,000,000 shares of common and all of the Class B warrants had their exercisable life extended by an additional five years. In exchange for these modifications, the 10X Fund agreed to a future amendment of the Company’s Series B certificate of designation to remove the redemption provision such that the Series B Preferred Stock will no longer be redeemable, if and when the Company will no longer be required to issue Dr. Platt a promissory note as may currently be required under the separation agreement (see Note 8). Should the Company amend their Series B certificate of designation in the future as described above, the Company will be required at that time to evaluate whether such amendment is to be accounted for as a modification or an extinguishment of the Company’s Series B Preferred Stock. The Company has accounted for the modified terms of the Class A-2 and Class B warrants pursuant to ASC 718, Stock Compensation, whereby the Company has recognized a charge for the change in fair value of the warrants immediately before and immediately after the modification. For the three and six month period ended June 30, 2013, the Company recognized a charge of $8,763,000 related to the extension of the 5,000,000 warrants. The following assumptions were used to value the extension of the warrants immediately before and immediately after the modification: a) immediately before the modification—an expected life range of 0.77 to 2.01 years, volatility range of 77% to 96%, risk free interest rate range of 0.11% to 0.22% and zero dividends and; b) immediately following the modification—an expected life range of 5.78 to 7.02 years, volatility range of 113% to 122%, risk free interest rate range of 0.74% to 1.19% and zero dividends.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Consultant Warrants</w:t>
      </w:r>
    </w:p>
    <w:p>
      <w:pPr>
        <w:spacing w:after="0" w:line="117" w:lineRule="exact"/>
        <w:rPr>
          <w:sz w:val="20"/>
          <w:szCs w:val="20"/>
          <w:color w:val="auto"/>
        </w:rPr>
      </w:pPr>
    </w:p>
    <w:p>
      <w:pPr>
        <w:ind w:right="40" w:firstLine="1484"/>
        <w:spacing w:after="0" w:line="279" w:lineRule="auto"/>
        <w:rPr>
          <w:sz w:val="20"/>
          <w:szCs w:val="20"/>
          <w:color w:val="auto"/>
        </w:rPr>
      </w:pPr>
      <w:r>
        <w:rPr>
          <w:rFonts w:ascii="Arial" w:cs="Arial" w:eastAsia="Arial" w:hAnsi="Arial"/>
          <w:sz w:val="17"/>
          <w:szCs w:val="17"/>
          <w:color w:val="auto"/>
        </w:rPr>
        <w:t>In January 2013, the Company entered into an agreement with a consultant that provided for the grant of warrants for the purchase of 5,000 shares of common stock at an exercise price of $2.65 per share. The following assumptions were used to value the warrants: an expected life of 3 years, volatility of 87%, risk free interest rate of 0.42% and zero dividends. The Company recognized an expense of $7,000 related to these warrants at the time of the grant as they were vested at issuance. The warrants were exercised in September 2013.</w:t>
      </w:r>
    </w:p>
    <w:p>
      <w:pPr>
        <w:spacing w:after="0" w:line="31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20" w:firstLine="1484"/>
        <w:spacing w:after="0" w:line="291" w:lineRule="auto"/>
        <w:rPr>
          <w:sz w:val="20"/>
          <w:szCs w:val="20"/>
          <w:color w:val="auto"/>
        </w:rPr>
      </w:pPr>
      <w:r>
        <w:rPr>
          <w:rFonts w:ascii="Arial" w:cs="Arial" w:eastAsia="Arial" w:hAnsi="Arial"/>
          <w:sz w:val="16"/>
          <w:szCs w:val="16"/>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approximates their carrying value due to their short-term nature. Included in cash and cash equivalents, as of September 30, 2013 and December 31, 2012, the Company had $0 and $583,000, respectively invested in money market funds which had calculated net asset values and were therefore classified as Level 2. There were no level 3 assets held at fair value at September 30, 2013 or December 31, 2012.</w:t>
      </w:r>
    </w:p>
    <w:p>
      <w:pPr>
        <w:spacing w:after="0" w:line="31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sz w:val="20"/>
          <w:szCs w:val="20"/>
          <w:color w:val="auto"/>
        </w:rPr>
      </w:pPr>
    </w:p>
    <w:p>
      <w:pPr>
        <w:ind w:right="20" w:firstLine="1484"/>
        <w:spacing w:after="0" w:line="264" w:lineRule="auto"/>
        <w:rPr>
          <w:sz w:val="20"/>
          <w:szCs w:val="20"/>
          <w:color w:val="auto"/>
        </w:rPr>
      </w:pPr>
      <w:r>
        <w:rPr>
          <w:rFonts w:ascii="Arial" w:cs="Arial" w:eastAsia="Arial" w:hAnsi="Arial"/>
          <w:sz w:val="18"/>
          <w:szCs w:val="18"/>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outstanding. The computation of diluted net loss per share does not assume the issuance of common shares that have an anti-dilutive effect on net loss per share. Dilutive shares which could exist pursuant to the exercise of outstanding stock instruments and which were not included in the calculation because their affect would have been anti-dilutive are as follows:</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September 30, 2013</w:t>
            </w:r>
          </w:p>
        </w:tc>
        <w:tc>
          <w:tcPr>
            <w:tcW w:w="1980" w:type="dxa"/>
            <w:vAlign w:val="bottom"/>
            <w:gridSpan w:val="3"/>
          </w:tcPr>
          <w:p>
            <w:pPr>
              <w:jc w:val="center"/>
              <w:ind w:left="536"/>
              <w:spacing w:after="0"/>
              <w:rPr>
                <w:sz w:val="20"/>
                <w:szCs w:val="20"/>
                <w:color w:val="auto"/>
              </w:rPr>
            </w:pPr>
            <w:r>
              <w:rPr>
                <w:rFonts w:ascii="Arial" w:cs="Arial" w:eastAsia="Arial" w:hAnsi="Arial"/>
                <w:sz w:val="14"/>
                <w:szCs w:val="14"/>
                <w:color w:val="auto"/>
                <w:w w:val="91"/>
              </w:rPr>
              <w:t>September 30, 2012</w:t>
            </w:r>
          </w:p>
        </w:tc>
      </w:tr>
      <w:tr>
        <w:trPr>
          <w:trHeight w:val="167"/>
        </w:trPr>
        <w:tc>
          <w:tcPr>
            <w:tcW w:w="5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Arial" w:cs="Arial" w:eastAsia="Arial" w:hAnsi="Arial"/>
                <w:sz w:val="14"/>
                <w:szCs w:val="14"/>
                <w:color w:val="auto"/>
              </w:rPr>
              <w:t>(shares)</w:t>
            </w:r>
          </w:p>
        </w:tc>
        <w:tc>
          <w:tcPr>
            <w:tcW w:w="7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(shares)</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5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6,548,029</w:t>
            </w:r>
          </w:p>
        </w:tc>
        <w:tc>
          <w:tcPr>
            <w:tcW w:w="7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7,424,241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3,507,005</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3,541,630</w:t>
            </w:r>
          </w:p>
        </w:tc>
        <w:tc>
          <w:tcPr>
            <w:tcW w:w="100" w:type="dxa"/>
            <w:vAlign w:val="bottom"/>
          </w:tcPr>
          <w:p>
            <w:pPr>
              <w:spacing w:after="0"/>
              <w:rPr>
                <w:sz w:val="18"/>
                <w:szCs w:val="18"/>
                <w:color w:val="auto"/>
              </w:rPr>
            </w:pPr>
          </w:p>
        </w:tc>
      </w:tr>
      <w:tr>
        <w:trPr>
          <w:trHeight w:val="202"/>
        </w:trPr>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Shares of common stock issuable upon conversion of preferred</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2,618,772</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2,627,110</w:t>
            </w:r>
          </w:p>
        </w:tc>
        <w:tc>
          <w:tcPr>
            <w:tcW w:w="100" w:type="dxa"/>
            <w:vAlign w:val="bottom"/>
            <w:shd w:val="clear" w:color="auto" w:fill="CCEEFF"/>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12,673,806</w:t>
            </w:r>
          </w:p>
        </w:tc>
        <w:tc>
          <w:tcPr>
            <w:tcW w:w="7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13,592,981</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Warrant Offering and Reverse Split</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On March 22, 2012, the Company entered into an underwriting agreement relating to the offer and sale of 1,159,445 units (the “Units”) of the Company. Each unit consisted of two shares of Common Stock and one warrant to purchase one share of Common Stock. Pursuant to the underwriting agreement, the Company granted the underwriters a 45-day option to purchase up to an additional 173,916 Units to cover over-allotments, which they exercised on March 26, 2012. The public offering price for each Unit was $9.00. Each warrant has an initial exercise price of $5.63 per share, is exercisable upon separation of the Units and expires on March 28, 2017.</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March 28, 2012, the Company sold and issued 1,333,361 Units (2,666,722 shares of common stock and related $5.63 warrants to purchase 1,333,361 shares of common stock) for gross proceeds of $12.0 million (net cash proceeds of $10,403,000 after the underwriting discount and offering costs). The warrants were valued at $4,445,000 as of the issuance date of March 28, 2012, using the closing price of $4.20, a life of 5 years, a volatility of 119% and a risk free interest rate of 1.05%. Based upon the Company’s analysis of the criteria contained in ASC Topic 815-40, “Derivatives and Hedging—Contracts in Entity’s Own Equity” the Company has determined that warrants issued in connection with this financing transaction were not derivative liabilities and therefore, were recorded as additional paid-in capital.</w:t>
      </w:r>
    </w:p>
    <w:p>
      <w:pPr>
        <w:spacing w:after="0" w:line="19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On March 28, 2012, in connection with this underwritten financing as per the underwriting agreement, the Company issued a total of 46,378 common stock purchase warrants to the underwriters. These warrants expire May 2, 2016, have an exercise price of $5.63 per share, and are exercisable beginning 1 year from March 22, 2012 (the date of the underwriting agreement). These warrants were valued at $143,000 as of the date of issuance (March 28, 2012), using the closing price of $4.20, life of 4.1 years, volatility of 117% and risk free interest rate of 0.78. Based upon the Company’s analysis of the criteria contained in ASC Topic 815-40, “Derivatives and Hedging—Contracts in Entity’s Own Equity”, the Company has determined that these warrants issued in connection with this financing transaction were not derivative liabilities and therefore, were recorded as additional paid-in capital.</w:t>
      </w:r>
    </w:p>
    <w:p>
      <w:pPr>
        <w:spacing w:after="0" w:line="16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Effective as of March 23, 2012, and in connection with the pricing of the offering of Units, the Company effected a one-for-six reverse split of its Common Stock. Per the terms of the reverse split, all fractional shares were rounded up.</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On August 16, 2013, the Company issued 500,000 shares of its common stock for proceeds of $3,000,000 to a single investor pursuant to a private placement. There were no warrants or placement fees associated with this transaction.</w:t>
      </w:r>
    </w:p>
    <w:p>
      <w:pPr>
        <w:spacing w:after="0" w:line="31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CTI for Phase I Clinical Trial</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February 1, 2013, the Company entered into an Amended and Restated Master Services Agreement (the “Agreement”) with CTI Clinical Trial Services, Inc. and CTI Clinical Consulting Services, Inc. (individually and collectively, “CTI”), whereby CTI is assisting the Company in the design, development and conduct of one or more clinical research studies from time to time. All work performed by CTI for the Company is being conducted pursuant to the terms of work orders that describe the specific obligations undertaken by CTI with respect to any particular clinical research study sponsored or conducted by the Company. Unless otherwise terminated sooner in accordance with the terms of the Agreement, the Agreement will be effective until January 31, 2018.</w:t>
      </w:r>
    </w:p>
    <w:p>
      <w:pPr>
        <w:spacing w:after="0" w:line="193"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On February 1, 2013, the Company entered into a work order (the “Work Order”) with CTI in accordance with the terms of the Agreement. The Work Order provides that CTI will provide services with respect to the Company’s Phase I Clinical Trial to evaluate the safety of the Company’s drug GR-MD-02 in subjects with Non-Alcoholic Steatohepatitis (“NASH”) with advanced hepatic fibrosis. CTI is providing the following services, amongst others, with respect to the Work Order: reviewing and providing notices regarding IND safety reports, selecting investigators and monitors for the study, informing investigators of new observations, monitoring the progress of the study and reviewing ongoing investigations, keeping certain records, inspecting the Company’s records and reports, and disposing of any unused supply of the investigational drug.</w:t>
      </w:r>
    </w:p>
    <w:p>
      <w:pPr>
        <w:sectPr>
          <w:pgSz w:w="11900" w:h="16838" w:orient="portrait"/>
          <w:cols w:equalWidth="0" w:num="1">
            <w:col w:w="11420"/>
          </w:cols>
          <w:pgMar w:left="240" w:top="459"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Work Order provides for CTI’s anticipated involvement in the study from February 1, 2013 until March 31, 2014. The estimated budget for the Work Order is $2,155,000, which is subject to change as necessary, with payments made throughout the term of the project as the work is performed. During the three and nine months ended September 30, 2013, the Company recognized $239,000 and $1,329,000 of expenses related to this agreement for services performed.</w:t>
      </w:r>
    </w:p>
    <w:p>
      <w:pPr>
        <w:spacing w:after="0" w:line="187"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The Agreement or any work order may be terminated for any reason by any party upon ninety (90) days prior written notice to the other party. In addition, the Agreement may be terminated by either party immediately if the other party becomes insolvent, is dissolved or liquidated, makes a general assignment for the benefit of its creditors, files or has filed against it (and does not obtain a dismissal within ninety (90) days) a petition of bankruptcy, or has a receiver appointed for it or a substantial part of its assets, among other reasons. Further, the Agreement or any relevant work order may be terminated immediately by written notice from the Company, in the following circumstances: (1) the FDA withdraws authorization and approval to conduct a study; or</w:t>
      </w:r>
    </w:p>
    <w:p>
      <w:pPr>
        <w:spacing w:after="0" w:line="2" w:lineRule="exact"/>
        <w:rPr>
          <w:sz w:val="20"/>
          <w:szCs w:val="20"/>
          <w:color w:val="auto"/>
        </w:rPr>
      </w:pPr>
    </w:p>
    <w:p>
      <w:pPr>
        <w:jc w:val="both"/>
        <w:ind w:firstLine="8"/>
        <w:spacing w:after="0" w:line="255"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reasonably determines that for medical, clinical or patient safety reasons, a study should terminate immediately. In addition, either party may terminate the Agreement or any work order for material breach upon thirty (30) days’ written notice specifying the nature of the breach, if such breach has not been substantially cured within the thirty (30) day period.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Discovery Program with the University of Georgia</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February 2013, the Company established a collaborative drug discovery program at the Complex Carbohydrate Research Center at the University of Georgia. This program is focused on the discovery of new carbohydrate molecules that can be used in the therapy of diseases where galectin proteins play a major role, including cancer and inflammatory and fibrotic disorders. The term of the agreement is effective through December 31, 2013, for which the Company will provide funding of $154,000 during the period. The Company has paid $154,000 related to this program through September 30, 2013. This agreement may be terminated by either party upon 90 days notice.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117" w:lineRule="exact"/>
        <w:rPr>
          <w:sz w:val="20"/>
          <w:szCs w:val="20"/>
          <w:color w:val="auto"/>
        </w:rPr>
      </w:pPr>
    </w:p>
    <w:p>
      <w:pPr>
        <w:ind w:right="300" w:firstLine="1484"/>
        <w:spacing w:after="0" w:line="284" w:lineRule="auto"/>
        <w:rPr>
          <w:sz w:val="20"/>
          <w:szCs w:val="20"/>
          <w:color w:val="auto"/>
        </w:rPr>
      </w:pPr>
      <w:r>
        <w:rPr>
          <w:rFonts w:ascii="Arial" w:cs="Arial" w:eastAsia="Arial" w:hAnsi="Arial"/>
          <w:sz w:val="16"/>
          <w:szCs w:val="16"/>
          <w:color w:val="auto"/>
        </w:rPr>
        <w:t>In February 2009, the Company entered into a Separation Agreement in connection with the resignation of David Platt, Ph.D., the Company’s former Chief Executive Officer and Chairman of the Board of Directors. The Separation Agreement provides for the deferral of a $1.0 million separation payment due to Dr. Platt upon the earlier occurrence of any of the following milestone events: (i) the approval by the Food and Drug Administration for a new drug application (“NDA”) for any drug candidate or drug delivery candidate based on the Company’s GM-CT-01 technology (whether or not such technology is patented), in which case Dr. Platt is also entitled to a fully vested 10-year cashless-exercise stock option to purchase at least 83,334 shares of common stock at an exercise price not less than the fair market value of the common stock determined as of the date of grant;</w:t>
      </w:r>
    </w:p>
    <w:p>
      <w:pPr>
        <w:spacing w:after="0" w:line="5" w:lineRule="exact"/>
        <w:rPr>
          <w:sz w:val="20"/>
          <w:szCs w:val="20"/>
          <w:color w:val="auto"/>
        </w:rPr>
      </w:pPr>
    </w:p>
    <w:p>
      <w:pPr>
        <w:ind w:right="180" w:firstLine="8"/>
        <w:spacing w:after="0" w:line="281" w:lineRule="auto"/>
        <w:tabs>
          <w:tab w:leader="none" w:pos="2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consummation of a transaction with a pharmaceutical company expected to result in at least $10.0 million of equity investment or $50 million of royalty revenue to the Company, in which case Dr. Platt is also entitled to stock options on the same terms to purchase at least 50,000 shares of common stock; or</w:t>
      </w:r>
    </w:p>
    <w:p>
      <w:pPr>
        <w:spacing w:after="0" w:line="1" w:lineRule="exact"/>
        <w:rPr>
          <w:rFonts w:ascii="Arial" w:cs="Arial" w:eastAsia="Arial" w:hAnsi="Arial"/>
          <w:sz w:val="16"/>
          <w:szCs w:val="16"/>
          <w:color w:val="auto"/>
        </w:rPr>
      </w:pPr>
    </w:p>
    <w:p>
      <w:pPr>
        <w:ind w:right="60" w:firstLine="8"/>
        <w:spacing w:after="0" w:line="252"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renewed listing of the Company’s securities on a national securities exchange and the achievement of a market capitalization of $100 million. Payment upon the events (i) and (iii) may be deferred up to six months, and if the Company has insufficient cash at the time of any of such events, it may issue Dr. Platt a secured promissory note for such amount. If the Company files a voluntary or involuntary petition for bankruptcy, whether or not a milestone event has occurred, such event shall trigger the obligation to pay the $1.0 million with the result that Dr. Platt may assert a claim for such obligation against the bankruptcy estate. During 2011, when it became probable that the Company could be relisted on a national securities exchange and eventually reach a market capitalization of $100 million, the Company recognized the $1.0 million severance payment due to Dr. Platt and it is included in accrued expenses at September 30, 2013 and December 31, 2012.</w:t>
      </w:r>
    </w:p>
    <w:p>
      <w:pPr>
        <w:spacing w:after="0" w:line="193" w:lineRule="exact"/>
        <w:rPr>
          <w:sz w:val="20"/>
          <w:szCs w:val="20"/>
          <w:color w:val="auto"/>
        </w:rPr>
      </w:pPr>
    </w:p>
    <w:p>
      <w:pPr>
        <w:jc w:val="both"/>
        <w:ind w:right="100" w:firstLine="1484"/>
        <w:spacing w:after="0" w:line="259" w:lineRule="auto"/>
        <w:rPr>
          <w:sz w:val="20"/>
          <w:szCs w:val="20"/>
          <w:color w:val="auto"/>
        </w:rPr>
      </w:pPr>
      <w:r>
        <w:rPr>
          <w:rFonts w:ascii="Arial" w:cs="Arial" w:eastAsia="Arial" w:hAnsi="Arial"/>
          <w:sz w:val="18"/>
          <w:szCs w:val="18"/>
          <w:color w:val="auto"/>
        </w:rPr>
        <w:t>On May 2, 2012, Dr. Platt instituted an arbitration with the American Arbitration Association seeking the $1 million payment based on a claim that the milestone event in the Separation Agreement described in clause (iii) above had occurred. Although the Company had listed its common stock on the Nasdaq Capital Markets as of March 22, 2012, the market capitalization since the listing had not reached $100 million when the arbitration was heard in October 2012. On November 1, 2012, the arbitrator denied Dr. Platt’s demand in all respects.</w:t>
      </w:r>
    </w:p>
    <w:p>
      <w:pPr>
        <w:spacing w:after="0" w:line="187" w:lineRule="exact"/>
        <w:rPr>
          <w:sz w:val="20"/>
          <w:szCs w:val="20"/>
          <w:color w:val="auto"/>
        </w:rPr>
      </w:pPr>
    </w:p>
    <w:p>
      <w:pPr>
        <w:ind w:right="60" w:firstLine="1484"/>
        <w:spacing w:after="0" w:line="254" w:lineRule="auto"/>
        <w:rPr>
          <w:sz w:val="20"/>
          <w:szCs w:val="20"/>
          <w:color w:val="auto"/>
        </w:rPr>
      </w:pPr>
      <w:r>
        <w:rPr>
          <w:rFonts w:ascii="Arial" w:cs="Arial" w:eastAsia="Arial" w:hAnsi="Arial"/>
          <w:sz w:val="18"/>
          <w:szCs w:val="18"/>
          <w:color w:val="auto"/>
        </w:rPr>
        <w:t>On October 12, 2012, Dr. Platt commenced a lawsuit under the Massachusetts Wage Act against Dr. Traber and Mr. McGauley who in their capacities as the Company’s Chief Executive Officer and Chief Financial Officer respectively can be held individually liable under the Wage Act for non-payment of wages. The lawsuit is based on the facts and issues raised in the arbitration regarding the payment of the $1.0 million separation payment under the Separation Agreement, and other unspecified “wages”. The statute provides that a successful claimant may be entitled to multiple damages, interest and attorney’s fees. Although the Company is not a party to the lawsuit, it plans to indemnify Dr. Traber and Mr. McGauley consistent with its obligations under the by-laws and applicable law, believes the lawsuit is without merit, and intends a vigorous defense on their behalf. On April 29, 2013, the Court allowed Dr. Traber’s and Mr. McGauley’s motion to dismiss. Dr. Platt filed a Notice of Appeal to appeal the Court’s order allowing the defendants’ motion to dismiss.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1484"/>
        <w:spacing w:after="0" w:line="255" w:lineRule="auto"/>
        <w:rPr>
          <w:sz w:val="20"/>
          <w:szCs w:val="20"/>
          <w:color w:val="auto"/>
        </w:rPr>
      </w:pPr>
      <w:r>
        <w:rPr>
          <w:rFonts w:ascii="Arial" w:cs="Arial" w:eastAsia="Arial" w:hAnsi="Arial"/>
          <w:sz w:val="18"/>
          <w:szCs w:val="18"/>
          <w:color w:val="auto"/>
        </w:rPr>
        <w:t>On March 29, 2013, the Company instituted arbitration before the American Arbitration Association, seeking to rescind or reform the Separation Agreement discussed above. The Company claims that Dr. Platt fraudulently induced the Company to enter into the Separation Agreement, breached his fiduciary duty to the Company, and was unduly enriched from his conduct. Along with removal of the $1.0 million milestone payment under the Separation Agreement, the Company is seeking repayment of all separation benefits paid to Dr. Platt to date. Depending on the outcome of the arbitration, the previously accrued $1.0 million could be reversed. This arbitration has been scheduled for May 2014; however, the ultimate outcome is uncertain and there is no guarantee that the Company will be successful in this demand.</w:t>
      </w:r>
    </w:p>
    <w:p>
      <w:pPr>
        <w:spacing w:after="0" w:line="193"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On August 1, 2013, the market capitalization of the Company’s common stock exceeded $100 million and the Company received a letter dated October 1, 2013, demanding payment of the $1 million. As described in the preceding paragraph, the Company had previously instituted an arbitration against Dr. Platt seeking to rescind the Separation Agreement, including the milestone payment provision. The Company expects to delay payment for at least six months under the terms of the Separation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Post Conversion Dividend Rights</w:t>
      </w:r>
    </w:p>
    <w:p>
      <w:pPr>
        <w:spacing w:after="0" w:line="117" w:lineRule="exact"/>
        <w:rPr>
          <w:sz w:val="20"/>
          <w:szCs w:val="20"/>
          <w:color w:val="auto"/>
        </w:rPr>
      </w:pPr>
    </w:p>
    <w:p>
      <w:pPr>
        <w:ind w:firstLine="1484"/>
        <w:spacing w:after="0" w:line="271" w:lineRule="auto"/>
        <w:rPr>
          <w:sz w:val="20"/>
          <w:szCs w:val="20"/>
          <w:color w:val="auto"/>
        </w:rPr>
      </w:pPr>
      <w:r>
        <w:rPr>
          <w:rFonts w:ascii="Arial" w:cs="Arial" w:eastAsia="Arial" w:hAnsi="Arial"/>
          <w:sz w:val="17"/>
          <w:szCs w:val="17"/>
          <w:color w:val="auto"/>
        </w:rPr>
        <w:t>In January 2013, 5 shares of the Company’s Series C Super Dividend Convertible Preferred Stock (“Series C”) were converted into 8,475 shares of common stock (consisting of 8,334 shares of common stock for principal and 141 shares for accrued interest at the time of the conversion) which also resulted in the issuance of 5 Series C post-conversion dividend rights (“Dividend Rights”). Under the terms of the Series C, the Dividend Rights entitle the holder only to dividend payments based on actual sales of GM-CT-01 and will not participate in the 6% dividend payable on outstanding shares of Series C following a conversion to common stock. At September 30, 2013, there are a total of 10 outstanding Dividend Rights which were determined to have a de minimis value, because payment of a dividend for the Dividend Rights is considered improbable at this time and the Company has not recorded a liability related to the Dividend Rights. The Company will continue to evaluate and assess the Dividend Rights for each reporting period. At September 30, 2013, the Dividend Rights had a redemption value of $241,000.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Proceedings</w:t>
      </w:r>
    </w:p>
    <w:p>
      <w:pPr>
        <w:spacing w:after="0" w:line="117" w:lineRule="exact"/>
        <w:rPr>
          <w:sz w:val="20"/>
          <w:szCs w:val="20"/>
          <w:color w:val="auto"/>
        </w:rPr>
      </w:pPr>
    </w:p>
    <w:p>
      <w:pPr>
        <w:ind w:right="60" w:firstLine="1484"/>
        <w:spacing w:after="0" w:line="264"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except as noted above. There has been no change in the matters reported in our Annual Report on Form 10-K for the year ended December 31, 2012.</w:t>
      </w:r>
    </w:p>
    <w:p>
      <w:pPr>
        <w:spacing w:after="0" w:line="32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On October 16, 2013 and November 1, 2013, the 10X Fund exercised 300,000 and 200,000 respectively, Class A-2 stock purchase warrants at $3.00 per share for total proceeds to the Company of $1,500,000.</w:t>
      </w:r>
    </w:p>
    <w:p>
      <w:pPr>
        <w:spacing w:after="0" w:line="17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On October 25, 2013, the Company entered into an At Market Issuance Sales Agreement (the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At Market Agreement. Subsequent to September 30, 2013, the Company had issued 50,643 shares of its common stock through its At Market issuance program at an average price of $10.82 per share resulting in net proceeds of approximately $531,000.</w:t>
      </w:r>
    </w:p>
    <w:p>
      <w:pPr>
        <w:spacing w:after="0" w:line="3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1484"/>
        <w:spacing w:after="0" w:line="272" w:lineRule="auto"/>
        <w:rPr>
          <w:sz w:val="20"/>
          <w:szCs w:val="20"/>
          <w:color w:val="auto"/>
        </w:rPr>
      </w:pPr>
      <w:r>
        <w:rPr>
          <w:rFonts w:ascii="Arial" w:cs="Arial" w:eastAsia="Arial" w:hAnsi="Arial"/>
          <w:sz w:val="17"/>
          <w:szCs w:val="17"/>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w:t>
      </w:r>
    </w:p>
    <w:p>
      <w:pPr>
        <w:spacing w:after="0" w:line="83" w:lineRule="exact"/>
        <w:rPr>
          <w:sz w:val="20"/>
          <w:szCs w:val="20"/>
          <w:color w:val="auto"/>
        </w:rPr>
      </w:pPr>
    </w:p>
    <w:p>
      <w:pPr>
        <w:ind w:left="1920" w:hanging="318"/>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plans and expectations regarding clinical trials;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plans and expectations regarding regulatory approvals;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plans regarding lawsuits, arbitration, and any related indemnification of Company employees;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strategy and expectations for clinical development and commercialization of our products;</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hanging="318"/>
        <w:spacing w:after="0"/>
        <w:tabs>
          <w:tab w:leader="none" w:pos="1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strategic partnerships;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expectations regarding the effectiveness of our products;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plans for research and development and related costs;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statements about accounting assumptions and estimates;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expectations regarding liquidity and the sufficiency of cash to fund operations;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commitments and contingencies;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market risk exposure.</w:t>
      </w:r>
    </w:p>
    <w:p>
      <w:pPr>
        <w:spacing w:after="0" w:line="225" w:lineRule="exact"/>
        <w:rPr>
          <w:sz w:val="20"/>
          <w:szCs w:val="20"/>
          <w:color w:val="auto"/>
        </w:rPr>
      </w:pPr>
    </w:p>
    <w:p>
      <w:pPr>
        <w:ind w:right="20" w:firstLine="1484"/>
        <w:spacing w:after="0" w:line="270" w:lineRule="auto"/>
        <w:rPr>
          <w:sz w:val="20"/>
          <w:szCs w:val="20"/>
          <w:color w:val="auto"/>
        </w:rPr>
      </w:pPr>
      <w:r>
        <w:rPr>
          <w:rFonts w:ascii="Arial" w:cs="Arial" w:eastAsia="Arial" w:hAnsi="Arial"/>
          <w:sz w:val="17"/>
          <w:szCs w:val="17"/>
          <w:color w:val="auto"/>
        </w:rPr>
        <w:t>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without limitation: our early stage of development; our dependence on outside capital; uncertainties related to our technology and clinical trials, intellectual property protection, uncertainties of regulatory approval requirements for our products; competition and stock price volatility in the biotechnology industry, limited trading volume for our stock, concentration of ownership of our stock, and other risks detailed herein and from time to time in our SEC reports, including our Annual Report on Form 10-K filed with the SEC for the fiscal year ended December 31, 2012, and our subsequent SEC filings. The following discussion should be read in conjunction with the accompanying consolidated financial statements and notes thereto of Galectin Therapeutics appearing elsewhere herein.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a development-stage company engaged in drug research and development to create new therapies for fibrotic disease and cancer. Galectins are a class of proteins that are made by many cells in the body. As a group, these proteins are able to bind to sugar molecules that are part of other proteins in and on the cells of our body. Galectin proteins act as a kind of glue, bringing together molecules that have sugars on them. Galectin proteins are known to be markedly increased in a number of important diseases including scaring of organs (e.g. liver, lung, kidney, and heart) and cancers of many kinds. The increase in galectin protein promotes the disease and is detrimental to the patient.</w:t>
      </w:r>
    </w:p>
    <w:p>
      <w:pPr>
        <w:spacing w:after="0" w:line="173" w:lineRule="exact"/>
        <w:rPr>
          <w:sz w:val="20"/>
          <w:szCs w:val="20"/>
          <w:color w:val="auto"/>
        </w:rPr>
      </w:pPr>
    </w:p>
    <w:p>
      <w:pPr>
        <w:ind w:right="80" w:firstLine="1484"/>
        <w:spacing w:after="0" w:line="271" w:lineRule="auto"/>
        <w:rPr>
          <w:sz w:val="20"/>
          <w:szCs w:val="20"/>
          <w:color w:val="auto"/>
        </w:rPr>
      </w:pPr>
      <w:r>
        <w:rPr>
          <w:rFonts w:ascii="Arial" w:cs="Arial" w:eastAsia="Arial" w:hAnsi="Arial"/>
          <w:sz w:val="17"/>
          <w:szCs w:val="17"/>
          <w:color w:val="auto"/>
        </w:rPr>
        <w:t>Our drug candidates are based on our method of targeting galectin proteins, particularly galectin-3 protein, which are key mediators of biologic and pathologic functions. We use naturally occurring, readily-available plant materials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bind and inhibit galectin proteins,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additional resources.</w:t>
      </w:r>
    </w:p>
    <w:p>
      <w:pPr>
        <w:spacing w:after="0" w:line="179" w:lineRule="exact"/>
        <w:rPr>
          <w:sz w:val="20"/>
          <w:szCs w:val="20"/>
          <w:color w:val="auto"/>
        </w:rPr>
      </w:pPr>
    </w:p>
    <w:p>
      <w:pPr>
        <w:ind w:right="20" w:firstLine="1484"/>
        <w:spacing w:after="0" w:line="271"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development. These outside sources, amongst others, provide us with expertise in preclinical models, pharmaceutical development, toxicology, clinical development, pharmaceutical manufacturing, sophisticated physical and chemical characterization, and commercial development. We also have established a collaborative scientific discovery program with leading experts in carbohydrate chemistry and characterization. This discovery program is aimed at the targeted development of new molecules which bind galectin proteins and offer alternative options to larger market segments in our primary disease targets. We are pursuing a development pathway to clinical enhancement and commercialization for our lead compounds in fatty liver disease with advanced fibrosis as well as in immune enhancement for cancer therapy, specifically for metastatic melanoma. All of our proposed products are presently in development, including pre-clinical and clinical trials.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two compounds in development, GR-MD-02 is intended to be used in the treatment fatty liver disease with advanced fibrosis and the GM-CT-01 is intended to be used in treatment of metastatic melanoma skin cancer. In addition, we intend to initiate a clinical trial of GR-MD-02 in metastatic melanoma. . These two compounds are produced from completely different, natural, readily available, starting materials, which, following chemical processing, both exhibit the property of binding to and inhibiting galectin proteins.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pipeline is shown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Indication</w:t>
            </w:r>
          </w:p>
        </w:tc>
        <w:tc>
          <w:tcPr>
            <w:tcW w:w="110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Arial" w:cs="Arial" w:eastAsia="Arial" w:hAnsi="Arial"/>
                <w:sz w:val="14"/>
                <w:szCs w:val="14"/>
                <w:b w:val="1"/>
                <w:bCs w:val="1"/>
                <w:color w:val="auto"/>
                <w:w w:val="91"/>
              </w:rPr>
              <w:t>Drug</w:t>
            </w:r>
          </w:p>
        </w:tc>
        <w:tc>
          <w:tcPr>
            <w:tcW w:w="3920" w:type="dxa"/>
            <w:vAlign w:val="bottom"/>
            <w:gridSpan w:val="3"/>
          </w:tcPr>
          <w:p>
            <w:pPr>
              <w:jc w:val="center"/>
              <w:ind w:left="1054"/>
              <w:spacing w:after="0"/>
              <w:rPr>
                <w:sz w:val="20"/>
                <w:szCs w:val="20"/>
                <w:color w:val="auto"/>
              </w:rPr>
            </w:pPr>
            <w:r>
              <w:rPr>
                <w:rFonts w:ascii="Arial" w:cs="Arial" w:eastAsia="Arial" w:hAnsi="Arial"/>
                <w:sz w:val="14"/>
                <w:szCs w:val="14"/>
                <w:b w:val="1"/>
                <w:bCs w:val="1"/>
                <w:color w:val="auto"/>
                <w:w w:val="88"/>
              </w:rPr>
              <w:t>Status</w:t>
            </w:r>
          </w:p>
        </w:tc>
      </w:tr>
      <w:tr>
        <w:trPr>
          <w:trHeight w:val="290"/>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5"/>
              </w:rPr>
              <w:t>Fibrosis</w:t>
            </w:r>
          </w:p>
        </w:tc>
        <w:tc>
          <w:tcPr>
            <w:tcW w:w="2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NASH with Advanced Fibrosis</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96"/>
              </w:rPr>
              <w:t>GR-MD-02</w:t>
            </w:r>
          </w:p>
        </w:tc>
        <w:tc>
          <w:tcPr>
            <w:tcW w:w="3920" w:type="dxa"/>
            <w:vAlign w:val="bottom"/>
            <w:gridSpan w:val="3"/>
          </w:tcPr>
          <w:p>
            <w:pPr>
              <w:jc w:val="center"/>
              <w:ind w:left="1054"/>
              <w:spacing w:after="0"/>
              <w:rPr>
                <w:sz w:val="20"/>
                <w:szCs w:val="20"/>
                <w:color w:val="auto"/>
              </w:rPr>
            </w:pPr>
            <w:r>
              <w:rPr>
                <w:rFonts w:ascii="Arial" w:cs="Arial" w:eastAsia="Arial" w:hAnsi="Arial"/>
                <w:sz w:val="18"/>
                <w:szCs w:val="18"/>
                <w:color w:val="auto"/>
                <w:w w:val="91"/>
              </w:rPr>
              <w:t>Phase I clinical trial started July 2013</w:t>
            </w:r>
          </w:p>
        </w:tc>
      </w:tr>
      <w:tr>
        <w:trPr>
          <w:trHeight w:val="3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Cancer Immunotherapy</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Melanoma</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98"/>
              </w:rPr>
              <w:t>GM-CT-01</w:t>
            </w:r>
          </w:p>
        </w:tc>
        <w:tc>
          <w:tcPr>
            <w:tcW w:w="3920" w:type="dxa"/>
            <w:vAlign w:val="bottom"/>
            <w:gridSpan w:val="3"/>
          </w:tcPr>
          <w:p>
            <w:pPr>
              <w:jc w:val="center"/>
              <w:ind w:left="1054"/>
              <w:spacing w:after="0"/>
              <w:rPr>
                <w:sz w:val="20"/>
                <w:szCs w:val="20"/>
                <w:color w:val="auto"/>
              </w:rPr>
            </w:pPr>
            <w:r>
              <w:rPr>
                <w:rFonts w:ascii="Arial" w:cs="Arial" w:eastAsia="Arial" w:hAnsi="Arial"/>
                <w:sz w:val="18"/>
                <w:szCs w:val="18"/>
                <w:color w:val="auto"/>
                <w:w w:val="90"/>
              </w:rPr>
              <w:t>Phase I/II study in process in Europe</w:t>
            </w: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Melanoma</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96"/>
              </w:rPr>
              <w:t>GR-MD-02</w:t>
            </w:r>
          </w:p>
        </w:tc>
        <w:tc>
          <w:tcPr>
            <w:tcW w:w="3920" w:type="dxa"/>
            <w:vAlign w:val="bottom"/>
            <w:gridSpan w:val="3"/>
          </w:tcPr>
          <w:p>
            <w:pPr>
              <w:jc w:val="center"/>
              <w:ind w:left="1054"/>
              <w:spacing w:after="0"/>
              <w:rPr>
                <w:sz w:val="20"/>
                <w:szCs w:val="20"/>
                <w:color w:val="auto"/>
              </w:rPr>
            </w:pPr>
            <w:r>
              <w:rPr>
                <w:rFonts w:ascii="Arial" w:cs="Arial" w:eastAsia="Arial" w:hAnsi="Arial"/>
                <w:sz w:val="18"/>
                <w:szCs w:val="18"/>
                <w:color w:val="auto"/>
                <w:w w:val="89"/>
              </w:rPr>
              <w:t>Phase I study currently being designed</w:t>
            </w:r>
          </w:p>
        </w:tc>
      </w:tr>
    </w:tbl>
    <w:p>
      <w:pPr>
        <w:spacing w:after="0" w:line="202"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We believe the mechanism of action for GR-MD-02 and GM-CT-01 is based upon interaction with, and inhibition of, galectin proteins, which are expressed at high levels in certain pathological states including inflammation, fibrosis and cancer. While GR-MD-02 and GM-CT-01 are capable of binding to multiple galectin proteins, we believe that they have the greatest affinity for galectin-3, the most prominent galectin implicated in pathological processes. Blocking galectin in cancer and liver fibrosis has specific salutary effects on the disease process.</w:t>
      </w:r>
    </w:p>
    <w:p>
      <w:pPr>
        <w:spacing w:after="0" w:line="187" w:lineRule="exact"/>
        <w:rPr>
          <w:sz w:val="20"/>
          <w:szCs w:val="20"/>
          <w:color w:val="auto"/>
        </w:rPr>
      </w:pPr>
    </w:p>
    <w:p>
      <w:pPr>
        <w:ind w:right="20" w:firstLine="1484"/>
        <w:spacing w:after="0" w:line="288" w:lineRule="auto"/>
        <w:rPr>
          <w:sz w:val="20"/>
          <w:szCs w:val="20"/>
          <w:color w:val="auto"/>
        </w:rPr>
      </w:pPr>
      <w:r>
        <w:rPr>
          <w:rFonts w:ascii="Arial" w:cs="Arial" w:eastAsia="Arial" w:hAnsi="Arial"/>
          <w:sz w:val="16"/>
          <w:szCs w:val="16"/>
          <w:i w:val="1"/>
          <w:iCs w:val="1"/>
          <w:color w:val="auto"/>
        </w:rPr>
        <w:t xml:space="preserve">GR-MD-02. </w:t>
      </w:r>
      <w:r>
        <w:rPr>
          <w:rFonts w:ascii="Arial" w:cs="Arial" w:eastAsia="Arial" w:hAnsi="Arial"/>
          <w:sz w:val="16"/>
          <w:szCs w:val="16"/>
          <w:color w:val="auto"/>
        </w:rPr>
        <w:t>The main initiative in our development strategy is the application of galectin inhibition in connection with liver fibrosis, a</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that leads to cirrhosis. We believe that GR-MD-02 has the potential to treat nonalcoholic steatohepatitis (NASH) and other forms of liver fibrosis. The driving factor for our commitment to galectin inhibition for fibrosis is scientific evidence that strongly suggests that galectin-3 is essential for the development of liver fibrosis in animals. Published data show that mice lacking the galectin-3 gene are incapable of developing liver fibrosis in response to toxin insult to the liver and in fatty liver disease. Moreover, mice that do not have the galectin-3 gene are resistant to lung and kidney fibrosis. Our preclinical data show that GR-MD-02 has a powerful therapeutic effect on liver fibrosis as shown in several relevant animal models. Therefore, we chose GR-MD-02 as the lead candidate in a development program targeted initially at fibrotic liver disease associated with non-alcoholic steatohepatitis (NASH, or fatty liver disease). Pre-clinical studies also show promise for the combination of GR-MD-02 with other approved immunotherapies and this additional use will be explored for possible advancement into clinical trials. In this regard, a phase I clinical trial is in the design phase for immunotherapy for metastatic melanoma with a combination of Yervoy (ipilimumab, BMS) and GR-MD-02 which will be conducted at Providence Portland Medical Center in Portland Oregon.</w:t>
      </w:r>
    </w:p>
    <w:p>
      <w:pPr>
        <w:spacing w:after="0" w:line="169" w:lineRule="exact"/>
        <w:rPr>
          <w:sz w:val="20"/>
          <w:szCs w:val="20"/>
          <w:color w:val="auto"/>
        </w:rPr>
      </w:pPr>
    </w:p>
    <w:p>
      <w:pPr>
        <w:ind w:firstLine="1484"/>
        <w:spacing w:after="0" w:line="286" w:lineRule="auto"/>
        <w:rPr>
          <w:sz w:val="20"/>
          <w:szCs w:val="20"/>
          <w:color w:val="auto"/>
        </w:rPr>
      </w:pPr>
      <w:r>
        <w:rPr>
          <w:rFonts w:ascii="Arial" w:cs="Arial" w:eastAsia="Arial" w:hAnsi="Arial"/>
          <w:sz w:val="16"/>
          <w:szCs w:val="16"/>
          <w:color w:val="auto"/>
        </w:rPr>
        <w:t>In January 2013, an Investigational New Drug (“IND”) was submitted to the FDA with the goal of initiating a Phase I study in patients with NASH and advanced liver fibrosis to primarily evaluate the human safety of GR-MD-02 and pharmacodynamics biomarkers of disease are also included in the trial design. On March 1, 2013, the FDA indicated we could proceed with a U.S. Phase 1 clinical trial for GR-MD-02 with a development program aimed at obtaining support for a proposed indication of GR-MD-02 for treatment of NASH with advanced fibrosis. In February 2013 we entered into an agreement with Clinical Trial Services Inc. (“CTI”) to conduct a Phase I clinical trial of GR-MD-02 to assess safety and preliminary evidence of efficacy in humans. In June 2013, we submitted a Fast Track application to the FDA to help expedite its clinical development program of GR-MD-02 in the treatment of NASH with advanced fibrosis. FDA grants Fast Track designation to help expedite review and approval of drugs in development that treat serious or life threatening diseases and fill an unmet medical need. On August 7, 2013, FDA concluded that the development program for GR-MD-02 meets the criteria for Fast Track designation, and FDA has designated the investigation of GR-MD-02 for non-alcoholic steatohepatitis with hepatic fibrosis as a Fast Track development program. We began enrolling patients in this trial in July 2013 and we expect top line of the first cohort of patients (total of 8 patients) in early 2014. Results of cohort 2 and cohort 3, if needed, are expected be available by mid-2014. In late 2014 or early 2015, depending on the results of the Phase I study and available funding, we may initiate a Phase II clinical trial to assess the efficacy of GR-MD-02 in patients with NASH and advanced liver fibrosis and based on that timing we would expect top-line clinical results in the first half of 2016, depending on the final design of the phase 2 study.</w:t>
      </w:r>
    </w:p>
    <w:p>
      <w:pPr>
        <w:spacing w:after="0" w:line="175" w:lineRule="exact"/>
        <w:rPr>
          <w:sz w:val="20"/>
          <w:szCs w:val="20"/>
          <w:color w:val="auto"/>
        </w:rPr>
      </w:pPr>
    </w:p>
    <w:p>
      <w:pPr>
        <w:ind w:firstLine="1484"/>
        <w:spacing w:after="0" w:line="297" w:lineRule="auto"/>
        <w:rPr>
          <w:sz w:val="20"/>
          <w:szCs w:val="20"/>
          <w:color w:val="auto"/>
        </w:rPr>
      </w:pPr>
      <w:r>
        <w:rPr>
          <w:rFonts w:ascii="Arial" w:cs="Arial" w:eastAsia="Arial" w:hAnsi="Arial"/>
          <w:sz w:val="16"/>
          <w:szCs w:val="16"/>
          <w:i w:val="1"/>
          <w:iCs w:val="1"/>
          <w:color w:val="auto"/>
        </w:rPr>
        <w:t xml:space="preserve">GM-CT-01. </w:t>
      </w:r>
      <w:r>
        <w:rPr>
          <w:rFonts w:ascii="Arial" w:cs="Arial" w:eastAsia="Arial" w:hAnsi="Arial"/>
          <w:sz w:val="16"/>
          <w:szCs w:val="16"/>
          <w:color w:val="auto"/>
        </w:rPr>
        <w:t>We believe the potential exists for galectin inhibition to play an important role in cancer therapy. Galectin proteins,</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particularly galectin-1 and galectin-3, have been shown to be highly expressed in the majority of cancers and have multiple roles in promoting cancer progression, including tumor cell invasion, metastasis, angiogenesis, and tumor evasion of the immune system. GM-CT-01 has progressed in development for the therapy of colorectal cancer and is currently in a Phase I/II clinical trial in Europe as a combination therapy with a tumor vaccine in patients with advanced melanoma. The current developmental approach for GM-CT-01 is to enhance the activity of the immune system against the cancer.</w:t>
      </w:r>
    </w:p>
    <w:p>
      <w:pPr>
        <w:sectPr>
          <w:pgSz w:w="11900" w:h="16838" w:orient="portrait"/>
          <w:cols w:equalWidth="0" w:num="1">
            <w:col w:w="11380"/>
          </w:cols>
          <w:pgMar w:left="240" w:top="459" w:right="279" w:bottom="1440" w:gutter="0" w:footer="0" w:header="0"/>
        </w:sectPr>
      </w:pPr>
    </w:p>
    <w:bookmarkStart w:id="14" w:name="page15"/>
    <w:bookmarkEnd w:id="14"/>
    <w:p>
      <w:pPr>
        <w:ind w:firstLine="1484"/>
        <w:spacing w:after="0" w:line="271" w:lineRule="auto"/>
        <w:rPr>
          <w:sz w:val="20"/>
          <w:szCs w:val="20"/>
          <w:color w:val="auto"/>
        </w:rPr>
      </w:pPr>
      <w:r>
        <w:rPr>
          <w:rFonts w:ascii="Arial" w:cs="Arial" w:eastAsia="Arial" w:hAnsi="Arial"/>
          <w:sz w:val="17"/>
          <w:szCs w:val="17"/>
          <w:color w:val="auto"/>
        </w:rPr>
        <w:t>In May 2012, we initiated a Phase I/II clinical trial of GM-CT-01 in Belgium in combination with a tumor vaccine in patients with advanced melanoma, a deadly skin cancer. The Belgian Federal Agency of Medicine and Health Products, or FAMHP, granted approval for this clinical trial, which is being conducted at three centers in Belgium and one in Luxembourg. There are two primary cohorts of patients in this study, one where GM-CT-01 is given intravenously (Cohort 1) and a second cohort where GM-CT-01 is given both intravenously and directly injected into a cutaneous metastasis (Cohort 2). As of now, 6 patients total have been enrolled and two patients have completed treatment in Cohort 1 and one patient has completed treatment in Cohort 2. The three completed patients have tolerated the therapy well with no stage 3/4 adverse events. None of the three patients had a partial or complete response to therapy based on RECIST criteria, but two patients had a mixed response with some tumors receding in size. Enrollment in the study is continuing, but we do not have an estimate of completion of the first stage of the cohorts because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enrollment is under the control of the site conducting the trial. For each cohort, 6 patients will be enrolled in stage one of the study, and if at least one out of six patients has a response (PR or CR by RECIST criteria), the remaining patients will be enrolled up to a total of 23 per cohort. Depending on the results of Stage 1, which is defined as a partial or complete response by RECIST criteria in at least one out of six patients, the study could continue enrollment to complete Stage 2 (46 total patients), initiate a new Phase II trial based on positive results or be halted because of lack of efficacy. Stage 1 of the trial is being funded by the Cancer Centre at the Cliniques Universitaires Saint-Luc and Stage 2 may require funding from the Company, beyond the provision of material, however, we have no commitment to fund Stage 2 of the trial. We do not control this Phase I/II clinical trial in Belgium which is being conducted under an EMA-approved IMPD. We are the sponsor of an open IND application under the FDA for GM-CT-01; no trials are currently being conducted in the U.S.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2013 Compared to Three and Nine Months Ended September 30, 2012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color w:val="auto"/>
                <w:w w:val="92"/>
              </w:rPr>
              <w:t>Nine Months Ended</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4"/>
                <w:szCs w:val="14"/>
                <w:color w:val="auto"/>
                <w:w w:val="94"/>
              </w:rPr>
              <w:t>2013 as Compared to 2012</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gridSpan w:val="3"/>
          </w:tcPr>
          <w:p>
            <w:pPr>
              <w:jc w:val="right"/>
              <w:ind w:right="380"/>
              <w:spacing w:after="0" w:line="142" w:lineRule="exact"/>
              <w:rPr>
                <w:sz w:val="20"/>
                <w:szCs w:val="20"/>
                <w:color w:val="auto"/>
              </w:rPr>
            </w:pPr>
            <w:r>
              <w:rPr>
                <w:rFonts w:ascii="Arial" w:cs="Arial" w:eastAsia="Arial" w:hAnsi="Arial"/>
                <w:sz w:val="14"/>
                <w:szCs w:val="14"/>
                <w:color w:val="auto"/>
              </w:rPr>
              <w:t>September 30,</w:t>
            </w:r>
          </w:p>
        </w:tc>
        <w:tc>
          <w:tcPr>
            <w:tcW w:w="140" w:type="dxa"/>
            <w:vAlign w:val="bottom"/>
          </w:tcPr>
          <w:p>
            <w:pPr>
              <w:spacing w:after="0"/>
              <w:rPr>
                <w:sz w:val="12"/>
                <w:szCs w:val="12"/>
                <w:color w:val="auto"/>
              </w:rPr>
            </w:pPr>
          </w:p>
        </w:tc>
        <w:tc>
          <w:tcPr>
            <w:tcW w:w="1440" w:type="dxa"/>
            <w:vAlign w:val="bottom"/>
            <w:gridSpan w:val="3"/>
          </w:tcPr>
          <w:p>
            <w:pPr>
              <w:jc w:val="center"/>
              <w:ind w:right="140"/>
              <w:spacing w:after="0" w:line="142" w:lineRule="exact"/>
              <w:rPr>
                <w:sz w:val="20"/>
                <w:szCs w:val="20"/>
                <w:color w:val="auto"/>
              </w:rPr>
            </w:pPr>
            <w:r>
              <w:rPr>
                <w:rFonts w:ascii="Arial" w:cs="Arial" w:eastAsia="Arial" w:hAnsi="Arial"/>
                <w:sz w:val="14"/>
                <w:szCs w:val="14"/>
                <w:color w:val="auto"/>
                <w:w w:val="89"/>
              </w:rPr>
              <w:t>September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3"/>
          </w:tcPr>
          <w:p>
            <w:pPr>
              <w:jc w:val="right"/>
              <w:ind w:right="760"/>
              <w:spacing w:after="0" w:line="142" w:lineRule="exact"/>
              <w:rPr>
                <w:sz w:val="20"/>
                <w:szCs w:val="20"/>
                <w:color w:val="auto"/>
              </w:rPr>
            </w:pPr>
            <w:r>
              <w:rPr>
                <w:rFonts w:ascii="Arial" w:cs="Arial" w:eastAsia="Arial" w:hAnsi="Arial"/>
                <w:sz w:val="14"/>
                <w:szCs w:val="14"/>
                <w:color w:val="auto"/>
              </w:rPr>
              <w:t>Three Months</w:t>
            </w:r>
          </w:p>
        </w:tc>
        <w:tc>
          <w:tcPr>
            <w:tcW w:w="100" w:type="dxa"/>
            <w:vAlign w:val="bottom"/>
          </w:tcPr>
          <w:p>
            <w:pPr>
              <w:spacing w:after="0"/>
              <w:rPr>
                <w:sz w:val="12"/>
                <w:szCs w:val="12"/>
                <w:color w:val="auto"/>
              </w:rPr>
            </w:pPr>
          </w:p>
        </w:tc>
        <w:tc>
          <w:tcPr>
            <w:tcW w:w="1340" w:type="dxa"/>
            <w:vAlign w:val="bottom"/>
            <w:gridSpan w:val="2"/>
          </w:tcPr>
          <w:p>
            <w:pPr>
              <w:ind w:left="240"/>
              <w:spacing w:after="0" w:line="142" w:lineRule="exact"/>
              <w:rPr>
                <w:sz w:val="20"/>
                <w:szCs w:val="20"/>
                <w:color w:val="auto"/>
              </w:rPr>
            </w:pPr>
            <w:r>
              <w:rPr>
                <w:rFonts w:ascii="Arial" w:cs="Arial" w:eastAsia="Arial" w:hAnsi="Arial"/>
                <w:sz w:val="14"/>
                <w:szCs w:val="14"/>
                <w:color w:val="auto"/>
              </w:rPr>
              <w:t>Nine Months</w:t>
            </w:r>
          </w:p>
        </w:tc>
        <w:tc>
          <w:tcPr>
            <w:tcW w:w="20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2013</w:t>
            </w:r>
          </w:p>
        </w:tc>
        <w:tc>
          <w:tcPr>
            <w:tcW w:w="6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2012</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2013</w:t>
            </w:r>
          </w:p>
        </w:tc>
        <w:tc>
          <w:tcPr>
            <w:tcW w:w="6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2012</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color w:val="auto"/>
                <w:w w:val="85"/>
              </w:rPr>
              <w:t>Change</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Change</w:t>
            </w:r>
          </w:p>
        </w:tc>
        <w:tc>
          <w:tcPr>
            <w:tcW w:w="4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color w:val="auto"/>
                <w:w w:val="85"/>
              </w:rPr>
              <w:t>Change</w:t>
            </w:r>
          </w:p>
        </w:tc>
        <w:tc>
          <w:tcPr>
            <w:tcW w:w="7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8"/>
              </w:rPr>
              <w:t>% Change</w:t>
            </w:r>
          </w:p>
        </w:tc>
        <w:tc>
          <w:tcPr>
            <w:tcW w:w="20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4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(In thousands, except %)</w:t>
            </w: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$1,192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$ 1,409</w:t>
            </w: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$4,293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(217)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768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r>
      <w:tr>
        <w:trPr>
          <w:trHeight w:val="365"/>
        </w:trPr>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1484"/>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9"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color w:val="auto"/>
        </w:rPr>
        <w:t>We have two product candidates, GR-MD-02 and GM-CT-01. We filed for an IND for GR-MD-02 in January 2013 and in February 2013 we entered into an agreement with CTI to conduct a Phase I clinical trial of GR-MD-02 which we began enrolling patients in July 2013. GM-CT-01 is in a Phase I/II clinical trial in Europe at this time, which is being conducted in collaboration with the Cancer Centre at the Cliniques Universitaires Saint-Luc and the Ludwig Institute for Cancer Research in Belgium.</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Our research and development expenses were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480" w:type="dxa"/>
            <w:vAlign w:val="bottom"/>
            <w:gridSpan w:val="5"/>
          </w:tcPr>
          <w:p>
            <w:pPr>
              <w:jc w:val="right"/>
              <w:ind w:right="200"/>
              <w:spacing w:after="0"/>
              <w:rPr>
                <w:sz w:val="20"/>
                <w:szCs w:val="20"/>
                <w:color w:val="auto"/>
              </w:rPr>
            </w:pPr>
            <w:r>
              <w:rPr>
                <w:rFonts w:ascii="Arial" w:cs="Arial" w:eastAsia="Arial" w:hAnsi="Arial"/>
                <w:sz w:val="14"/>
                <w:szCs w:val="14"/>
                <w:color w:val="auto"/>
              </w:rPr>
              <w:t>Nine Months Ended</w:t>
            </w:r>
          </w:p>
        </w:tc>
      </w:tr>
      <w:tr>
        <w:trPr>
          <w:trHeight w:val="167"/>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right"/>
              <w:ind w:right="480"/>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4"/>
                <w:szCs w:val="14"/>
                <w:color w:val="auto"/>
              </w:rPr>
            </w:pPr>
          </w:p>
        </w:tc>
        <w:tc>
          <w:tcPr>
            <w:tcW w:w="1480" w:type="dxa"/>
            <w:vAlign w:val="bottom"/>
            <w:gridSpan w:val="5"/>
          </w:tcPr>
          <w:p>
            <w:pPr>
              <w:jc w:val="right"/>
              <w:ind w:right="380"/>
              <w:spacing w:after="0"/>
              <w:rPr>
                <w:sz w:val="20"/>
                <w:szCs w:val="20"/>
                <w:color w:val="auto"/>
              </w:rPr>
            </w:pPr>
            <w:r>
              <w:rPr>
                <w:rFonts w:ascii="Arial" w:cs="Arial" w:eastAsia="Arial" w:hAnsi="Arial"/>
                <w:sz w:val="14"/>
                <w:szCs w:val="14"/>
                <w:color w:val="auto"/>
              </w:rPr>
              <w:t>September 30,</w:t>
            </w:r>
          </w:p>
        </w:tc>
      </w:tr>
      <w:tr>
        <w:trPr>
          <w:trHeight w:val="123"/>
        </w:trPr>
        <w:tc>
          <w:tcPr>
            <w:tcW w:w="7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ind w:left="20"/>
              <w:spacing w:after="0" w:line="123" w:lineRule="exact"/>
              <w:rPr>
                <w:sz w:val="20"/>
                <w:szCs w:val="20"/>
                <w:color w:val="auto"/>
              </w:rPr>
            </w:pPr>
            <w:r>
              <w:rPr>
                <w:rFonts w:ascii="Arial" w:cs="Arial" w:eastAsia="Arial" w:hAnsi="Arial"/>
                <w:sz w:val="14"/>
                <w:szCs w:val="14"/>
                <w:color w:val="auto"/>
              </w:rPr>
              <w:t>2013</w:t>
            </w: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36"/>
              <w:spacing w:after="0" w:line="123" w:lineRule="exact"/>
              <w:rPr>
                <w:sz w:val="20"/>
                <w:szCs w:val="20"/>
                <w:color w:val="auto"/>
              </w:rPr>
            </w:pPr>
            <w:r>
              <w:rPr>
                <w:rFonts w:ascii="Arial" w:cs="Arial" w:eastAsia="Arial" w:hAnsi="Arial"/>
                <w:sz w:val="14"/>
                <w:szCs w:val="14"/>
                <w:color w:val="auto"/>
                <w:w w:val="89"/>
              </w:rPr>
              <w:t>2012</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top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2013</w:t>
            </w: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14"/>
              <w:spacing w:after="0" w:line="123"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0"/>
                <w:szCs w:val="10"/>
                <w:color w:val="auto"/>
              </w:rPr>
            </w:pPr>
          </w:p>
        </w:tc>
      </w:tr>
      <w:tr>
        <w:trPr>
          <w:trHeight w:val="167"/>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ind w:left="20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480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$1,734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885</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1,639</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430</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1,269</w:t>
            </w:r>
          </w:p>
        </w:tc>
      </w:tr>
      <w:tr>
        <w:trPr>
          <w:trHeight w:val="27"/>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1,192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1,409</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3,525</w:t>
            </w: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Clinical programs expenses increased primarily due to the startup costs related to our Phase I clinical trial agreement with CTI during the three and nine months ended September 30, 2013 versus primarily compound manufacturing, toxicology testing and other preparation costs during the three and nine months ended September 30, 2012 for GM-CT-01. As we continue enrolling patients in the Phase I trial we expect our clinical activities costs will increase and may fluctuate from quarter to quarter as the trial progresses. Pre-clinical activities increased primarily due to pre-clinical work related to fibrosis prior to the IND approval as well as our agreement with the University of Georgia. Other research and development expenses increased during the three months ended September 30, 2013 primarily due to increased stock-based compensation ($87,000) and rent and overhead expenses ($59,000). Other research and development expenses increased during the nine months ended September 30, 2013 primarily due to decreased rent and overhead expenses ($134,000) offset by increased stock-based compensation ($109,000).</w:t>
      </w:r>
    </w:p>
    <w:p>
      <w:pPr>
        <w:spacing w:after="0" w:line="17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expect that our expenditures will increase in the near future as we begin activities antecedent to a Phase II clinical trial. These costs include manufacturing, toxicology and other activities in support of a timely beginning of a Phase II clinical trial. 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color w:val="auto"/>
                <w:w w:val="92"/>
              </w:rPr>
              <w:t>Three Months</w:t>
            </w:r>
          </w:p>
        </w:tc>
        <w:tc>
          <w:tcPr>
            <w:tcW w:w="140" w:type="dxa"/>
            <w:vAlign w:val="bottom"/>
          </w:tcPr>
          <w:p>
            <w:pPr>
              <w:spacing w:after="0"/>
              <w:rPr>
                <w:sz w:val="14"/>
                <w:szCs w:val="14"/>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4"/>
                <w:szCs w:val="14"/>
                <w:color w:val="auto"/>
                <w:w w:val="96"/>
              </w:rPr>
              <w:t>Nine Months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gridSpan w:val="3"/>
          </w:tcPr>
          <w:p>
            <w:pPr>
              <w:ind w:left="60"/>
              <w:spacing w:after="0"/>
              <w:rPr>
                <w:sz w:val="20"/>
                <w:szCs w:val="20"/>
                <w:color w:val="auto"/>
              </w:rPr>
            </w:pPr>
            <w:r>
              <w:rPr>
                <w:rFonts w:ascii="Arial" w:cs="Arial" w:eastAsia="Arial" w:hAnsi="Arial"/>
                <w:sz w:val="14"/>
                <w:szCs w:val="14"/>
                <w:color w:val="auto"/>
                <w:w w:val="97"/>
              </w:rPr>
              <w:t>2013 as Compared to 2012</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1"/>
              </w:rPr>
              <w:t>Ended September 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1"/>
              </w:rPr>
              <w:t>Ended September 30,</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700"/>
              <w:spacing w:after="0" w:line="142" w:lineRule="exact"/>
              <w:rPr>
                <w:sz w:val="20"/>
                <w:szCs w:val="20"/>
                <w:color w:val="auto"/>
              </w:rPr>
            </w:pPr>
            <w:r>
              <w:rPr>
                <w:rFonts w:ascii="Arial" w:cs="Arial" w:eastAsia="Arial" w:hAnsi="Arial"/>
                <w:sz w:val="14"/>
                <w:szCs w:val="14"/>
                <w:color w:val="auto"/>
              </w:rPr>
              <w:t>Three Months</w:t>
            </w:r>
          </w:p>
        </w:tc>
        <w:tc>
          <w:tcPr>
            <w:tcW w:w="1440" w:type="dxa"/>
            <w:vAlign w:val="bottom"/>
            <w:tcBorders>
              <w:top w:val="single" w:sz="8" w:color="auto"/>
            </w:tcBorders>
            <w:gridSpan w:val="2"/>
          </w:tcPr>
          <w:p>
            <w:pPr>
              <w:ind w:left="340"/>
              <w:spacing w:after="0" w:line="142" w:lineRule="exact"/>
              <w:rPr>
                <w:sz w:val="20"/>
                <w:szCs w:val="20"/>
                <w:color w:val="auto"/>
              </w:rPr>
            </w:pPr>
            <w:r>
              <w:rPr>
                <w:rFonts w:ascii="Arial" w:cs="Arial" w:eastAsia="Arial" w:hAnsi="Arial"/>
                <w:sz w:val="14"/>
                <w:szCs w:val="14"/>
                <w:color w:val="auto"/>
              </w:rPr>
              <w:t>Nine Months</w:t>
            </w:r>
          </w:p>
        </w:tc>
        <w:tc>
          <w:tcPr>
            <w:tcW w:w="20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2013</w:t>
            </w:r>
          </w:p>
        </w:tc>
        <w:tc>
          <w:tcPr>
            <w:tcW w:w="68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2012</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2013</w:t>
            </w:r>
          </w:p>
        </w:tc>
        <w:tc>
          <w:tcPr>
            <w:tcW w:w="6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color w:val="auto"/>
                <w:w w:val="89"/>
              </w:rPr>
              <w:t>Change</w:t>
            </w:r>
          </w:p>
        </w:tc>
        <w:tc>
          <w:tcPr>
            <w:tcW w:w="6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color w:val="auto"/>
                <w:w w:val="88"/>
              </w:rPr>
              <w:t>% Change</w:t>
            </w:r>
          </w:p>
        </w:tc>
        <w:tc>
          <w:tcPr>
            <w:tcW w:w="38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7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8"/>
              </w:rPr>
              <w:t>% Change</w:t>
            </w:r>
          </w:p>
        </w:tc>
        <w:tc>
          <w:tcPr>
            <w:tcW w:w="20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 except %)</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$ 2,353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$ 1,487</w:t>
            </w: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$ 5,007</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$ 3,992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866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58.2%</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$ 1,015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r>
      <w:tr>
        <w:trPr>
          <w:trHeight w:val="365"/>
        </w:trPr>
        <w:tc>
          <w:tcPr>
            <w:tcW w:w="3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jc w:val="right"/>
              <w:ind w:right="156"/>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General and administrative expenses consist primarily of salaries including stock based compensation, legal and accounting fees, insurance, investor relations, business development and other office related expenses. The primary reasons for the increase for the three months ended September 30, 2013 as compared to the same period in 2012 are due to increased stock-based compensation ($902,000) and increased legal expenses ($48,000) related to ongoing litigation with the Company’s former CEO, Dr. Platt, offset by decreased rent ($55,000) due to our relocation in October 2012. The primary reasons for the increase for the nine months ended September 30, 2013 as compared to the same period in 2012 are due to increased stock-based compensation ($997,000), increased legal expenses ($214,000) related to our ongoing litigation with Dr. Platt, and increased investor relations ($23,000), offset by decreased rent expense ($176,000). The primary reason for the increase in stock-based compensation for the three and nine months ended September 30, 2013 was due to a modification in September 2013 of certain vested options held by a former board member to extend the contractual exercise period through the original expiration dates as opposed to 90 days after service on the board ended.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1484"/>
        <w:spacing w:after="0" w:line="277" w:lineRule="auto"/>
        <w:rPr>
          <w:sz w:val="20"/>
          <w:szCs w:val="20"/>
          <w:color w:val="auto"/>
        </w:rPr>
      </w:pPr>
      <w:r>
        <w:rPr>
          <w:rFonts w:ascii="Arial" w:cs="Arial" w:eastAsia="Arial" w:hAnsi="Arial"/>
          <w:sz w:val="18"/>
          <w:szCs w:val="18"/>
          <w:color w:val="auto"/>
        </w:rPr>
        <w:t>As described above in the Overview and elsewhere in this Quarterly Report on Form 10-Q, we are in the development stage and have not generated any revenues.</w:t>
      </w:r>
    </w:p>
    <w:p>
      <w:pPr>
        <w:spacing w:after="0" w:line="170" w:lineRule="exact"/>
        <w:rPr>
          <w:sz w:val="20"/>
          <w:szCs w:val="20"/>
          <w:color w:val="auto"/>
        </w:rPr>
      </w:pPr>
    </w:p>
    <w:p>
      <w:pPr>
        <w:ind w:right="20" w:firstLine="1484"/>
        <w:spacing w:after="0" w:line="287" w:lineRule="auto"/>
        <w:rPr>
          <w:sz w:val="20"/>
          <w:szCs w:val="20"/>
          <w:color w:val="auto"/>
        </w:rPr>
      </w:pPr>
      <w:r>
        <w:rPr>
          <w:rFonts w:ascii="Arial" w:cs="Arial" w:eastAsia="Arial" w:hAnsi="Arial"/>
          <w:sz w:val="16"/>
          <w:szCs w:val="16"/>
          <w:color w:val="auto"/>
        </w:rPr>
        <w:t>Since our inception on July 10, 2000, we have financed our operations from proceeds of public and private offerings of debt and equity. As of September 30, 2013, we raised a net total of $74.9 million from these offerings. We have operated at a loss since our inception and have had no significant revenues. We anticipate that losses will continue for the foreseeable future. At September 30, 2013, we had $9.7 million of unrestricted cash and cash equivalents available to fund future operations. We believe that with the cash on hand at September 30, 2013 and the cash received subsequent to September 30, 2013 of $2.1 million from the exercise of warrants and options and issuance of shares through the At Market issuance program, there is sufficient cash to fund operations into the third quarter of 2014. As of November 8, 2013, we have remaining availability under our At Market Issuance program to raise an additional $29.5 million; however, further sales will be dependent on many factors, including timing of the need for additional funding, the market price of our common stock and other factors, some of which are beyond our control and there are no assurances that additional funds will be raised under this program. Our ability to fund operations after our current cash resources are exhausted depends on our ability to obtain additional financing or achieve profitable operations, as to which no assurances can be given. We have plans, including cost containment efforts in the event that such financing cannot be realized by us. Accordingly, based on the forecasts and estimates underlying our current operating plan, the financial statements do not currently include any adjustments that might be necessary if we are unable to continue as a going concern.</w:t>
      </w:r>
    </w:p>
    <w:p>
      <w:pPr>
        <w:spacing w:after="0" w:line="169" w:lineRule="exact"/>
        <w:rPr>
          <w:sz w:val="20"/>
          <w:szCs w:val="20"/>
          <w:color w:val="auto"/>
        </w:rPr>
      </w:pPr>
    </w:p>
    <w:p>
      <w:pPr>
        <w:ind w:right="640" w:firstLine="1484"/>
        <w:spacing w:after="0" w:line="264" w:lineRule="auto"/>
        <w:rPr>
          <w:sz w:val="20"/>
          <w:szCs w:val="20"/>
          <w:color w:val="auto"/>
        </w:rPr>
      </w:pPr>
      <w:r>
        <w:rPr>
          <w:rFonts w:ascii="Arial" w:cs="Arial" w:eastAsia="Arial" w:hAnsi="Arial"/>
          <w:sz w:val="18"/>
          <w:szCs w:val="18"/>
          <w:color w:val="auto"/>
        </w:rPr>
        <w:t>Net cash used in operations increased by $89,000 to $5,838,000 for the nine months ended September 30, 2013, as compared to $5,749,000 for the nine months ended September 30, 2012. Cash operating expenses increased principally due to increased research and development activities related to our clinical trial activity with GR-MD-02.</w:t>
      </w:r>
    </w:p>
    <w:p>
      <w:pPr>
        <w:spacing w:after="0" w:line="181" w:lineRule="exact"/>
        <w:rPr>
          <w:sz w:val="20"/>
          <w:szCs w:val="20"/>
          <w:color w:val="auto"/>
        </w:rPr>
      </w:pPr>
    </w:p>
    <w:p>
      <w:pPr>
        <w:ind w:right="80" w:firstLine="1484"/>
        <w:spacing w:after="0" w:line="264" w:lineRule="auto"/>
        <w:rPr>
          <w:sz w:val="20"/>
          <w:szCs w:val="20"/>
          <w:color w:val="auto"/>
        </w:rPr>
      </w:pPr>
      <w:r>
        <w:rPr>
          <w:rFonts w:ascii="Arial" w:cs="Arial" w:eastAsia="Arial" w:hAnsi="Arial"/>
          <w:sz w:val="18"/>
          <w:szCs w:val="18"/>
          <w:color w:val="auto"/>
        </w:rPr>
        <w:t>Net cash provided by financing activities was $6,189,000 during the nine months ended September 30, 2013 from a private placement of common stock of $3,000,000 and cash paid for warrant and option exercises of $3,189,000 as compared to $10,403,000 during the nine months ended September 30, 2012, due to a public offering we completed in the first quarter of 2012.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121" w:lineRule="exact"/>
        <w:rPr>
          <w:sz w:val="20"/>
          <w:szCs w:val="20"/>
          <w:color w:val="auto"/>
        </w:rPr>
      </w:pPr>
    </w:p>
    <w:p>
      <w:pPr>
        <w:ind w:right="760" w:firstLine="1484"/>
        <w:spacing w:after="0" w:line="277" w:lineRule="auto"/>
        <w:rPr>
          <w:sz w:val="20"/>
          <w:szCs w:val="20"/>
          <w:color w:val="auto"/>
        </w:rPr>
      </w:pPr>
      <w:r>
        <w:rPr>
          <w:rFonts w:ascii="Arial" w:cs="Arial" w:eastAsia="Arial" w:hAnsi="Arial"/>
          <w:sz w:val="18"/>
          <w:szCs w:val="18"/>
          <w:color w:val="auto"/>
        </w:rPr>
        <w:t>The following table summarizes the payments due under our contractual obligations at September 30, 2013, and the effect such obligations are expected to have on liquidity and cash flow in future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w w:val="92"/>
              </w:rPr>
              <w:t>Payments due by period (in thousands)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20" w:type="dxa"/>
            <w:vAlign w:val="bottom"/>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2"/>
              </w:rPr>
              <w:t>Less than</w:t>
            </w:r>
          </w:p>
        </w:tc>
        <w:tc>
          <w:tcPr>
            <w:tcW w:w="540" w:type="dxa"/>
            <w:vAlign w:val="bottom"/>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280" w:type="dxa"/>
            <w:vAlign w:val="bottom"/>
          </w:tcPr>
          <w:p>
            <w:pPr>
              <w:spacing w:after="0"/>
              <w:rPr>
                <w:sz w:val="10"/>
                <w:szCs w:val="10"/>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3-5 years</w:t>
            </w:r>
          </w:p>
        </w:tc>
        <w:tc>
          <w:tcPr>
            <w:tcW w:w="50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4"/>
                <w:szCs w:val="14"/>
                <w:b w:val="1"/>
                <w:bCs w:val="1"/>
                <w:color w:val="auto"/>
                <w:w w:val="88"/>
              </w:rPr>
              <w:t>1 year</w:t>
            </w:r>
          </w:p>
        </w:tc>
        <w:tc>
          <w:tcPr>
            <w:tcW w:w="5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0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$ 46</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Total payments due under contractual obligations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$ 46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180" w:firstLine="1484"/>
        <w:spacing w:after="0" w:line="259" w:lineRule="auto"/>
        <w:rPr>
          <w:sz w:val="20"/>
          <w:szCs w:val="20"/>
          <w:color w:val="auto"/>
        </w:rPr>
      </w:pPr>
      <w:r>
        <w:rPr>
          <w:rFonts w:ascii="Arial" w:cs="Arial" w:eastAsia="Arial" w:hAnsi="Arial"/>
          <w:sz w:val="18"/>
          <w:szCs w:val="18"/>
          <w:color w:val="auto"/>
        </w:rPr>
        <w:t>In September 2012, we entered into an operating lease for office space in Norcross, GA for a term of twenty-six months, beginning on October 1, 2012 and ending November 30, 2014 at a rate of $3,000 per month. The lease provided for free rent for the first two months of the lease and required a security deposit of $6,000. In addition to base rental payments included in the contractual obligations table above, we are responsible for our pro-rata share of increases in the operating expenses for the building.</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In October 2012, we entered into an operating lease for office space collocated with lab space for research and development activities.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lease is for a period of one year, beginning on October 1, 2012, for a rate of $15,000 for the term, payable in monthly increments.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CTI for Phase I Clinical Trial</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February 1, 2013, the Company entered into an Amended and Restated Master Services Agreement (the “Agreement”) with CTI Clinical Trial Services, Inc. and CTI Clinical Consulting Services, Inc. (individually and collectively, “CTI”), whereby CTI will assist the Company in the design, development and conduct of one or more clinical research studies from time to time. All work performed by CTI for the Company will be conducted pursuant to the terms of work orders that describe the specific obligations undertaken by CTI with respect to any particular clinical research study sponsored or conducted by the Company. Unless otherwise terminated sooner in accordance with the terms of the Agreement, the Agreement will be effective until January 31, 2018.</w:t>
      </w:r>
    </w:p>
    <w:p>
      <w:pPr>
        <w:spacing w:after="0" w:line="193"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On February 1, 2013, the Company entered into a work order (the “Work Order”) with CTI in accordance with the terms of the Agreement. The Work Order provides that CTI will provide services with respect to the Company’s Phase I Clinical Trial to evaluate the safety of the Company’s drug GR-MD-02 in subjects with Non-Alcoholic Steatohepatitis (“NASH”) with advanced hepatic fibrosis. CTI will provide the following9ervices, amongst others, with respect to the Work Order: reviewing and providing notices regarding IND safety reports, selecting investigators and monitors for the study, informing investigators of new observations, monitoring the progress of the study and reviewing ongoing investigations, keeping certain records, inspecting the Company’s records and reports, and disposing of any unused supply of the investigational drug.</w:t>
      </w:r>
    </w:p>
    <w:p>
      <w:pPr>
        <w:spacing w:after="0" w:line="17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Work Order provides for CTI’s anticipated involvement in the study from February 1, 2013 until March 31, 2014. The estimated budget for the Work Order is $2,155,000, which is subject to change as necessary, with payments made throughout the term of the project as the work is performed. During the three and nine months ended September 30, 2013, the Company recognized $239,000 and $1,329,000 of expenses related to this agreement for services performed.</w:t>
      </w:r>
    </w:p>
    <w:p>
      <w:pPr>
        <w:spacing w:after="0" w:line="187"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The Agreement or any work order may be terminated for any reason by any party upon ninety (90) days prior written notice to the other party. In addition, the Agreement may be terminated by either party immediately if the other party becomes insolvent, is dissolved or liquidated, makes a general assignment for the benefit of its creditors, files or has filed against it (and does not obtain a dismissal within ninety (90) days) a petition of bankruptcy, or has a receiver appointed for it or a substantial part of its assets, among other reasons. Further, the Agreement or any relevant work order may be terminated immediately by written notice from the Company, in the following circumstances: (1) the FDA withdraws authorization and approval to conduct a study; or</w:t>
      </w:r>
    </w:p>
    <w:p>
      <w:pPr>
        <w:spacing w:after="0" w:line="2" w:lineRule="exact"/>
        <w:rPr>
          <w:sz w:val="20"/>
          <w:szCs w:val="20"/>
          <w:color w:val="auto"/>
        </w:rPr>
      </w:pPr>
    </w:p>
    <w:p>
      <w:pPr>
        <w:jc w:val="both"/>
        <w:ind w:firstLine="8"/>
        <w:spacing w:after="0" w:line="255"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reasonably determines that for medical, clinical or patient safety reasons, a study should terminate immediately. In addition, either party may terminate the Agreement or any work order for material breach upon thirty (30) days’ written notice specifying the nature of the breach, if such breach has not been substantially cured within the thirty (30) day period.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Discovery Program with the University of Georgia</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February 2013, the Company established a collaborative drug discovery program at the Complex Carbohydrate Research Center at the University of Georgia. This program is focused on the discovery of new carbohydrate molecules that can be used in the therapy of diseases where galectin proteins play a major role, including cancer and inflammatory and fibrotic disorders. The term of the agreement is effective through December 31, 2013, for which the Company will provide funding of $154,000. The Company has paid $154,000 related to this program through September 30, 2013. This agreement may be terminated by either party upon 90 days notice.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117" w:lineRule="exact"/>
        <w:rPr>
          <w:sz w:val="20"/>
          <w:szCs w:val="20"/>
          <w:color w:val="auto"/>
        </w:rPr>
      </w:pPr>
    </w:p>
    <w:p>
      <w:pPr>
        <w:ind w:right="300" w:firstLine="1484"/>
        <w:spacing w:after="0" w:line="284" w:lineRule="auto"/>
        <w:rPr>
          <w:sz w:val="20"/>
          <w:szCs w:val="20"/>
          <w:color w:val="auto"/>
        </w:rPr>
      </w:pPr>
      <w:r>
        <w:rPr>
          <w:rFonts w:ascii="Arial" w:cs="Arial" w:eastAsia="Arial" w:hAnsi="Arial"/>
          <w:sz w:val="16"/>
          <w:szCs w:val="16"/>
          <w:color w:val="auto"/>
        </w:rPr>
        <w:t>In February 2009, the Company entered into a Separation Agreement in connection with the resignation of David Platt, Ph.D., the Company’s former Chief Executive Officer and Chairman of the Board of Directors. The Separation Agreement provides for the deferral of a $1.0 million separation payment due to Dr. Platt upon the earlier occurrence of any of the following milestone events: (i) the approval by the Food and Drug Administration for a new drug application (“NDA”) for any drug candidate or drug delivery candidate based on the Company’s GM-CT-01 technology (whether or not such technology is patented), in which case Dr. Platt is also entitled to a fully vested 10-year cashless-exercise stock option to purchase at least 83,334 shares of common stock at an exercise price not less than the fair market value of the common stock determined as of the date of grant;</w:t>
      </w:r>
    </w:p>
    <w:p>
      <w:pPr>
        <w:spacing w:after="0" w:line="5" w:lineRule="exact"/>
        <w:rPr>
          <w:sz w:val="20"/>
          <w:szCs w:val="20"/>
          <w:color w:val="auto"/>
        </w:rPr>
      </w:pPr>
    </w:p>
    <w:p>
      <w:pPr>
        <w:ind w:right="180" w:firstLine="8"/>
        <w:spacing w:after="0" w:line="281" w:lineRule="auto"/>
        <w:tabs>
          <w:tab w:leader="none" w:pos="2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consummation of a transaction with a pharmaceutical company expected to result in at least $10.0 million of equity investment or $50 million of royalty revenue to the Company, in which case Dr. Platt is also entitled to stock options on the same terms to purchase at least 50,000 shares of common stock; or</w:t>
      </w:r>
    </w:p>
    <w:p>
      <w:pPr>
        <w:spacing w:after="0" w:line="1" w:lineRule="exact"/>
        <w:rPr>
          <w:rFonts w:ascii="Arial" w:cs="Arial" w:eastAsia="Arial" w:hAnsi="Arial"/>
          <w:sz w:val="16"/>
          <w:szCs w:val="16"/>
          <w:color w:val="auto"/>
        </w:rPr>
      </w:pPr>
    </w:p>
    <w:p>
      <w:pPr>
        <w:ind w:right="60" w:firstLine="8"/>
        <w:spacing w:after="0" w:line="252" w:lineRule="auto"/>
        <w:tabs>
          <w:tab w:leader="none" w:pos="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renewed listing of the Company’s securities on a national securities exchange and the achievement of a market capitalization of $100 million. Payment upon the events (i) and (iii) may be deferred up to six months, and if the Company has insufficient cash at the time of any of such events, it may issue Dr. Platt a secured promissory note for such amount. If the Company files a voluntary or involuntary petition for bankruptcy, whether or not a milestone event has occurred, such event shall trigger the obligation to pay the $1.0 million with the result that Dr. Platt may assert a claim for such obligation against the bankruptcy estate. During 2011, when it became probable that the Company could be relisted on a national securities exchange and eventually reach a market capitalization of $100 million, the Company recognized the $1.0 million severance payment due to Dr. Platt and it is included in accrued expenses at September 30, 2013 and December 31, 2012.</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1484"/>
        <w:spacing w:after="0" w:line="259" w:lineRule="auto"/>
        <w:rPr>
          <w:sz w:val="20"/>
          <w:szCs w:val="20"/>
          <w:color w:val="auto"/>
        </w:rPr>
      </w:pPr>
      <w:r>
        <w:rPr>
          <w:rFonts w:ascii="Arial" w:cs="Arial" w:eastAsia="Arial" w:hAnsi="Arial"/>
          <w:sz w:val="18"/>
          <w:szCs w:val="18"/>
          <w:color w:val="auto"/>
        </w:rPr>
        <w:t>On May 2, 2012, Dr. Platt instituted an arbitration with the American Arbitration Association seeking the $1 million payment based on a claim that the milestone event in the Separation Agreement described in clause (iii) above had occurred. Although the Company had listed its common stock on the Nasdaq Capital Markets as of March 22, 2012, the market capitalization since the listing had not reached $100 million when the arbitration was heard in October 2012. On November 1, 2012, the arbitrator denied Dr. Platt’s demand in all respects.</w:t>
      </w:r>
    </w:p>
    <w:p>
      <w:pPr>
        <w:spacing w:after="0" w:line="187" w:lineRule="exact"/>
        <w:rPr>
          <w:sz w:val="20"/>
          <w:szCs w:val="20"/>
          <w:color w:val="auto"/>
        </w:rPr>
      </w:pPr>
    </w:p>
    <w:p>
      <w:pPr>
        <w:ind w:right="40" w:firstLine="1484"/>
        <w:spacing w:after="0" w:line="254" w:lineRule="auto"/>
        <w:rPr>
          <w:sz w:val="20"/>
          <w:szCs w:val="20"/>
          <w:color w:val="auto"/>
        </w:rPr>
      </w:pPr>
      <w:r>
        <w:rPr>
          <w:rFonts w:ascii="Arial" w:cs="Arial" w:eastAsia="Arial" w:hAnsi="Arial"/>
          <w:sz w:val="18"/>
          <w:szCs w:val="18"/>
          <w:color w:val="auto"/>
        </w:rPr>
        <w:t>On October 12, 2012, Dr. Platt commenced a lawsuit under the Massachusetts Wage Act against Dr. Traber and Mr. McGauley who in their capacities as the Company’s Chief Executive Officer and Chief Financial Officer respectively can be held individually liable under the Wage Act for non-payment of wages. The lawsuit is based on the facts and issues raised in the arbitration regarding the payment of the $1.0 million separation payment under the Separation Agreement, and other unspecified “wages”. The statute provides that a successful claimant may be entitled to multiple damages, interest and attorney’s fees. Although the Company is not a party to the lawsuit, it plans to indemnify Dr. Traber and Mr. McGauley consistent with its obligations under the by-laws and applicable law, believes the lawsuit is without merit, and intends a vigorous defense on their behalf. On April 29, 2013, the Court allowed Dr. Traber’s and Mr. McGauley’s motion to dismiss. Dr. Platt filed a Notice of Appeal to appeal the Court’s order allowing the defendants’ motion to dismiss.</w:t>
      </w:r>
    </w:p>
    <w:p>
      <w:pPr>
        <w:spacing w:after="0" w:line="192" w:lineRule="exact"/>
        <w:rPr>
          <w:sz w:val="20"/>
          <w:szCs w:val="20"/>
          <w:color w:val="auto"/>
        </w:rPr>
      </w:pPr>
    </w:p>
    <w:p>
      <w:pPr>
        <w:ind w:right="20" w:firstLine="1484"/>
        <w:spacing w:after="0" w:line="255" w:lineRule="auto"/>
        <w:rPr>
          <w:sz w:val="20"/>
          <w:szCs w:val="20"/>
          <w:color w:val="auto"/>
        </w:rPr>
      </w:pPr>
      <w:r>
        <w:rPr>
          <w:rFonts w:ascii="Arial" w:cs="Arial" w:eastAsia="Arial" w:hAnsi="Arial"/>
          <w:sz w:val="18"/>
          <w:szCs w:val="18"/>
          <w:color w:val="auto"/>
        </w:rPr>
        <w:t>On March 29, 2013, the Company instituted arbitration before the American Arbitration Association, seeking to rescind or reform the Separation Agreement discussed above. The Company claims that Dr. Platt fraudulently induced the Company to enter into the Separation Agreement, breached his fiduciary duty to the Company, and was unduly enriched from his conduct. Along with removal of the $1.0 million milestone payment under the Separation Agreement, the Company is seeking repayment of all separation benefits paid to Dr. Platt to date. Depending on the outcome of the arbitration, the previously accrued $1.0 million could be reversed. This arbitration has been scheduled for May 2014; however, the ultimate outcome is uncertain and there is no guarantee that the Company will be successful in this demand.</w:t>
      </w:r>
    </w:p>
    <w:p>
      <w:pPr>
        <w:spacing w:after="0" w:line="193"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On August 1, 2013, the market capitalization of the Company’s common stock exceeded $100 million and the Company received a letter dated October 1, 2013, demanding payment of the $1 million. As described in the preceding paragraph, the Company had previously instituted an arbitration against Dr. Platt seeking to rescind the Separation Agreement, including the milestone payment provision. The Company expects to delay payment for at least six months under the terms of the Separation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420" w:firstLine="1484"/>
        <w:spacing w:after="0" w:line="277"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right="120" w:firstLine="1484"/>
        <w:spacing w:after="0" w:line="312"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ind w:right="160" w:firstLine="1484"/>
        <w:spacing w:after="0" w:line="297"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58" w:lineRule="exact"/>
        <w:rPr>
          <w:sz w:val="20"/>
          <w:szCs w:val="20"/>
          <w:color w:val="auto"/>
        </w:rPr>
      </w:pPr>
    </w:p>
    <w:p>
      <w:pPr>
        <w:ind w:right="60" w:firstLine="1484"/>
        <w:spacing w:after="0" w:line="286"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2012 Annual Report on Form 10-K.</w:t>
      </w:r>
    </w:p>
    <w:p>
      <w:pPr>
        <w:sectPr>
          <w:pgSz w:w="11900" w:h="16838" w:orient="portrait"/>
          <w:cols w:equalWidth="0" w:num="1">
            <w:col w:w="11400"/>
          </w:cols>
          <w:pgMar w:left="240" w:top="459" w:right="259" w:bottom="1440" w:gutter="0" w:footer="0" w:header="0"/>
        </w:sectPr>
      </w:pPr>
    </w:p>
    <w:bookmarkStart w:id="20" w:name="page21"/>
    <w:bookmarkEnd w:id="20"/>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240" w:top="486"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120" w:firstLine="1484"/>
        <w:spacing w:after="0" w:line="257" w:lineRule="auto"/>
        <w:rPr>
          <w:sz w:val="20"/>
          <w:szCs w:val="20"/>
          <w:color w:val="auto"/>
        </w:rPr>
      </w:pPr>
      <w:r>
        <w:rPr>
          <w:rFonts w:ascii="Arial" w:cs="Arial" w:eastAsia="Arial" w:hAnsi="Arial"/>
          <w:sz w:val="18"/>
          <w:szCs w:val="18"/>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September 30, 2013, our disclosure controls and procedures were effective at a reasonable assurance level. During the quarter ended September 30, 2013, no change in our internal control over financial reporting has materially affected, or is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1484"/>
        <w:spacing w:after="0" w:line="342" w:lineRule="auto"/>
        <w:rPr>
          <w:sz w:val="20"/>
          <w:szCs w:val="20"/>
          <w:color w:val="auto"/>
        </w:rPr>
      </w:pPr>
      <w:r>
        <w:rPr>
          <w:rFonts w:ascii="Arial" w:cs="Arial" w:eastAsia="Arial" w:hAnsi="Arial"/>
          <w:sz w:val="16"/>
          <w:szCs w:val="16"/>
          <w:color w:val="auto"/>
        </w:rPr>
        <w:t>The information set forth in this report should be read in conjunction with the risk factors set forth in Item 1A, “Risk Factors,” of Part I of our Annual Report on Form 10-K for the year ended December 31, 2012, which could materially impact our business, financial condition or future results.</w:t>
      </w: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50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4060" w:type="dxa"/>
            <w:vAlign w:val="bottom"/>
          </w:tcPr>
          <w:p>
            <w:pPr>
              <w:spacing w:after="0"/>
              <w:rPr>
                <w:sz w:val="24"/>
                <w:szCs w:val="24"/>
                <w:color w:val="auto"/>
              </w:rPr>
            </w:pPr>
          </w:p>
        </w:tc>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960" w:type="dxa"/>
            <w:vAlign w:val="bottom"/>
          </w:tcPr>
          <w:p>
            <w:pPr>
              <w:jc w:val="right"/>
              <w:ind w:right="79"/>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Number</w:t>
            </w:r>
          </w:p>
        </w:tc>
        <w:tc>
          <w:tcPr>
            <w:tcW w:w="4060" w:type="dxa"/>
            <w:vAlign w:val="bottom"/>
          </w:tcPr>
          <w:p>
            <w:pPr>
              <w:spacing w:after="0"/>
              <w:rPr>
                <w:sz w:val="14"/>
                <w:szCs w:val="14"/>
                <w:color w:val="auto"/>
              </w:rPr>
            </w:pPr>
          </w:p>
        </w:tc>
        <w:tc>
          <w:tcPr>
            <w:tcW w:w="5440" w:type="dxa"/>
            <w:vAlign w:val="bottom"/>
            <w:gridSpan w:val="2"/>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Reference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0" w:type="dxa"/>
            <w:vAlign w:val="bottom"/>
            <w:gridSpan w:val="2"/>
          </w:tcPr>
          <w:p>
            <w:pPr>
              <w:jc w:val="right"/>
              <w:ind w:right="108"/>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9500" w:type="dxa"/>
            <w:vAlign w:val="bottom"/>
            <w:gridSpan w:val="3"/>
          </w:tcPr>
          <w:p>
            <w:pPr>
              <w:ind w:left="440"/>
              <w:spacing w:after="0"/>
              <w:rPr>
                <w:sz w:val="20"/>
                <w:szCs w:val="20"/>
                <w:color w:val="auto"/>
              </w:rPr>
            </w:pPr>
            <w:r>
              <w:rPr>
                <w:rFonts w:ascii="Arial" w:cs="Arial" w:eastAsia="Arial" w:hAnsi="Arial"/>
                <w:sz w:val="18"/>
                <w:szCs w:val="18"/>
                <w:color w:val="auto"/>
              </w:rPr>
              <w:t>Amended and Restated Bylaws of Galectin Therapeutics Inc.</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108"/>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9500" w:type="dxa"/>
            <w:vAlign w:val="bottom"/>
            <w:gridSpan w:val="3"/>
          </w:tcPr>
          <w:p>
            <w:pPr>
              <w:ind w:left="440"/>
              <w:spacing w:after="0"/>
              <w:rPr>
                <w:sz w:val="20"/>
                <w:szCs w:val="20"/>
                <w:color w:val="auto"/>
              </w:rPr>
            </w:pPr>
            <w:r>
              <w:rPr>
                <w:rFonts w:ascii="Arial" w:cs="Arial" w:eastAsia="Arial" w:hAnsi="Arial"/>
                <w:sz w:val="18"/>
                <w:szCs w:val="18"/>
                <w:color w:val="auto"/>
              </w:rPr>
              <w:t>Restated Articles of Incorporation of Galectin Therapeutics Inc.</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9500" w:type="dxa"/>
            <w:vAlign w:val="bottom"/>
            <w:gridSpan w:val="3"/>
          </w:tcPr>
          <w:p>
            <w:pPr>
              <w:ind w:left="44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9500" w:type="dxa"/>
            <w:vAlign w:val="bottom"/>
            <w:gridSpan w:val="3"/>
          </w:tcPr>
          <w:p>
            <w:pPr>
              <w:ind w:left="44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9500" w:type="dxa"/>
            <w:vAlign w:val="bottom"/>
            <w:gridSpan w:val="3"/>
          </w:tcPr>
          <w:p>
            <w:pPr>
              <w:ind w:left="44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9500" w:type="dxa"/>
            <w:vAlign w:val="bottom"/>
            <w:gridSpan w:val="3"/>
          </w:tcPr>
          <w:p>
            <w:pPr>
              <w:ind w:left="44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500" w:type="dxa"/>
            <w:vAlign w:val="bottom"/>
            <w:gridSpan w:val="3"/>
          </w:tcPr>
          <w:p>
            <w:pPr>
              <w:ind w:left="440"/>
              <w:spacing w:after="0"/>
              <w:rPr>
                <w:sz w:val="20"/>
                <w:szCs w:val="20"/>
                <w:color w:val="auto"/>
              </w:rPr>
            </w:pPr>
            <w:r>
              <w:rPr>
                <w:rFonts w:ascii="Arial" w:cs="Arial" w:eastAsia="Arial" w:hAnsi="Arial"/>
                <w:sz w:val="18"/>
                <w:szCs w:val="18"/>
                <w:color w:val="auto"/>
              </w:rPr>
              <w:t>XBRL Instance Document*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500" w:type="dxa"/>
            <w:vAlign w:val="bottom"/>
            <w:gridSpan w:val="3"/>
          </w:tcPr>
          <w:p>
            <w:pPr>
              <w:ind w:left="440"/>
              <w:spacing w:after="0"/>
              <w:rPr>
                <w:sz w:val="20"/>
                <w:szCs w:val="20"/>
                <w:color w:val="auto"/>
              </w:rPr>
            </w:pPr>
            <w:r>
              <w:rPr>
                <w:rFonts w:ascii="Arial" w:cs="Arial" w:eastAsia="Arial" w:hAnsi="Arial"/>
                <w:sz w:val="18"/>
                <w:szCs w:val="18"/>
                <w:color w:val="auto"/>
              </w:rPr>
              <w:t>XBRL Taxonomy Extension Schema Document*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500" w:type="dxa"/>
            <w:vAlign w:val="bottom"/>
            <w:gridSpan w:val="3"/>
          </w:tcPr>
          <w:p>
            <w:pPr>
              <w:ind w:left="440"/>
              <w:spacing w:after="0"/>
              <w:rPr>
                <w:sz w:val="20"/>
                <w:szCs w:val="20"/>
                <w:color w:val="auto"/>
              </w:rPr>
            </w:pPr>
            <w:r>
              <w:rPr>
                <w:rFonts w:ascii="Arial" w:cs="Arial" w:eastAsia="Arial" w:hAnsi="Arial"/>
                <w:sz w:val="18"/>
                <w:szCs w:val="18"/>
                <w:color w:val="auto"/>
              </w:rPr>
              <w:t>XBRL Taxonomy Calculation Linkbase Document*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500" w:type="dxa"/>
            <w:vAlign w:val="bottom"/>
            <w:gridSpan w:val="3"/>
          </w:tcPr>
          <w:p>
            <w:pPr>
              <w:ind w:left="440"/>
              <w:spacing w:after="0"/>
              <w:rPr>
                <w:sz w:val="20"/>
                <w:szCs w:val="20"/>
                <w:color w:val="auto"/>
              </w:rPr>
            </w:pPr>
            <w:r>
              <w:rPr>
                <w:rFonts w:ascii="Arial" w:cs="Arial" w:eastAsia="Arial" w:hAnsi="Arial"/>
                <w:sz w:val="18"/>
                <w:szCs w:val="18"/>
                <w:color w:val="auto"/>
              </w:rPr>
              <w:t>XBRL Taxonomy Extension Definition Linkbase Document*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500" w:type="dxa"/>
            <w:vAlign w:val="bottom"/>
            <w:gridSpan w:val="3"/>
          </w:tcPr>
          <w:p>
            <w:pPr>
              <w:ind w:left="440"/>
              <w:spacing w:after="0"/>
              <w:rPr>
                <w:sz w:val="20"/>
                <w:szCs w:val="20"/>
                <w:color w:val="auto"/>
              </w:rPr>
            </w:pPr>
            <w:r>
              <w:rPr>
                <w:rFonts w:ascii="Arial" w:cs="Arial" w:eastAsia="Arial" w:hAnsi="Arial"/>
                <w:sz w:val="18"/>
                <w:szCs w:val="18"/>
                <w:color w:val="auto"/>
              </w:rPr>
              <w:t>XBRL Taxonomy Label Linkbase Document*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500" w:type="dxa"/>
            <w:vAlign w:val="bottom"/>
            <w:gridSpan w:val="3"/>
          </w:tcPr>
          <w:p>
            <w:pPr>
              <w:ind w:left="440"/>
              <w:spacing w:after="0"/>
              <w:rPr>
                <w:sz w:val="20"/>
                <w:szCs w:val="20"/>
                <w:color w:val="auto"/>
              </w:rPr>
            </w:pPr>
            <w:r>
              <w:rPr>
                <w:rFonts w:ascii="Arial" w:cs="Arial" w:eastAsia="Arial" w:hAnsi="Arial"/>
                <w:sz w:val="18"/>
                <w:szCs w:val="18"/>
                <w:color w:val="auto"/>
              </w:rPr>
              <w:t>XBRL Taxonomy Presentation Linkbase Document*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w:t>
      </w:r>
    </w:p>
    <w:p>
      <w:pPr>
        <w:spacing w:after="0" w:line="9" w:lineRule="exact"/>
        <w:rPr>
          <w:sz w:val="20"/>
          <w:szCs w:val="20"/>
          <w:color w:val="auto"/>
        </w:rPr>
      </w:pPr>
    </w:p>
    <w:p>
      <w:pPr>
        <w:ind w:left="5620" w:right="2300" w:hanging="5612"/>
        <w:spacing w:after="0" w:line="433" w:lineRule="auto"/>
        <w:tabs>
          <w:tab w:leader="none" w:pos="4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Commission on May 30, 2012. 21</w:t>
      </w:r>
    </w:p>
    <w:p>
      <w:pPr>
        <w:sectPr>
          <w:pgSz w:w="11900" w:h="16838" w:orient="portrait"/>
          <w:cols w:equalWidth="0" w:num="1">
            <w:col w:w="11320"/>
          </w:cols>
          <w:pgMar w:left="24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148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12, 2013.</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Jack W. Callicutt</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13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November 12, 2013</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November 12, 2013</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September 30, 2013 as filed with the Securities and Exchange Commission on the date hereof (the “Report”), I, Peter G. Traber, Chief Executive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November 12, 2013</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September 30, 2013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November 12, 2013</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lowerRoman"/>
      <w:start w:val="3"/>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1."/>
      <w:numFmt w:val="decimal"/>
      <w:start w:val="8"/>
    </w:lvl>
  </w:abstractNum>
  <w:abstractNum w:abstractNumId="11">
    <w:nsid w:val="3F2DBA31"/>
    <w:multiLevelType w:val="hybridMultilevel"/>
    <w:lvl w:ilvl="0">
      <w:lvlJc w:val="left"/>
      <w:lvlText w:val="(%1)"/>
      <w:numFmt w:val="decimal"/>
      <w:start w:val="2"/>
    </w:lvl>
  </w:abstractNum>
  <w:abstractNum w:abstractNumId="12">
    <w:nsid w:val="7C83E458"/>
    <w:multiLevelType w:val="hybridMultilevel"/>
    <w:lvl w:ilvl="0">
      <w:lvlJc w:val="left"/>
      <w:lvlText w:val="(%1)"/>
      <w:numFmt w:val="lowerRoman"/>
      <w:start w:val="2"/>
    </w:lvl>
  </w:abstractNum>
  <w:abstractNum w:abstractNumId="13">
    <w:nsid w:val="257130A3"/>
    <w:multiLevelType w:val="hybridMultilevel"/>
    <w:lvl w:ilvl="0">
      <w:lvlJc w:val="left"/>
      <w:lvlText w:val="%1."/>
      <w:numFmt w:val="decimal"/>
      <w:start w:val="9"/>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2"/>
    </w:lvl>
  </w:abstractNum>
  <w:abstractNum w:abstractNumId="17">
    <w:nsid w:val="333AB105"/>
    <w:multiLevelType w:val="hybridMultilevel"/>
    <w:lvl w:ilvl="0">
      <w:lvlJc w:val="left"/>
      <w:lvlText w:val="(%1)"/>
      <w:numFmt w:val="lowerRoman"/>
      <w:start w:val="2"/>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2019-12-07T02:08:33Z</dcterms:created>
  <dcterms:modified xsi:type="dcterms:W3CDTF">2019-12-07T02:08:33Z</dcterms:modified>
</cp:coreProperties>
</file>