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left="3920" w:right="3920" w:hanging="3912"/>
        <w:spacing w:after="0" w:line="260" w:lineRule="auto"/>
        <w:tabs>
          <w:tab w:leader="none" w:pos="43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2021</w:t>
      </w:r>
    </w:p>
    <w:p>
      <w:pPr>
        <w:spacing w:after="0" w:line="1"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6" w:lineRule="exact"/>
        <w:rPr>
          <w:sz w:val="24"/>
          <w:szCs w:val="24"/>
          <w:color w:val="auto"/>
        </w:rPr>
      </w:pPr>
    </w:p>
    <w:p>
      <w:pPr>
        <w:ind w:left="346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3705225</wp:posOffset>
            </wp:positionH>
            <wp:positionV relativeFrom="paragraph">
              <wp:posOffset>-20320</wp:posOffset>
            </wp:positionV>
            <wp:extent cx="1237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761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142875</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172720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tbl>
      <w:tblPr>
        <w:tblLayout w:type="fixed"/>
        <w:tblInd w:w="580" w:type="dxa"/>
        <w:tblCellMar>
          <w:top w:w="0" w:type="dxa"/>
          <w:left w:w="0" w:type="dxa"/>
          <w:bottom w:w="0" w:type="dxa"/>
          <w:right w:w="0" w:type="dxa"/>
        </w:tblCellMar>
      </w:tblPr>
      <w:tr>
        <w:trPr>
          <w:trHeight w:val="216"/>
        </w:trPr>
        <w:tc>
          <w:tcPr>
            <w:tcW w:w="544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84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04-3562325</w:t>
            </w:r>
          </w:p>
        </w:tc>
      </w:tr>
      <w:tr>
        <w:trPr>
          <w:trHeight w:val="238"/>
        </w:trPr>
        <w:tc>
          <w:tcPr>
            <w:tcW w:w="544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w:t>
            </w:r>
          </w:p>
        </w:tc>
        <w:tc>
          <w:tcPr>
            <w:tcW w:w="384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410"/>
        </w:trPr>
        <w:tc>
          <w:tcPr>
            <w:tcW w:w="544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4960 Peachtree Industrial Blvd., Suite 240, Norcross, GA</w:t>
            </w:r>
          </w:p>
        </w:tc>
        <w:tc>
          <w:tcPr>
            <w:tcW w:w="384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30071</w:t>
            </w:r>
          </w:p>
        </w:tc>
      </w:tr>
      <w:tr>
        <w:trPr>
          <w:trHeight w:val="238"/>
        </w:trPr>
        <w:tc>
          <w:tcPr>
            <w:tcW w:w="544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84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(678) 620-3186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580" w:type="dxa"/>
            <w:vAlign w:val="bottom"/>
            <w:gridSpan w:val="4"/>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160" w:type="dxa"/>
            <w:vAlign w:val="bottom"/>
            <w:gridSpan w:val="3"/>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c>
          <w:tcPr>
            <w:tcW w:w="0" w:type="dxa"/>
            <w:vAlign w:val="bottom"/>
          </w:tcPr>
          <w:p>
            <w:pPr>
              <w:spacing w:after="0"/>
              <w:rPr>
                <w:sz w:val="1"/>
                <w:szCs w:val="1"/>
                <w:color w:val="auto"/>
              </w:rPr>
            </w:pPr>
          </w:p>
        </w:tc>
      </w:tr>
      <w:tr>
        <w:trPr>
          <w:trHeight w:val="245"/>
        </w:trPr>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760" w:type="dxa"/>
            <w:vAlign w:val="bottom"/>
          </w:tcPr>
          <w:p>
            <w:pPr>
              <w:spacing w:after="0"/>
              <w:rPr>
                <w:sz w:val="21"/>
                <w:szCs w:val="21"/>
                <w:color w:val="auto"/>
              </w:rPr>
            </w:pPr>
          </w:p>
        </w:tc>
        <w:tc>
          <w:tcPr>
            <w:tcW w:w="3580" w:type="dxa"/>
            <w:vAlign w:val="bottom"/>
            <w:gridSpan w:val="4"/>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3160" w:type="dxa"/>
            <w:vAlign w:val="bottom"/>
            <w:gridSpan w:val="3"/>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Common Stock, $0.001 Par Value Per Share</w:t>
            </w:r>
          </w:p>
        </w:tc>
        <w:tc>
          <w:tcPr>
            <w:tcW w:w="1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gridSpan w:val="2"/>
          </w:tcPr>
          <w:p>
            <w:pPr>
              <w:jc w:val="center"/>
              <w:ind w:right="760"/>
              <w:spacing w:after="0" w:line="194" w:lineRule="exact"/>
              <w:rPr>
                <w:sz w:val="20"/>
                <w:szCs w:val="20"/>
                <w:color w:val="auto"/>
              </w:rPr>
            </w:pPr>
            <w:r>
              <w:rPr>
                <w:rFonts w:ascii="Times New Roman" w:cs="Times New Roman" w:eastAsia="Times New Roman" w:hAnsi="Times New Roman"/>
                <w:sz w:val="18"/>
                <w:szCs w:val="18"/>
                <w:b w:val="1"/>
                <w:bCs w:val="1"/>
                <w:color w:val="auto"/>
                <w:w w:val="93"/>
              </w:rPr>
              <w:t>GALT</w:t>
            </w: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3160" w:type="dxa"/>
            <w:vAlign w:val="bottom"/>
            <w:tcBorders>
              <w:top w:val="single" w:sz="8" w:color="auto"/>
            </w:tcBorders>
            <w:gridSpan w:val="3"/>
          </w:tcPr>
          <w:p>
            <w:pPr>
              <w:jc w:val="center"/>
              <w:ind w:right="3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 Market</w:t>
            </w:r>
          </w:p>
        </w:tc>
        <w:tc>
          <w:tcPr>
            <w:tcW w:w="0" w:type="dxa"/>
            <w:vAlign w:val="bottom"/>
          </w:tcPr>
          <w:p>
            <w:pPr>
              <w:spacing w:after="0"/>
              <w:rPr>
                <w:sz w:val="1"/>
                <w:szCs w:val="1"/>
                <w:color w:val="auto"/>
              </w:rPr>
            </w:pPr>
          </w:p>
        </w:tc>
      </w:tr>
      <w:tr>
        <w:trPr>
          <w:trHeight w:val="216"/>
        </w:trPr>
        <w:tc>
          <w:tcPr>
            <w:tcW w:w="8080" w:type="dxa"/>
            <w:vAlign w:val="bottom"/>
            <w:gridSpan w:val="7"/>
          </w:tcPr>
          <w:p>
            <w:pPr>
              <w:jc w:val="center"/>
              <w:ind w:left="307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580" w:type="dxa"/>
            <w:vAlign w:val="bottom"/>
            <w:gridSpan w:val="4"/>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00" w:type="dxa"/>
            <w:vAlign w:val="bottom"/>
            <w:gridSpan w:val="3"/>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2320" w:type="dxa"/>
            <w:vAlign w:val="bottom"/>
            <w:gridSpan w:val="4"/>
          </w:tcPr>
          <w:p>
            <w:pPr>
              <w:spacing w:after="0"/>
              <w:rPr>
                <w:sz w:val="19"/>
                <w:szCs w:val="19"/>
                <w:color w:val="auto"/>
              </w:rPr>
            </w:pPr>
          </w:p>
        </w:tc>
        <w:tc>
          <w:tcPr>
            <w:tcW w:w="68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150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52"/>
        </w:trPr>
        <w:tc>
          <w:tcPr>
            <w:tcW w:w="9060" w:type="dxa"/>
            <w:vAlign w:val="bottom"/>
            <w:gridSpan w:val="8"/>
          </w:tcPr>
          <w:p>
            <w:pPr>
              <w:ind w:left="44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1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60" w:type="dxa"/>
            <w:vAlign w:val="bottom"/>
            <w:gridSpan w:val="8"/>
          </w:tcPr>
          <w:p>
            <w:pPr>
              <w:ind w:left="440"/>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w w:val="94"/>
              </w:rPr>
              <w:t xml:space="preserve">Yes </w:t>
            </w:r>
            <w:r>
              <w:rPr>
                <w:rFonts w:ascii="MS PGothic" w:cs="MS PGothic" w:eastAsia="MS PGothic" w:hAnsi="MS PGothic"/>
                <w:sz w:val="18"/>
                <w:szCs w:val="18"/>
                <w:color w:val="auto"/>
                <w:w w:val="94"/>
              </w:rPr>
              <w:t>☐</w:t>
            </w:r>
          </w:p>
        </w:tc>
        <w:tc>
          <w:tcPr>
            <w:tcW w:w="1500" w:type="dxa"/>
            <w:vAlign w:val="bottom"/>
          </w:tcPr>
          <w:p>
            <w:pPr>
              <w:ind w:left="14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78"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right="80" w:firstLine="441"/>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right="40" w:firstLine="441"/>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78" w:lineRule="exact"/>
        <w:rPr>
          <w:sz w:val="24"/>
          <w:szCs w:val="24"/>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60" w:firstLine="441"/>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ind w:right="40" w:firstLine="441"/>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ind w:left="440"/>
        <w:spacing w:after="0" w:line="207" w:lineRule="exact"/>
        <w:tabs>
          <w:tab w:leader="none" w:pos="8780" w:val="left"/>
          <w:tab w:leader="none" w:pos="94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4"/>
          <w:szCs w:val="24"/>
          <w:color w:val="auto"/>
        </w:rPr>
      </w:pPr>
    </w:p>
    <w:p>
      <w:pPr>
        <w:ind w:right="460" w:firstLine="441"/>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computed by reference to the price at which the common equity was sold, or the average bid and asked price of such common equity, as of June 30, 2022 was $139 million.</w:t>
      </w:r>
    </w:p>
    <w:p>
      <w:pPr>
        <w:sectPr>
          <w:pgSz w:w="11900" w:h="16900" w:orient="portrait"/>
          <w:cols w:equalWidth="0" w:num="1">
            <w:col w:w="11240"/>
          </w:cols>
          <w:pgMar w:left="320" w:top="516"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The number of shares outstanding of the registrant’s common stock as of February 28, 2022 was 59,357,893.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230505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324485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470535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99"/>
          </w:cols>
          <w:pgMar w:left="760" w:top="33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160" w:type="dxa"/>
            <w:vAlign w:val="bottom"/>
            <w:gridSpan w:val="8"/>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9"/>
              </w:rPr>
              <w:t>INDEX TO FORM 10-K</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40" w:type="dxa"/>
            <w:vAlign w:val="bottom"/>
            <w:gridSpan w:val="11"/>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2"/>
        </w:trPr>
        <w:tc>
          <w:tcPr>
            <w:tcW w:w="82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6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2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60" w:type="dxa"/>
            <w:vAlign w:val="bottom"/>
            <w:shd w:val="clear" w:color="auto" w:fill="CCEEFF"/>
          </w:tcPr>
          <w:p>
            <w:pPr>
              <w:spacing w:after="0"/>
              <w:rPr>
                <w:sz w:val="15"/>
                <w:szCs w:val="15"/>
                <w:color w:val="auto"/>
              </w:rPr>
            </w:pPr>
          </w:p>
        </w:tc>
        <w:tc>
          <w:tcPr>
            <w:tcW w:w="950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Business</w:t>
              </w:r>
            </w:hyperlink>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60" w:type="dxa"/>
            <w:vAlign w:val="bottom"/>
          </w:tcPr>
          <w:p>
            <w:pPr>
              <w:spacing w:after="0"/>
              <w:rPr>
                <w:sz w:val="15"/>
                <w:szCs w:val="15"/>
                <w:color w:val="auto"/>
              </w:rPr>
            </w:pPr>
          </w:p>
        </w:tc>
        <w:tc>
          <w:tcPr>
            <w:tcW w:w="9500" w:type="dxa"/>
            <w:vAlign w:val="bottom"/>
            <w:gridSpan w:val="22"/>
          </w:tcPr>
          <w:p>
            <w:pPr>
              <w:spacing w:after="0" w:line="17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Risk Factors</w:t>
              </w:r>
            </w:hyperlink>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6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Unresolved Staff Comments</w:t>
              </w:r>
            </w:hyperlink>
          </w:p>
        </w:tc>
        <w:tc>
          <w:tcPr>
            <w:tcW w:w="7440" w:type="dxa"/>
            <w:vAlign w:val="bottom"/>
            <w:tcBorders>
              <w:bottom w:val="single" w:sz="8" w:color="CCEEFF"/>
            </w:tcBorders>
            <w:gridSpan w:val="11"/>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23"/>
          </w:tcPr>
          <w:p>
            <w:pPr>
              <w:ind w:left="60"/>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Properties</w:t>
              </w:r>
            </w:hyperlink>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0000EE"/>
            </w:tcBorders>
            <w:gridSpan w:val="7"/>
            <w:shd w:val="clear" w:color="auto" w:fill="CCEEFF"/>
          </w:tcPr>
          <w:p>
            <w:pPr>
              <w:spacing w:after="0" w:line="176" w:lineRule="exact"/>
              <w:rPr>
                <w:rFonts w:ascii="Times New Roman" w:cs="Times New Roman" w:eastAsia="Times New Roman" w:hAnsi="Times New Roman"/>
                <w:sz w:val="18"/>
                <w:szCs w:val="18"/>
                <w:color w:val="0000EE"/>
                <w:w w:val="98"/>
              </w:rPr>
            </w:pPr>
            <w:hyperlink w:anchor="page28">
              <w:r>
                <w:rPr>
                  <w:rFonts w:ascii="Times New Roman" w:cs="Times New Roman" w:eastAsia="Times New Roman" w:hAnsi="Times New Roman"/>
                  <w:sz w:val="18"/>
                  <w:szCs w:val="18"/>
                  <w:color w:val="0000EE"/>
                  <w:w w:val="98"/>
                </w:rPr>
                <w:t>Legal Proceedings</w:t>
              </w:r>
            </w:hyperlink>
          </w:p>
        </w:tc>
        <w:tc>
          <w:tcPr>
            <w:tcW w:w="8160" w:type="dxa"/>
            <w:vAlign w:val="bottom"/>
            <w:tcBorders>
              <w:bottom w:val="single" w:sz="8" w:color="CCEEFF"/>
            </w:tcBorders>
            <w:gridSpan w:val="15"/>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23"/>
          </w:tcPr>
          <w:p>
            <w:pPr>
              <w:ind w:left="60"/>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Mine Safety Disclosure</w:t>
              </w:r>
            </w:hyperlink>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60" w:type="dxa"/>
            <w:vAlign w:val="bottom"/>
            <w:tcBorders>
              <w:bottom w:val="single" w:sz="8" w:color="CCEEFF"/>
            </w:tcBorders>
            <w:shd w:val="clear" w:color="auto" w:fill="CCEEFF"/>
          </w:tcPr>
          <w:p>
            <w:pPr>
              <w:spacing w:after="0"/>
              <w:rPr>
                <w:sz w:val="17"/>
                <w:szCs w:val="17"/>
                <w:color w:val="auto"/>
              </w:rPr>
            </w:pPr>
          </w:p>
        </w:tc>
        <w:tc>
          <w:tcPr>
            <w:tcW w:w="8080" w:type="dxa"/>
            <w:vAlign w:val="bottom"/>
            <w:tcBorders>
              <w:bottom w:val="single" w:sz="8" w:color="0000EE"/>
            </w:tcBorders>
            <w:gridSpan w:val="21"/>
            <w:shd w:val="clear" w:color="auto" w:fill="CCEEFF"/>
          </w:tcPr>
          <w:p>
            <w:pPr>
              <w:spacing w:after="0" w:line="176" w:lineRule="exact"/>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Market for Registrant’s Common Equity, Related Stockholder Matters and Issuer Purchases of Equity Securities</w:t>
              </w:r>
            </w:hyperlink>
          </w:p>
        </w:tc>
        <w:tc>
          <w:tcPr>
            <w:tcW w:w="14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560" w:type="dxa"/>
            <w:vAlign w:val="bottom"/>
            <w:gridSpan w:val="23"/>
          </w:tcPr>
          <w:p>
            <w:pPr>
              <w:ind w:left="60"/>
              <w:spacing w:after="0" w:line="17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[Reserved]</w:t>
              </w:r>
            </w:hyperlink>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60" w:type="dxa"/>
            <w:vAlign w:val="bottom"/>
            <w:shd w:val="clear" w:color="auto" w:fill="CCEEFF"/>
          </w:tcPr>
          <w:p>
            <w:pPr>
              <w:spacing w:after="0"/>
              <w:rPr>
                <w:sz w:val="17"/>
                <w:szCs w:val="17"/>
                <w:color w:val="auto"/>
              </w:rPr>
            </w:pPr>
          </w:p>
        </w:tc>
        <w:tc>
          <w:tcPr>
            <w:tcW w:w="950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Management’s Discussion and Analysis of Financial Condition and Results of Operations</w:t>
              </w:r>
            </w:hyperlink>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20" w:type="dxa"/>
            <w:vAlign w:val="bottom"/>
            <w:tcBorders>
              <w:top w:val="single" w:sz="8" w:color="CCEEFF"/>
            </w:tcBorders>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60" w:type="dxa"/>
            <w:vAlign w:val="bottom"/>
            <w:tcBorders>
              <w:top w:val="single" w:sz="8" w:color="CCEEFF"/>
            </w:tcBorders>
          </w:tcPr>
          <w:p>
            <w:pPr>
              <w:spacing w:after="0"/>
              <w:rPr>
                <w:sz w:val="15"/>
                <w:szCs w:val="15"/>
                <w:color w:val="auto"/>
              </w:rPr>
            </w:pPr>
          </w:p>
        </w:tc>
        <w:tc>
          <w:tcPr>
            <w:tcW w:w="6460" w:type="dxa"/>
            <w:vAlign w:val="bottom"/>
            <w:tcBorders>
              <w:top w:val="single" w:sz="8" w:color="0000EE"/>
            </w:tcBorders>
            <w:gridSpan w:val="18"/>
          </w:tcPr>
          <w:p>
            <w:pPr>
              <w:spacing w:after="0" w:line="17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Quantitative and Qualitative Discussions About Market Risk</w:t>
              </w:r>
            </w:hyperlink>
          </w:p>
        </w:tc>
        <w:tc>
          <w:tcPr>
            <w:tcW w:w="3040" w:type="dxa"/>
            <w:vAlign w:val="bottom"/>
            <w:tcBorders>
              <w:top w:val="single" w:sz="8" w:color="CCEEFF"/>
            </w:tcBorders>
            <w:gridSpan w:val="4"/>
          </w:tcPr>
          <w:p>
            <w:pPr>
              <w:spacing w:after="0"/>
              <w:rPr>
                <w:sz w:val="15"/>
                <w:szCs w:val="15"/>
                <w:color w:val="auto"/>
              </w:rPr>
            </w:pPr>
          </w:p>
        </w:tc>
        <w:tc>
          <w:tcPr>
            <w:tcW w:w="8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60" w:type="dxa"/>
            <w:vAlign w:val="bottom"/>
            <w:tcBorders>
              <w:bottom w:val="single" w:sz="8" w:color="CCEEFF"/>
            </w:tcBorders>
            <w:shd w:val="clear" w:color="auto" w:fill="CCEEFF"/>
          </w:tcPr>
          <w:p>
            <w:pPr>
              <w:spacing w:after="0"/>
              <w:rPr>
                <w:sz w:val="17"/>
                <w:szCs w:val="17"/>
                <w:color w:val="auto"/>
              </w:rPr>
            </w:pPr>
          </w:p>
        </w:tc>
        <w:tc>
          <w:tcPr>
            <w:tcW w:w="334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Financial Statements and Supplementary Data</w:t>
              </w:r>
            </w:hyperlink>
          </w:p>
        </w:tc>
        <w:tc>
          <w:tcPr>
            <w:tcW w:w="6160" w:type="dxa"/>
            <w:vAlign w:val="bottom"/>
            <w:tcBorders>
              <w:bottom w:val="single" w:sz="8" w:color="CCEEFF"/>
            </w:tcBorders>
            <w:gridSpan w:val="8"/>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560" w:type="dxa"/>
            <w:vAlign w:val="bottom"/>
            <w:gridSpan w:val="23"/>
          </w:tcPr>
          <w:p>
            <w:pPr>
              <w:ind w:left="60"/>
              <w:spacing w:after="0" w:line="17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Changes in and Disagreements with Accountants on Accounting and Financial Disclosure</w:t>
              </w:r>
            </w:hyperlink>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6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Controls and Procedures</w:t>
              </w:r>
            </w:hyperlink>
          </w:p>
        </w:tc>
        <w:tc>
          <w:tcPr>
            <w:tcW w:w="7720" w:type="dxa"/>
            <w:vAlign w:val="bottom"/>
            <w:tcBorders>
              <w:bottom w:val="single" w:sz="8" w:color="CCEEFF"/>
            </w:tcBorders>
            <w:gridSpan w:val="13"/>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9560" w:type="dxa"/>
            <w:vAlign w:val="bottom"/>
            <w:gridSpan w:val="23"/>
          </w:tcPr>
          <w:p>
            <w:pPr>
              <w:ind w:left="60"/>
              <w:spacing w:after="0" w:line="17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Other Information</w:t>
              </w:r>
            </w:hyperlink>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III</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60" w:type="dxa"/>
            <w:vAlign w:val="bottom"/>
            <w:tcBorders>
              <w:bottom w:val="single" w:sz="8" w:color="CCEEFF"/>
            </w:tcBorders>
            <w:shd w:val="clear" w:color="auto" w:fill="CCEEFF"/>
          </w:tcPr>
          <w:p>
            <w:pPr>
              <w:spacing w:after="0"/>
              <w:rPr>
                <w:sz w:val="17"/>
                <w:szCs w:val="17"/>
                <w:color w:val="auto"/>
              </w:rPr>
            </w:pPr>
          </w:p>
        </w:tc>
        <w:tc>
          <w:tcPr>
            <w:tcW w:w="41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Directors, Executive Officers and Corporate Governance</w:t>
              </w:r>
            </w:hyperlink>
          </w:p>
        </w:tc>
        <w:tc>
          <w:tcPr>
            <w:tcW w:w="5400" w:type="dxa"/>
            <w:vAlign w:val="bottom"/>
            <w:tcBorders>
              <w:bottom w:val="single" w:sz="8" w:color="CCEEFF"/>
            </w:tcBorders>
            <w:gridSpan w:val="7"/>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560" w:type="dxa"/>
            <w:vAlign w:val="bottom"/>
            <w:gridSpan w:val="23"/>
          </w:tcPr>
          <w:p>
            <w:pPr>
              <w:ind w:left="60"/>
              <w:spacing w:after="0" w:line="17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Executive Compensation</w:t>
              </w:r>
            </w:hyperlink>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60" w:type="dxa"/>
            <w:vAlign w:val="bottom"/>
            <w:tcBorders>
              <w:bottom w:val="single" w:sz="8" w:color="CCEEFF"/>
            </w:tcBorders>
            <w:shd w:val="clear" w:color="auto" w:fill="CCEEFF"/>
          </w:tcPr>
          <w:p>
            <w:pPr>
              <w:spacing w:after="0"/>
              <w:rPr>
                <w:sz w:val="17"/>
                <w:szCs w:val="17"/>
                <w:color w:val="auto"/>
              </w:rPr>
            </w:pPr>
          </w:p>
        </w:tc>
        <w:tc>
          <w:tcPr>
            <w:tcW w:w="730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Security Ownership of Certain Beneficial Owners and Management and Related Stockholder Matters</w:t>
              </w:r>
            </w:hyperlink>
          </w:p>
        </w:tc>
        <w:tc>
          <w:tcPr>
            <w:tcW w:w="2200" w:type="dxa"/>
            <w:vAlign w:val="bottom"/>
            <w:tcBorders>
              <w:bottom w:val="single" w:sz="8" w:color="CCEEFF"/>
            </w:tcBorders>
            <w:gridSpan w:val="2"/>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560" w:type="dxa"/>
            <w:vAlign w:val="bottom"/>
            <w:gridSpan w:val="23"/>
          </w:tcPr>
          <w:p>
            <w:pPr>
              <w:ind w:left="60"/>
              <w:spacing w:after="0" w:line="17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Certain Relationships, Related Transactions and Director Independence</w:t>
              </w:r>
            </w:hyperlink>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560" w:type="dxa"/>
            <w:vAlign w:val="bottom"/>
            <w:gridSpan w:val="23"/>
            <w:shd w:val="clear" w:color="auto" w:fill="CCEEFF"/>
          </w:tcPr>
          <w:p>
            <w:pPr>
              <w:ind w:left="60"/>
              <w:spacing w:after="0" w:line="17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Principal Accountant Fees and Services</w:t>
              </w:r>
            </w:hyperlink>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IV</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20" w:type="dxa"/>
            <w:vAlign w:val="bottom"/>
            <w:tcBorders>
              <w:top w:val="single" w:sz="8" w:color="auto"/>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w w:val="98"/>
              </w:rPr>
              <w:t>ITEM 15.</w:t>
            </w:r>
          </w:p>
        </w:tc>
        <w:tc>
          <w:tcPr>
            <w:tcW w:w="100" w:type="dxa"/>
            <w:vAlign w:val="bottom"/>
            <w:tcBorders>
              <w:top w:val="single" w:sz="8" w:color="CCEEFF"/>
            </w:tcBorders>
            <w:gridSpan w:val="2"/>
          </w:tcPr>
          <w:p>
            <w:pPr>
              <w:spacing w:after="0"/>
              <w:rPr>
                <w:sz w:val="15"/>
                <w:szCs w:val="15"/>
                <w:color w:val="auto"/>
              </w:rPr>
            </w:pPr>
          </w:p>
        </w:tc>
        <w:tc>
          <w:tcPr>
            <w:tcW w:w="9560" w:type="dxa"/>
            <w:vAlign w:val="bottom"/>
            <w:tcBorders>
              <w:top w:val="single" w:sz="8" w:color="CCEEFF"/>
            </w:tcBorders>
            <w:gridSpan w:val="23"/>
          </w:tcPr>
          <w:p>
            <w:pPr>
              <w:ind w:left="60"/>
              <w:spacing w:after="0" w:line="17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Exhibits and Financial Statement Schedules</w:t>
              </w:r>
            </w:hyperlink>
          </w:p>
        </w:tc>
        <w:tc>
          <w:tcPr>
            <w:tcW w:w="8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80" w:type="dxa"/>
            <w:vAlign w:val="bottom"/>
            <w:gridSpan w:val="28"/>
            <w:shd w:val="clear" w:color="auto" w:fill="CCEEFF"/>
          </w:tcPr>
          <w:p>
            <w:pPr>
              <w:spacing w:after="0" w:line="17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SIGNATURES</w:t>
              </w:r>
            </w:hyperlink>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6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13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1420" w:type="dxa"/>
            <w:vAlign w:val="bottom"/>
            <w:tcBorders>
              <w:top w:val="single" w:sz="8" w:color="CCEEFF"/>
              <w:bottom w:val="single" w:sz="8" w:color="auto"/>
            </w:tcBorders>
          </w:tcPr>
          <w:p>
            <w:pPr>
              <w:spacing w:after="0"/>
              <w:rPr>
                <w:sz w:val="24"/>
                <w:szCs w:val="24"/>
                <w:color w:val="auto"/>
              </w:rPr>
            </w:pPr>
          </w:p>
        </w:tc>
        <w:tc>
          <w:tcPr>
            <w:tcW w:w="86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We are a clinical stage biopharmaceutical company engaged in drug research and development to create new therapies for fibrotic disease, cancer and selected other diseases. Our drug candidates are based on our method of targeting galectin proteins, which are key mediators of biologic and pathologic functions. We use naturally occurring, readily-available plant products as starting material in manufacturing processes to create proprietary, patented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 proteins have a demonstrated role in the pathogenesis of a given disease. We focus on diseases with serious, life-threatening consequences and those where current treatment options are limited specifically in NASH (non-alcoholic steatohepatitis) with cirrhosis and certain cancer indications. Our strategy is to establish and implement clinical development programs that add value to our business in the shortest period of time possible and to seek strategic partners when one of our programs becomes advanced and requires significant additional resources.</w:t>
      </w:r>
    </w:p>
    <w:p>
      <w:pPr>
        <w:spacing w:after="0" w:line="194"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Our lead galectin-3 inhibitor is belapectin (GR-MD-02), which has been demonstrated in preclinical models to reverse liver fibrosis and cirrhosis and in clinical studies to decrease portal hypertension and prevent its complication: the development of esophageal varices. Belapectin has the potential to treat many diseases due to galectin-3’s involvement in multiple key biological pathways such as fibrosis, immune cell function and immunity, cell differentiation, cell growth, and apoptosis (cell death). The importance of galectin-3 in the fibrotic process is supported by experimental evidence. Animals with the galectin-3 gene “knocked-out” can no longer develop fibrosis in response to experimental stimuli compared to animals with an intact galectin-3 gene. We are using our galectin-3 inhibitor to treat advanced liver fibrosis and liver cirrhosis in NASH patients. We have completed two Phase 1 clinical studies, a Phase 2 clinical study in NASH patients with advanced fibrosis (NASH-FX) and a second Phase 2b clinical trial in NASH patients with compensated cirrhosis and portal hypertension (NASH-CX).</w:t>
      </w:r>
    </w:p>
    <w:p>
      <w:pPr>
        <w:spacing w:after="0" w:line="192" w:lineRule="exact"/>
        <w:rPr>
          <w:sz w:val="20"/>
          <w:szCs w:val="20"/>
          <w:color w:val="auto"/>
        </w:rPr>
      </w:pPr>
    </w:p>
    <w:p>
      <w:pPr>
        <w:ind w:right="100" w:firstLine="441"/>
        <w:spacing w:after="0" w:line="256" w:lineRule="auto"/>
        <w:rPr>
          <w:sz w:val="20"/>
          <w:szCs w:val="20"/>
          <w:color w:val="auto"/>
        </w:rPr>
      </w:pPr>
      <w:r>
        <w:rPr>
          <w:rFonts w:ascii="Times New Roman" w:cs="Times New Roman" w:eastAsia="Times New Roman" w:hAnsi="Times New Roman"/>
          <w:sz w:val="18"/>
          <w:szCs w:val="18"/>
          <w:color w:val="auto"/>
        </w:rPr>
        <w:t xml:space="preserve">We are now engaged in a large, global Phase 2b/3 clinical trial. Our study protocol was filed with the FDA on April 30, 2020, for a seamless adaptively-designed Phase 2b/3 clinical study, the NAVIGATE trial (formerly called NASH-RX), evaluating the safety and efficacy of our galectin-3 inhibitor, belapectin, for the prevention of esophageal varices in patients with non-alcoholic steatohepatitis (NASH) cirrhosis (Further details are available at </w:t>
      </w:r>
      <w:r>
        <w:rPr>
          <w:rFonts w:ascii="Times New Roman" w:cs="Times New Roman" w:eastAsia="Times New Roman" w:hAnsi="Times New Roman"/>
          <w:sz w:val="18"/>
          <w:szCs w:val="18"/>
          <w:u w:val="single" w:color="auto"/>
          <w:color w:val="auto"/>
        </w:rPr>
        <w:t>www.clinicaltrials.gov</w:t>
      </w:r>
      <w:r>
        <w:rPr>
          <w:rFonts w:ascii="Times New Roman" w:cs="Times New Roman" w:eastAsia="Times New Roman" w:hAnsi="Times New Roman"/>
          <w:sz w:val="18"/>
          <w:szCs w:val="18"/>
          <w:color w:val="auto"/>
        </w:rPr>
        <w:t xml:space="preserve"> under study NCT04365868); this study began enrolling patients in Q2-2020. In September 2020, the Company received a letter from the FDA providing comments, asking questions and providing guidance on various aspects of the ongoing NAVIGATE trial. These comments were addressed, and the study proceeded accordingly.</w:t>
      </w:r>
    </w:p>
    <w:p>
      <w:pPr>
        <w:spacing w:after="0" w:line="187" w:lineRule="exact"/>
        <w:rPr>
          <w:sz w:val="20"/>
          <w:szCs w:val="20"/>
          <w:color w:val="auto"/>
        </w:rPr>
      </w:pPr>
    </w:p>
    <w:p>
      <w:pPr>
        <w:ind w:right="240" w:firstLine="441"/>
        <w:spacing w:after="0" w:line="261" w:lineRule="auto"/>
        <w:rPr>
          <w:sz w:val="20"/>
          <w:szCs w:val="20"/>
          <w:color w:val="auto"/>
        </w:rPr>
      </w:pPr>
      <w:r>
        <w:rPr>
          <w:rFonts w:ascii="Times New Roman" w:cs="Times New Roman" w:eastAsia="Times New Roman" w:hAnsi="Times New Roman"/>
          <w:sz w:val="18"/>
          <w:szCs w:val="18"/>
          <w:color w:val="auto"/>
        </w:rPr>
        <w:t xml:space="preserve">Additionally, a study protocol entitled “A Single-dose, Open-label, Pharmacokinetic Study of Belapectin (GR-MD-02) in Subjects With Normal Hepatic Function and Subjects With Varying Degrees of Hepatic Impairment” has been filed with the FDA to examine the effects of the drug in subjects with normal hepatic function and subjects with varying degrees of hepatic impairment (study details are listed under study NCT04332432 on </w:t>
      </w:r>
      <w:r>
        <w:rPr>
          <w:rFonts w:ascii="Times New Roman" w:cs="Times New Roman" w:eastAsia="Times New Roman" w:hAnsi="Times New Roman"/>
          <w:sz w:val="18"/>
          <w:szCs w:val="18"/>
          <w:u w:val="single" w:color="auto"/>
          <w:color w:val="auto"/>
        </w:rPr>
        <w:t>www.clinicaltrials.gov</w:t>
      </w:r>
      <w:r>
        <w:rPr>
          <w:rFonts w:ascii="Times New Roman" w:cs="Times New Roman" w:eastAsia="Times New Roman" w:hAnsi="Times New Roman"/>
          <w:sz w:val="18"/>
          <w:szCs w:val="18"/>
          <w:color w:val="auto"/>
        </w:rPr>
        <w:t>); this study became fully enrolled in February 2022.</w:t>
      </w:r>
    </w:p>
    <w:p>
      <w:pPr>
        <w:spacing w:after="0" w:line="180" w:lineRule="exact"/>
        <w:rPr>
          <w:sz w:val="20"/>
          <w:szCs w:val="20"/>
          <w:color w:val="auto"/>
        </w:rPr>
      </w:pPr>
    </w:p>
    <w:p>
      <w:pPr>
        <w:ind w:right="160" w:firstLine="441"/>
        <w:spacing w:after="0" w:line="256" w:lineRule="auto"/>
        <w:rPr>
          <w:sz w:val="20"/>
          <w:szCs w:val="20"/>
          <w:color w:val="auto"/>
        </w:rPr>
      </w:pPr>
      <w:r>
        <w:rPr>
          <w:rFonts w:ascii="Times New Roman" w:cs="Times New Roman" w:eastAsia="Times New Roman" w:hAnsi="Times New Roman"/>
          <w:sz w:val="18"/>
          <w:szCs w:val="18"/>
          <w:color w:val="auto"/>
        </w:rPr>
        <w:t>We endeavor to leverage our scientific and product development expertise as well as established relationships with outside sources to achieve cost-effective and efficient drug development. These outside sources, amongst others, provide us with expertise in preclinical models, pharmaceutical development, toxicology, clinical trial operations, pharmaceutical manufacturing, including physical and chemical drug characterization, and commercial development. We also have established through our majority-owned joint venture subsidiary, Galectin Sciences LLC, a discovery program developing small molecules that inhibit galectin-3 and may afford alternative drug delivery (e.g., oral) and as a result expand the potential uses of galectin-3 inhibitor beyond belapectin. Three chemical series of composition of matter patents have been filed.</w:t>
      </w:r>
    </w:p>
    <w:p>
      <w:pPr>
        <w:spacing w:after="0" w:line="187"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We are also pursuing a development pathway to clinical enhancement and commercialization for our lead compounds in immuno-oncology following our previous successful collaboration with Providence Portland Cancer Center. We are now planning a phase 2 trial in advanced or metastatic head and neck cancer using belapectin in combination with a checkpoint (PD-1) inhibitor. All of our proposed products are presently in development, including pre-clinical and clinical trials.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 w:name="page5"/>
    <w:bookmarkEnd w:id="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We were founded in July 2000 as Pro-Pharmaceuticals, Inc., a Massachusetts corporation. On April 25, 2001, DTR-Med Pharma Corp. (“DTR”), which was incorporated in Nevada on January 26, 2001, entered into a stock exchange agreement with Pro-Pharmaceuticals, Inc., whereby DTR acquired all of the outstanding shares of common stock of Pro-Pharmaceuticals, Inc. On May 10, 2001, DTR changed its name to “Pro-Pharmaceuticals, Inc.” and on June 7, 2001, the Massachusetts corporation was merged into the Nevada corporation. On May 26, 2011, Pro-Pharmaceuticals, Inc. changed its name to “Galectin Therapeutics Inc.” In October 2012, we moved our headquarters to a suburb of Atlanta, GA to be closer to a center of discovery collaboration while maintaining a laboratory operation in the Boston area.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Drug Development Programs</w:t>
      </w:r>
    </w:p>
    <w:p>
      <w:pPr>
        <w:spacing w:after="0" w:line="229"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Galectins are a class of proteins that are made by many cells in the body, but predominantly in cells of the immune system. As a group, these proteins are able to bind to sugar molecules that are attached to other proteins, called glycoproteins that are responsible for various functions within the body, most notably inflammation and fibrosis. Galectins, in particular galectin-3,act as a molecular glue, bringing together molecules that have sugars on them. Galectin-3, is known to be markedly increased in a number of important diseases including inflammatory diseases leading to organs scarring (e.g. liver, lung, kidney, and heart) and cancers. The increase in galectin-3 , by creating the so-called galectin-3 fibrosome, promotes the progression of multiple diseases. Published data substantiating the importance of galectin-3 in the fibrotic process arises from gene knockout experiments in animal studies. For instance, mice genetically altered to eliminate the galectin-3 gene, and thus unable to produce galectin-3, do not develop liver fibrosis in response to toxic insult to the liver.</w:t>
      </w:r>
    </w:p>
    <w:p>
      <w:pPr>
        <w:spacing w:after="0" w:line="192"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We have one new proprietary chemical entity (NCE) in development, belapectin, which has shown promise in preclinical and clinical studies for the treatment of liver fibrosis, severe skin disease, and cancer (melanoma and head and neck squamous cell carcinoma). Currently we are focusing on development of belapectin for the treatment of NASH cirrhosis and Head and neck cancer. Belapectin is a proprietary, patented compound derived from natural, plant-based, starting materials, which, following chemical processing, exhibits the properties of binding to and inhibiting galectin-3.</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product pipeline is shown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172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Drug</w:t>
            </w:r>
          </w:p>
        </w:tc>
        <w:tc>
          <w:tcPr>
            <w:tcW w:w="6560" w:type="dxa"/>
            <w:vAlign w:val="bottom"/>
          </w:tcPr>
          <w:p>
            <w:pPr>
              <w:ind w:left="3220"/>
              <w:spacing w:after="0"/>
              <w:rPr>
                <w:sz w:val="20"/>
                <w:szCs w:val="20"/>
                <w:color w:val="auto"/>
              </w:rPr>
            </w:pPr>
            <w:r>
              <w:rPr>
                <w:rFonts w:ascii="Times New Roman" w:cs="Times New Roman" w:eastAsia="Times New Roman" w:hAnsi="Times New Roman"/>
                <w:sz w:val="18"/>
                <w:szCs w:val="18"/>
                <w:b w:val="1"/>
                <w:bCs w:val="1"/>
                <w:color w:val="auto"/>
              </w:rPr>
              <w:t>Status</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Prevention of esophageal varices in</w:t>
            </w:r>
          </w:p>
        </w:tc>
        <w:tc>
          <w:tcPr>
            <w:tcW w:w="1720" w:type="dxa"/>
            <w:vAlign w:val="bottom"/>
          </w:tcPr>
          <w:p>
            <w:pPr>
              <w:spacing w:after="0"/>
              <w:rPr>
                <w:sz w:val="18"/>
                <w:szCs w:val="18"/>
                <w:color w:val="auto"/>
              </w:rPr>
            </w:pPr>
          </w:p>
        </w:tc>
        <w:tc>
          <w:tcPr>
            <w:tcW w:w="6560" w:type="dxa"/>
            <w:vAlign w:val="bottom"/>
          </w:tcPr>
          <w:p>
            <w:pPr>
              <w:spacing w:after="0"/>
              <w:rPr>
                <w:sz w:val="18"/>
                <w:szCs w:val="18"/>
                <w:color w:val="auto"/>
              </w:rPr>
            </w:pPr>
          </w:p>
        </w:tc>
      </w:tr>
      <w:tr>
        <w:trPr>
          <w:trHeight w:val="238"/>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NASH cirrhosis</w:t>
            </w:r>
          </w:p>
        </w:tc>
        <w:tc>
          <w:tcPr>
            <w:tcW w:w="1720" w:type="dxa"/>
            <w:vAlign w:val="bottom"/>
          </w:tcPr>
          <w:p>
            <w:pPr>
              <w:spacing w:after="0"/>
              <w:rPr>
                <w:sz w:val="20"/>
                <w:szCs w:val="20"/>
                <w:color w:val="auto"/>
              </w:rPr>
            </w:pPr>
          </w:p>
        </w:tc>
        <w:tc>
          <w:tcPr>
            <w:tcW w:w="6560" w:type="dxa"/>
            <w:vAlign w:val="bottom"/>
          </w:tcPr>
          <w:p>
            <w:pPr>
              <w:spacing w:after="0"/>
              <w:rPr>
                <w:sz w:val="20"/>
                <w:szCs w:val="20"/>
                <w:color w:val="auto"/>
              </w:rPr>
            </w:pPr>
          </w:p>
        </w:tc>
      </w:tr>
      <w:tr>
        <w:trPr>
          <w:trHeight w:val="41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Phase 1 interaction trial:</w:t>
            </w:r>
          </w:p>
        </w:tc>
        <w:tc>
          <w:tcPr>
            <w:tcW w:w="1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belapectin</w:t>
            </w:r>
          </w:p>
        </w:tc>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IND submitted January 2013. Results from the Phase 1 interaction trial were reported</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NASH-CX trial and</w:t>
            </w:r>
          </w:p>
        </w:tc>
        <w:tc>
          <w:tcPr>
            <w:tcW w:w="1720" w:type="dxa"/>
            <w:vAlign w:val="bottom"/>
          </w:tcPr>
          <w:p>
            <w:pPr>
              <w:spacing w:after="0"/>
              <w:rPr>
                <w:sz w:val="18"/>
                <w:szCs w:val="18"/>
                <w:color w:val="auto"/>
              </w:rPr>
            </w:pPr>
          </w:p>
        </w:tc>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 2014, with final results reported in January 2015.</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NASH-FX trial</w:t>
            </w:r>
          </w:p>
        </w:tc>
        <w:tc>
          <w:tcPr>
            <w:tcW w:w="1720" w:type="dxa"/>
            <w:vAlign w:val="bottom"/>
          </w:tcPr>
          <w:p>
            <w:pPr>
              <w:spacing w:after="0"/>
              <w:rPr>
                <w:sz w:val="18"/>
                <w:szCs w:val="18"/>
                <w:color w:val="auto"/>
              </w:rPr>
            </w:pPr>
          </w:p>
        </w:tc>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Phase 2 NASH FX trial was conducted in patients with advanced fibrosis but not</w:t>
            </w:r>
          </w:p>
        </w:tc>
      </w:tr>
      <w:tr>
        <w:trPr>
          <w:trHeight w:val="216"/>
        </w:trPr>
        <w:tc>
          <w:tcPr>
            <w:tcW w:w="2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cirrhosis. Its principal purpose was to evaluate various imaging modalities. The</w:t>
            </w:r>
          </w:p>
        </w:tc>
      </w:tr>
      <w:tr>
        <w:trPr>
          <w:trHeight w:val="216"/>
        </w:trPr>
        <w:tc>
          <w:tcPr>
            <w:tcW w:w="2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NASH FX trial top line data was reported in September 2016 and published in</w:t>
            </w:r>
          </w:p>
        </w:tc>
      </w:tr>
      <w:tr>
        <w:trPr>
          <w:trHeight w:val="234"/>
        </w:trPr>
        <w:tc>
          <w:tcPr>
            <w:tcW w:w="29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Alimentary Pharmacology and Therapeutics in 2016.</w:t>
            </w:r>
          </w:p>
        </w:tc>
      </w:tr>
      <w:tr>
        <w:trPr>
          <w:trHeight w:val="414"/>
        </w:trPr>
        <w:tc>
          <w:tcPr>
            <w:tcW w:w="2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Phase 2 NASH CX trial was conducted in patients with compensated cirrhosis</w:t>
            </w:r>
          </w:p>
        </w:tc>
      </w:tr>
      <w:tr>
        <w:trPr>
          <w:trHeight w:val="214"/>
        </w:trPr>
        <w:tc>
          <w:tcPr>
            <w:tcW w:w="2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portal hypertension. The NASH CX trial top line data was reported in December</w:t>
            </w:r>
          </w:p>
        </w:tc>
      </w:tr>
      <w:tr>
        <w:trPr>
          <w:trHeight w:val="236"/>
        </w:trPr>
        <w:tc>
          <w:tcPr>
            <w:tcW w:w="29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2017 and was published in </w:t>
            </w:r>
            <w:r>
              <w:rPr>
                <w:rFonts w:ascii="Times New Roman" w:cs="Times New Roman" w:eastAsia="Times New Roman" w:hAnsi="Times New Roman"/>
                <w:sz w:val="18"/>
                <w:szCs w:val="18"/>
                <w:i w:val="1"/>
                <w:iCs w:val="1"/>
                <w:color w:val="auto"/>
              </w:rPr>
              <w:t>Gastroenterology</w:t>
            </w:r>
            <w:r>
              <w:rPr>
                <w:rFonts w:ascii="Times New Roman" w:cs="Times New Roman" w:eastAsia="Times New Roman" w:hAnsi="Times New Roman"/>
                <w:sz w:val="18"/>
                <w:szCs w:val="18"/>
                <w:color w:val="auto"/>
              </w:rPr>
              <w:t xml:space="preserve"> in 2020.</w:t>
            </w:r>
          </w:p>
        </w:tc>
      </w:tr>
      <w:tr>
        <w:trPr>
          <w:trHeight w:val="570"/>
        </w:trPr>
        <w:tc>
          <w:tcPr>
            <w:tcW w:w="2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5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2</w:t>
            </w:r>
          </w:p>
        </w:tc>
      </w:tr>
      <w:tr>
        <w:trPr>
          <w:trHeight w:val="44"/>
        </w:trPr>
        <w:tc>
          <w:tcPr>
            <w:tcW w:w="296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65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gridSpan w:val="2"/>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1640" w:type="dxa"/>
            <w:vAlign w:val="bottom"/>
          </w:tcPr>
          <w:p>
            <w:pPr>
              <w:spacing w:after="0"/>
              <w:rPr>
                <w:sz w:val="13"/>
                <w:szCs w:val="13"/>
                <w:color w:val="auto"/>
              </w:rPr>
            </w:pPr>
          </w:p>
        </w:tc>
        <w:tc>
          <w:tcPr>
            <w:tcW w:w="656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367"/>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164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Drug</w:t>
            </w:r>
          </w:p>
        </w:tc>
        <w:tc>
          <w:tcPr>
            <w:tcW w:w="6560" w:type="dxa"/>
            <w:vAlign w:val="bottom"/>
          </w:tcPr>
          <w:p>
            <w:pPr>
              <w:ind w:left="3220"/>
              <w:spacing w:after="0"/>
              <w:rPr>
                <w:sz w:val="20"/>
                <w:szCs w:val="20"/>
                <w:color w:val="auto"/>
              </w:rPr>
            </w:pPr>
            <w:r>
              <w:rPr>
                <w:rFonts w:ascii="Times New Roman" w:cs="Times New Roman" w:eastAsia="Times New Roman" w:hAnsi="Times New Roman"/>
                <w:sz w:val="18"/>
                <w:szCs w:val="18"/>
                <w:b w:val="1"/>
                <w:bCs w:val="1"/>
                <w:color w:val="auto"/>
              </w:rPr>
              <w:t>Status</w:t>
            </w: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NASH NAVIGATE</w:t>
            </w:r>
          </w:p>
        </w:tc>
        <w:tc>
          <w:tcPr>
            <w:tcW w:w="1640" w:type="dxa"/>
            <w:vAlign w:val="bottom"/>
          </w:tcPr>
          <w:p>
            <w:pPr>
              <w:spacing w:after="0"/>
              <w:rPr>
                <w:sz w:val="18"/>
                <w:szCs w:val="18"/>
                <w:color w:val="auto"/>
              </w:rPr>
            </w:pPr>
          </w:p>
        </w:tc>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Following FDA feedback, the NAVIGATE trial is an adaptive Phase 2b/3 trial for the</w:t>
            </w:r>
          </w:p>
        </w:tc>
      </w:tr>
      <w:tr>
        <w:trPr>
          <w:trHeight w:val="216"/>
        </w:trPr>
        <w:tc>
          <w:tcPr>
            <w:tcW w:w="3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prevention of esophageal varices in NASH patients with compensated cirrhosis and</w:t>
            </w:r>
          </w:p>
        </w:tc>
      </w:tr>
      <w:tr>
        <w:trPr>
          <w:trHeight w:val="216"/>
        </w:trPr>
        <w:tc>
          <w:tcPr>
            <w:tcW w:w="3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clinical signs of portal hypertension. A Phase 2b interim efficacy analysis will be</w:t>
            </w:r>
          </w:p>
        </w:tc>
      </w:tr>
      <w:tr>
        <w:trPr>
          <w:trHeight w:val="216"/>
        </w:trPr>
        <w:tc>
          <w:tcPr>
            <w:tcW w:w="3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incorporated to confirm previous Phase 2 data, select an optimal dose and reaffirm the</w:t>
            </w:r>
          </w:p>
        </w:tc>
      </w:tr>
      <w:tr>
        <w:trPr>
          <w:trHeight w:val="216"/>
        </w:trPr>
        <w:tc>
          <w:tcPr>
            <w:tcW w:w="3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risk/benefit of belapectin. The Phase 3 end of study analysis will evaluate the</w:t>
            </w:r>
          </w:p>
        </w:tc>
      </w:tr>
      <w:tr>
        <w:trPr>
          <w:trHeight w:val="216"/>
        </w:trPr>
        <w:tc>
          <w:tcPr>
            <w:tcW w:w="3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development of esophageal varices as the same primary outcome of efficacy and a</w:t>
            </w:r>
          </w:p>
        </w:tc>
      </w:tr>
      <w:tr>
        <w:trPr>
          <w:trHeight w:val="216"/>
        </w:trPr>
        <w:tc>
          <w:tcPr>
            <w:tcW w:w="3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composite clinical endpoint including progression to varices requiring treatment as a</w:t>
            </w:r>
          </w:p>
        </w:tc>
      </w:tr>
      <w:tr>
        <w:trPr>
          <w:trHeight w:val="216"/>
        </w:trPr>
        <w:tc>
          <w:tcPr>
            <w:tcW w:w="3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key secondary outcome of efficacy ( www.clinicaltrials.gov NCT04365868). The first</w:t>
            </w:r>
          </w:p>
        </w:tc>
      </w:tr>
      <w:tr>
        <w:trPr>
          <w:trHeight w:val="216"/>
        </w:trPr>
        <w:tc>
          <w:tcPr>
            <w:tcW w:w="3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patient was randomized in the third quarter of 2020.</w:t>
            </w: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Phase 1 study: hepatic insufficiency</w:t>
            </w:r>
          </w:p>
        </w:tc>
        <w:tc>
          <w:tcPr>
            <w:tcW w:w="1640" w:type="dxa"/>
            <w:vAlign w:val="bottom"/>
          </w:tcPr>
          <w:p>
            <w:pPr>
              <w:spacing w:after="0"/>
              <w:rPr>
                <w:sz w:val="18"/>
                <w:szCs w:val="18"/>
                <w:color w:val="auto"/>
              </w:rPr>
            </w:pPr>
          </w:p>
        </w:tc>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 hepatic impairment study is being conducted in subjects with normal hepatic</w:t>
            </w:r>
          </w:p>
        </w:tc>
      </w:tr>
      <w:tr>
        <w:trPr>
          <w:trHeight w:val="216"/>
        </w:trPr>
        <w:tc>
          <w:tcPr>
            <w:tcW w:w="3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function and subjects with varying degrees of hepatic impairment</w:t>
            </w:r>
          </w:p>
        </w:tc>
      </w:tr>
      <w:tr>
        <w:trPr>
          <w:trHeight w:val="216"/>
        </w:trPr>
        <w:tc>
          <w:tcPr>
            <w:tcW w:w="3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(www.clinicaltrials.gov NCT04332432) and began enrolling patients in the second</w:t>
            </w:r>
          </w:p>
        </w:tc>
      </w:tr>
      <w:tr>
        <w:trPr>
          <w:trHeight w:val="234"/>
        </w:trPr>
        <w:tc>
          <w:tcPr>
            <w:tcW w:w="3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quarter of 2020. The study completed enrollment in February 2022.</w:t>
            </w:r>
          </w:p>
        </w:tc>
      </w:tr>
      <w:tr>
        <w:trPr>
          <w:trHeight w:val="432"/>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Cancer Immunotherapy</w:t>
            </w:r>
          </w:p>
        </w:tc>
        <w:tc>
          <w:tcPr>
            <w:tcW w:w="1640" w:type="dxa"/>
            <w:vAlign w:val="bottom"/>
          </w:tcPr>
          <w:p>
            <w:pPr>
              <w:spacing w:after="0"/>
              <w:rPr>
                <w:sz w:val="24"/>
                <w:szCs w:val="24"/>
                <w:color w:val="auto"/>
              </w:rPr>
            </w:pPr>
          </w:p>
        </w:tc>
        <w:tc>
          <w:tcPr>
            <w:tcW w:w="6560" w:type="dxa"/>
            <w:vAlign w:val="bottom"/>
          </w:tcPr>
          <w:p>
            <w:pPr>
              <w:spacing w:after="0"/>
              <w:rPr>
                <w:sz w:val="24"/>
                <w:szCs w:val="24"/>
                <w:color w:val="auto"/>
              </w:rPr>
            </w:pPr>
          </w:p>
        </w:tc>
      </w:tr>
      <w:tr>
        <w:trPr>
          <w:trHeight w:val="41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Melanoma, Head, Neck Squamous Cell</w:t>
            </w:r>
          </w:p>
        </w:tc>
        <w:tc>
          <w:tcPr>
            <w:tcW w:w="1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belapectin</w:t>
            </w:r>
          </w:p>
        </w:tc>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Investigator IND study in process. A Phase 1B study began in Q-1 2016. Early data</w:t>
            </w: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Carcinoma (HNSCC)</w:t>
            </w:r>
          </w:p>
        </w:tc>
        <w:tc>
          <w:tcPr>
            <w:tcW w:w="1640" w:type="dxa"/>
            <w:vAlign w:val="bottom"/>
          </w:tcPr>
          <w:p>
            <w:pPr>
              <w:spacing w:after="0"/>
              <w:rPr>
                <w:sz w:val="18"/>
                <w:szCs w:val="18"/>
                <w:color w:val="auto"/>
              </w:rPr>
            </w:pPr>
          </w:p>
        </w:tc>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was reported in February 2017 and additional data were reported in September 2018.</w:t>
            </w:r>
          </w:p>
        </w:tc>
      </w:tr>
      <w:tr>
        <w:trPr>
          <w:trHeight w:val="216"/>
        </w:trPr>
        <w:tc>
          <w:tcPr>
            <w:tcW w:w="3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Data from an extension trial was reported in July 2021 for additional melanoma and</w:t>
            </w:r>
          </w:p>
        </w:tc>
      </w:tr>
      <w:tr>
        <w:trPr>
          <w:trHeight w:val="216"/>
        </w:trPr>
        <w:tc>
          <w:tcPr>
            <w:tcW w:w="3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HNSCC patients which provided a rational basis for additional trials which the</w:t>
            </w:r>
          </w:p>
        </w:tc>
      </w:tr>
      <w:tr>
        <w:trPr>
          <w:trHeight w:val="234"/>
        </w:trPr>
        <w:tc>
          <w:tcPr>
            <w:tcW w:w="3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 is exploring.</w:t>
            </w:r>
          </w:p>
        </w:tc>
      </w:tr>
    </w:tbl>
    <w:p>
      <w:pPr>
        <w:spacing w:after="0" w:line="196"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Liver cirrhosis. </w:t>
      </w:r>
      <w:r>
        <w:rPr>
          <w:rFonts w:ascii="Times New Roman" w:cs="Times New Roman" w:eastAsia="Times New Roman" w:hAnsi="Times New Roman"/>
          <w:sz w:val="18"/>
          <w:szCs w:val="18"/>
          <w:color w:val="auto"/>
        </w:rPr>
        <w:t>Belapectin is our lead product candidate for treatment of compensated NASH cirrhosis in patients with portal hypertension.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preclinical data show that belapectin has a significant therapeutic effect on liver fibrosis as shown in several relevant animal models. In addition, in NASH animal models, belapectin has been shown to reduce liver fat, inflammation, portal pressure, and ballooning degeneration (death of liver cells). Therefore, we chose belapectin as the lead candidate in a development program targeted initially at fibrotic liver disease associated with non-alcoholic steatohepatitis (NASH). In January 2013, an Investigational New Drug (“IND”) was submitted to the FDA with the goal of initiating a Phase 1 study in patients with NASH and advanced liver fibrosis to evaluate the safety of belapectin and pharmacodynamics biomarkers of disease. On March 1, 2013, the FDA indicated we could proceed with a US Phase 1 clinical trial for belapectin with a development program aimed at obtaining support for a proposed indication of belapectin for treatment of NASH with advanced fibrosis. The Phase 1 trial was completed and demonstrated that belapectin up to 8 mg/kg Lean Body Mass (LBM), i.v. was safe and well tolerated.</w:t>
      </w:r>
    </w:p>
    <w:p>
      <w:pPr>
        <w:spacing w:after="0" w:line="190" w:lineRule="exact"/>
        <w:rPr>
          <w:sz w:val="20"/>
          <w:szCs w:val="20"/>
          <w:color w:val="auto"/>
        </w:rPr>
      </w:pPr>
    </w:p>
    <w:p>
      <w:pPr>
        <w:ind w:right="180" w:firstLine="441"/>
        <w:spacing w:after="0" w:line="261" w:lineRule="auto"/>
        <w:rPr>
          <w:sz w:val="20"/>
          <w:szCs w:val="20"/>
          <w:color w:val="auto"/>
        </w:rPr>
      </w:pPr>
      <w:r>
        <w:rPr>
          <w:rFonts w:ascii="Times New Roman" w:cs="Times New Roman" w:eastAsia="Times New Roman" w:hAnsi="Times New Roman"/>
          <w:sz w:val="18"/>
          <w:szCs w:val="18"/>
          <w:color w:val="auto"/>
        </w:rPr>
        <w:t>Additionally, an open label drug-drug phase 1 interaction study was completed in healthy volunteers during the second quarter of 2015 with belapectin and it showed that with 8 mg/kg LBM dose of belapectin and 2 mg/kg LBM dose of midazolam there was no drug-drug interaction, and no serious adverse events or drug-related adverse events were observed. The secondary objective was to assess the safety and tolerability of belapectin when administered concomitantly with midazolam.</w:t>
      </w:r>
    </w:p>
    <w:p>
      <w:pPr>
        <w:spacing w:after="0" w:line="180"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Our Phase 2 program in fibrotic disease consisted of two separate human clinical trials. The main clinical trial was the Phase 2b NASH-CX study for one year for patients with NASH with compensated cirrhosis and portal hypertension, which began enrolling patients in June 2015. This study was a randomized, placebo-controlled, double-blind, parallel-group Phase 2b trial to evaluate the safety and efficacy of belapectin for treatment of liver fibrosis and resultant portal hypertension in NASH patients with compensated cirrhosis. A smaller, exploratory NASH-FX trial was conducted to explore potential use of various non-invasive imaging techniques in NASH patients with advanced fibrosis but not cirrhosis.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ind w:firstLine="441"/>
        <w:spacing w:after="0" w:line="220" w:lineRule="auto"/>
        <w:rPr>
          <w:sz w:val="20"/>
          <w:szCs w:val="20"/>
          <w:color w:val="auto"/>
        </w:rPr>
      </w:pPr>
      <w:r>
        <w:rPr>
          <w:rFonts w:ascii="Times New Roman" w:cs="Times New Roman" w:eastAsia="Times New Roman" w:hAnsi="Times New Roman"/>
          <w:sz w:val="18"/>
          <w:szCs w:val="18"/>
          <w:b w:val="1"/>
          <w:bCs w:val="1"/>
          <w:color w:val="auto"/>
        </w:rPr>
        <w:t xml:space="preserve">NASH-FX Trial: </w:t>
      </w:r>
      <w:r>
        <w:rPr>
          <w:rFonts w:ascii="Times New Roman" w:cs="Times New Roman" w:eastAsia="Times New Roman" w:hAnsi="Times New Roman"/>
          <w:sz w:val="18"/>
          <w:szCs w:val="18"/>
          <w:color w:val="auto"/>
        </w:rPr>
        <w:t>The NASH-FX trial was a Phase 2a pilot trial for patients with NASH and advanced fibrosis that explored use of three non-invasive imaging technologies. It was a short, single site, four-month trial in 30 NASH patients with advanced fibrosis (F3) randomized 1:1 to either 9 bi-weekly doses of 8 mg/kg LBM of belapectin or placebo. The trial did not meet its primary endpoint as measured using multi-parametric magnetic resonance imaging (LiverMultiScan</w:t>
      </w:r>
      <w:r>
        <w:rPr>
          <w:rFonts w:ascii="Times New Roman" w:cs="Times New Roman" w:eastAsia="Times New Roman" w:hAnsi="Times New Roman"/>
          <w:sz w:val="29"/>
          <w:szCs w:val="29"/>
          <w:color w:val="auto"/>
          <w:vertAlign w:val="superscript"/>
        </w:rPr>
        <w:t>(R)</w:t>
      </w:r>
      <w:r>
        <w:rPr>
          <w:rFonts w:ascii="Times New Roman" w:cs="Times New Roman" w:eastAsia="Times New Roman" w:hAnsi="Times New Roman"/>
          <w:sz w:val="18"/>
          <w:szCs w:val="18"/>
          <w:color w:val="auto"/>
        </w:rPr>
        <w:t>, Perspectum Diagnostics). The trial also did not meet secondary endpoints that measure liver stiffness as a surrogate for fibrosis using, magnetic resonance-elastography and FibroScan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score. With a four-month treatment period and a small number of patients per arm the study was not powered to demonstrate efficacy results in established advanced liver fibrosis. In the trial however, belapectin was found to be safe and well tolerated with no serious adverse events and showing evidence of a pharmacodynamic effect. These results provided support for further development in NASH.</w:t>
      </w:r>
    </w:p>
    <w:p>
      <w:pPr>
        <w:spacing w:after="0" w:line="194" w:lineRule="exact"/>
        <w:rPr>
          <w:sz w:val="20"/>
          <w:szCs w:val="20"/>
          <w:color w:val="auto"/>
        </w:rPr>
      </w:pPr>
    </w:p>
    <w:p>
      <w:pPr>
        <w:ind w:right="100" w:firstLine="441"/>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NASH-CX Trial: </w:t>
      </w:r>
      <w:r>
        <w:rPr>
          <w:rFonts w:ascii="Times New Roman" w:cs="Times New Roman" w:eastAsia="Times New Roman" w:hAnsi="Times New Roman"/>
          <w:sz w:val="17"/>
          <w:szCs w:val="17"/>
          <w:color w:val="auto"/>
        </w:rPr>
        <w:t>The NASH-CX trial was a larger multi-center clinical trial that explored the use of belapectin for the treatment of patients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well-compensated NASH cirrhosis and portal hypertension. Enrollment was completed in September 2016, and a total of 162 patients at 36 sites in the United States were randomized to receive either 2 mg/kg LBM of belapectin, 8 mg/kg LBM of belapectin or placebo. Approximately 50% of patients at baseline had esophageal varices (a complication of portal hypertension). The primary endpoint was a reduction in hepatic venous pressure gradient (HVPG), a hemodynamic measure that estimates portal hypertension. Patients received an infusion of belapectin or placebo every other week for one year and were evaluated to determine the change in HVPG as compared with placebo. Secondary or exploratory endpoints included evaluation of fibrosis on liver biopsy, measurement of liver stiffness (FibroScan</w:t>
      </w:r>
      <w:r>
        <w:rPr>
          <w:rFonts w:ascii="Times New Roman" w:cs="Times New Roman" w:eastAsia="Times New Roman" w:hAnsi="Times New Roman"/>
          <w:sz w:val="28"/>
          <w:szCs w:val="28"/>
          <w:color w:val="auto"/>
          <w:vertAlign w:val="superscript"/>
        </w:rPr>
        <w:t>(R)</w:t>
      </w:r>
      <w:r>
        <w:rPr>
          <w:rFonts w:ascii="Times New Roman" w:cs="Times New Roman" w:eastAsia="Times New Roman" w:hAnsi="Times New Roman"/>
          <w:sz w:val="17"/>
          <w:szCs w:val="17"/>
          <w:color w:val="auto"/>
        </w:rPr>
        <w:t>) and assessment of liver metabolism (</w:t>
      </w:r>
      <w:r>
        <w:rPr>
          <w:rFonts w:ascii="Times New Roman" w:cs="Times New Roman" w:eastAsia="Times New Roman" w:hAnsi="Times New Roman"/>
          <w:sz w:val="28"/>
          <w:szCs w:val="28"/>
          <w:color w:val="auto"/>
          <w:vertAlign w:val="superscript"/>
        </w:rPr>
        <w:t>13</w:t>
      </w:r>
      <w:r>
        <w:rPr>
          <w:rFonts w:ascii="Times New Roman" w:cs="Times New Roman" w:eastAsia="Times New Roman" w:hAnsi="Times New Roman"/>
          <w:sz w:val="17"/>
          <w:szCs w:val="17"/>
          <w:color w:val="auto"/>
        </w:rPr>
        <w:t>C-methacetin breath test). Top line data readout was reported in December 2017. The study demonstrated a favorable safety profile and clinically meaningful efficacy results in patients without esophageal varices at baseline as demonstrated by a decrease in portal pressure associated with the prevention of development of varices when compared to placebo.</w:t>
      </w:r>
    </w:p>
    <w:p>
      <w:pPr>
        <w:spacing w:after="0" w:line="192"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In the total patient population, the primary endpoint HVPG showed a trend toward benefit with belapectin treatment, but the difference from placebo was not statistically significant. The mean change in HVPG of placebo from baseline to week 54 was 0.3 mm Hg. The mean change in HVPG from baseline was -0.37 and -0.42 for the 2 mg/kg LBM dose and 8 mg/kg LBM dose of belapectin, respectively.</w:t>
      </w:r>
    </w:p>
    <w:p>
      <w:pPr>
        <w:spacing w:after="0" w:line="176" w:lineRule="exact"/>
        <w:rPr>
          <w:sz w:val="20"/>
          <w:szCs w:val="20"/>
          <w:color w:val="auto"/>
        </w:rPr>
      </w:pPr>
    </w:p>
    <w:p>
      <w:pPr>
        <w:ind w:right="280" w:firstLine="441"/>
        <w:spacing w:after="0" w:line="266" w:lineRule="auto"/>
        <w:rPr>
          <w:sz w:val="20"/>
          <w:szCs w:val="20"/>
          <w:color w:val="auto"/>
        </w:rPr>
      </w:pPr>
      <w:r>
        <w:rPr>
          <w:rFonts w:ascii="Times New Roman" w:cs="Times New Roman" w:eastAsia="Times New Roman" w:hAnsi="Times New Roman"/>
          <w:sz w:val="18"/>
          <w:szCs w:val="18"/>
          <w:color w:val="auto"/>
        </w:rPr>
        <w:t>In those NASH cirrhosis patients with portal hypertension who have not yet developed esophageal varices at baseline (about 50% of the total population), there was a statistically significant effect of the 2 mg/kg LBM dose of belapectin on the absolute change in HVPG (-1.08 mm Hg, p&lt;0.01). The effect of the 8 mg/Kg LBM dose of belapectin on absolute or percent change in HVPG from baseline to week 54 was not significant.</w:t>
      </w:r>
    </w:p>
    <w:p>
      <w:pPr>
        <w:spacing w:after="0" w:line="176"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Also because of the clinical relevance of this population, a responder analysis was performed on those patients without esophageal varices at baseline. Analysis was performed looking at two groups: those with an equal to or greater than 2 mm Hg decrease in HVPG from baseline or those with an equal to or greater than 2 mm Hg and a greater than or equal to 20% decrease in HVPG from baseline. In both cases, the change observed in the belapectin 2 mg/kg LBM group was statistically significant (p&lt;0.01) while that of the 8 mg/kg LBM group was not.</w:t>
      </w:r>
    </w:p>
    <w:p>
      <w:pPr>
        <w:spacing w:after="0" w:line="180" w:lineRule="exact"/>
        <w:rPr>
          <w:sz w:val="20"/>
          <w:szCs w:val="20"/>
          <w:color w:val="auto"/>
        </w:rPr>
      </w:pPr>
    </w:p>
    <w:p>
      <w:pPr>
        <w:ind w:right="60" w:firstLine="441"/>
        <w:spacing w:after="0" w:line="256" w:lineRule="auto"/>
        <w:rPr>
          <w:sz w:val="20"/>
          <w:szCs w:val="20"/>
          <w:color w:val="auto"/>
        </w:rPr>
      </w:pPr>
      <w:r>
        <w:rPr>
          <w:rFonts w:ascii="Times New Roman" w:cs="Times New Roman" w:eastAsia="Times New Roman" w:hAnsi="Times New Roman"/>
          <w:sz w:val="18"/>
          <w:szCs w:val="18"/>
          <w:color w:val="auto"/>
        </w:rPr>
        <w:t>Over the 54-week treatment period, in patients without varices at baseline there were also a statistically significantly fewer new varices that developed in the belapectin treatment groups (0% and 4% in the 2 mg/kg LBM and the 8 mg/kg LBM, respectively) vs placebo (18%). This meant that the decrease seen in portal pressure was associated with a decreased incidence of esophageal varices. The results were noticeable in the belapectin 2 mg/Kg LBM group as statistical significance against placebo was achieved for both parameters. As esophageal varices can lead to hemorrhagic complication, which can be fatal, and are a severe complication of liver cirrhosis, we believe the prevention of esophageal varices may represent a clinically relevant measure of clinical efficacy in patients with NASH cirrhosis.</w:t>
      </w:r>
    </w:p>
    <w:p>
      <w:pPr>
        <w:spacing w:after="0" w:line="187"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The major conclusions from the NASH-CX trial results were that: (i) belapectin had a statistically significant and clinically meaningful effect in improving HVPG vs placebo in patients with NASH cirrhosis who did not have esophageal varices at baseline, (ii) Belapectin in the total patient population was associated with a statistically significant improvement in hepatocyte ballooning (ie cell death), (iii) There was a statistically significant reduction (p=0.02) in the development of new esophageal varices in drug-treated patients compared to placebo. We believe that the prevention of esophageal varices is a clinically relevant endpoint related to patient outcomes, (iv) While there was a drug effect in both the 2 mg/kg LBM and 8 mg/kg LBM groups on the development of varices and liver biopsy there was a consistently greater and statistically significant effect of the 2 mg/kg LBM dose of belapectin, (v) belapectin appears to be safe and well tolerated in this one year clinical trial, a feature that is of prime importance for a cirrhotic population and (vi) This is the first large, randomized clinical trial to demonstrate a clinically meaningful improvement in portal hypertension in patients with compensated NASH cirrhosis who have not yet developed esophageal varices.</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7" w:name="page8"/>
    <w:bookmarkEnd w:id="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right="280" w:firstLine="441"/>
        <w:spacing w:after="0" w:line="282" w:lineRule="auto"/>
        <w:rPr>
          <w:sz w:val="20"/>
          <w:szCs w:val="20"/>
          <w:color w:val="auto"/>
        </w:rPr>
      </w:pPr>
      <w:r>
        <w:rPr>
          <w:rFonts w:ascii="Times New Roman" w:cs="Times New Roman" w:eastAsia="Times New Roman" w:hAnsi="Times New Roman"/>
          <w:sz w:val="18"/>
          <w:szCs w:val="18"/>
          <w:color w:val="auto"/>
        </w:rPr>
        <w:t xml:space="preserve">Further information and details on the NASH-CX results is available in public presentations posted to our website and filed with the SEC and in a peer reviewed publication in </w:t>
      </w:r>
      <w:r>
        <w:rPr>
          <w:rFonts w:ascii="Times New Roman" w:cs="Times New Roman" w:eastAsia="Times New Roman" w:hAnsi="Times New Roman"/>
          <w:sz w:val="18"/>
          <w:szCs w:val="18"/>
          <w:i w:val="1"/>
          <w:iCs w:val="1"/>
          <w:color w:val="auto"/>
        </w:rPr>
        <w:t>Gastroenterology</w:t>
      </w:r>
      <w:r>
        <w:rPr>
          <w:rFonts w:ascii="Times New Roman" w:cs="Times New Roman" w:eastAsia="Times New Roman" w:hAnsi="Times New Roman"/>
          <w:sz w:val="18"/>
          <w:szCs w:val="18"/>
          <w:color w:val="auto"/>
        </w:rPr>
        <w:t xml:space="preserve"> 2020;158:1334–1345.</w:t>
      </w:r>
    </w:p>
    <w:p>
      <w:pPr>
        <w:spacing w:after="0" w:line="158" w:lineRule="exact"/>
        <w:rPr>
          <w:sz w:val="20"/>
          <w:szCs w:val="20"/>
          <w:color w:val="auto"/>
        </w:rPr>
      </w:pPr>
    </w:p>
    <w:p>
      <w:pPr>
        <w:ind w:right="60" w:firstLine="44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NASH NAVIGATE Trial: </w:t>
      </w:r>
      <w:r>
        <w:rPr>
          <w:rFonts w:ascii="Times New Roman" w:cs="Times New Roman" w:eastAsia="Times New Roman" w:hAnsi="Times New Roman"/>
          <w:sz w:val="18"/>
          <w:szCs w:val="18"/>
          <w:color w:val="auto"/>
        </w:rPr>
        <w:t>Building on the experience of the NASH-CX trial, the NAVIGATE Trial is a seamless adaptively-designed Phase 2b/3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study evaluating the safety and efficacy of our galectin-3 inhibitor, belapectin, for the prevention of esophageal varices in patient with non-alcoholic steatohepatitis (NASH) cirrhosis. The major features of this innovative Phase 2b/3 study design are: i) In patients with NASH cirrhosis and clinical signs of portal hypertension but without esophageal varices at baseline, this trial will assess the effect of belapectin on the incidence of new varices (the primary endpoint) – as well as assessing the effect of belapectin on the incidence of additional clinically significant cirrhosis-related outcomes (a key secondary efficacy endpoint), (ii) The study targets NASH patients with a clearly identified unmet medical need: patients with compensated cirrhosis who have clinical signs of portal hypertension and, thus, are at risk of developing esophageal varices, a potentially life-threatening complication of cirrhosis (bleeding varices are a cause of death in about one-third of cirrhotic patients). There is currently no approved treatment for preventing varices in these patients. In addition, the development of esophageal varices reflects the progression of hepatic cirrhosis and thus portends the development of other cirrhosis complications such as ascites, hepatic encephalopathy, and liver failure, and (iii) During the first 18 months, two belapectin dose levels (2 mg/kg LBM and 4 mg/kg LBM) will be compared to placebo (phase 2b). Then, at the interim analysis (IA), the best belapectin dose will be selected, based on efficacy and safety, for continued evaluation (Phase 3). The belapectin dose selected for the phase 2b/3 were based on the analysis of the NASH-CX trial. Prior belapectin clinical studies have also indicated the good tolerance and safety profile of belapectin with doses of up to 8 mg/kg LBM for up to 52 weeks, an important feature to inform the future risk benefit analysis in patients with NASH cirrhosis.</w:t>
      </w:r>
    </w:p>
    <w:p>
      <w:pPr>
        <w:spacing w:after="0" w:line="189"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The study design provides for a pre-specified interim analysis (IA). The IA of efficacy and safety data will be conducted after all planned subjects in Phase 2b component have completed at least 78 weeks (18 months) of treatment and a second esophago-gastro-duodeno endoscopic assessment. The purpose of the IA is to allow potential seamless adaptive modifications of the study, including: (1) the selection of the optimal dose of belapectin for Phase 3, (2) the re-estimation of the study sample size for Phase 3 portion of the trial, (3) the re-evaluation of the randomization ratio for the Phase 3 portion of the trial, (4) the refinement of the inclusion and exclusion criteria for the Phase 3 portion of the trial, including the cirrhosis status, (5) and/or termination of the study for overwhelming efficacy or for futility.</w:t>
      </w:r>
    </w:p>
    <w:p>
      <w:pPr>
        <w:spacing w:after="0" w:line="187" w:lineRule="exact"/>
        <w:rPr>
          <w:sz w:val="20"/>
          <w:szCs w:val="20"/>
          <w:color w:val="auto"/>
        </w:rPr>
      </w:pPr>
    </w:p>
    <w:p>
      <w:pPr>
        <w:ind w:right="60" w:firstLine="441"/>
        <w:spacing w:after="0" w:line="255" w:lineRule="auto"/>
        <w:rPr>
          <w:sz w:val="20"/>
          <w:szCs w:val="20"/>
          <w:color w:val="auto"/>
        </w:rPr>
      </w:pPr>
      <w:r>
        <w:rPr>
          <w:rFonts w:ascii="Times New Roman" w:cs="Times New Roman" w:eastAsia="Times New Roman" w:hAnsi="Times New Roman"/>
          <w:sz w:val="18"/>
          <w:szCs w:val="18"/>
          <w:color w:val="auto"/>
        </w:rPr>
        <w:t>The trial design also includes a blinded sample size re-estimation (“SSR”) during the Phase 2b, prior to the IA, to allow for potential sample size readjustment. The SSR will be conducted when 50% of the patients have completed 18 months of therapy. This will allow us to confirm the underlying assumption regarding the rate of varices development, currently estimated from our prior Phase 2b trial (NASH-CX). The study design also minimizes invasive testing requirements, such as the measurement of HVPG or repeated liver biopsies, which we believe are particularly risky in patients with portal hypertension and will facilitate enrollment and retention of patients. It also provides for a seamless transition of patients from the Phase 2b component into the phase 3 stage, including the potential addition of new patients. The trial design preserves the surrogate end-point concepts (development of new varices versus variceal hemorrhage) previously discussed with FDA.</w:t>
      </w:r>
    </w:p>
    <w:p>
      <w:pPr>
        <w:spacing w:after="0" w:line="189"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We believe that these adaptations taken together are innovative and optimize conduct of the NAVIGATE trial with a clinically relevant primary outcome giving belapectin the best opportunity to show a positive therapeutic effect to address an unmet medical need. As a testimony of this innovation, the NAVIGATE trial design was presented to the hepatology community and featured during the last meeting of the American Association for the Study of Liver Diseases, in November 2021. If the IA results of the NAVIGATE trial are compelling, there could be the potential for accelerated FDA approval and/or partnership opportunity with a pharmaceutical company.</w:t>
      </w:r>
    </w:p>
    <w:p>
      <w:pPr>
        <w:spacing w:after="0" w:line="183" w:lineRule="exact"/>
        <w:rPr>
          <w:sz w:val="20"/>
          <w:szCs w:val="20"/>
          <w:color w:val="auto"/>
        </w:rPr>
      </w:pPr>
    </w:p>
    <w:p>
      <w:pPr>
        <w:ind w:right="160" w:firstLine="441"/>
        <w:spacing w:after="0" w:line="258" w:lineRule="auto"/>
        <w:rPr>
          <w:sz w:val="20"/>
          <w:szCs w:val="20"/>
          <w:color w:val="auto"/>
        </w:rPr>
      </w:pPr>
      <w:r>
        <w:rPr>
          <w:rFonts w:ascii="Times New Roman" w:cs="Times New Roman" w:eastAsia="Times New Roman" w:hAnsi="Times New Roman"/>
          <w:sz w:val="18"/>
          <w:szCs w:val="18"/>
          <w:color w:val="auto"/>
        </w:rPr>
        <w:t>In the Phase 3 component of this trial, as proposed in the protocol, the primary endpoint remain the development of varices. Secondary endpoints include a composite clinical outcomes endpoint, including varices requiring treatment (development of large varices or varices with a red wale), decompensating events, all-cause mortality, MELD score increase, liver transplant. Also, NASH non-invasive biomarkers will be evaluated. To target a population at risk of developing esophageal varices, patient selection will be based on clinical signs of portal hypertension, including, but not limited to, a low platelet count, an increased spleen size and/or evidence of abdominal collaterals circulation.</w:t>
      </w:r>
    </w:p>
    <w:p>
      <w:pPr>
        <w:spacing w:after="0" w:line="183"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The focus and goal of the therapeutic program is to stop the progression of and/or reverse portal hypertension and thereby prevent the development of varices, potentially one of the most immediately life-threatening complication of cirrhosis. Based on the results of the NASH-CX trial and subject to confirmation in later stage clinical trials, we believe that this goal is achievable in a significant portion of the NASH cirrhosis patient population i.e. those NASH cirrhosis patients with clinical signs of portal hypertension for whom, currently no specific, liver targeted, treatment are available.</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right="40" w:firstLine="441"/>
        <w:spacing w:after="0" w:line="253" w:lineRule="auto"/>
        <w:rPr>
          <w:sz w:val="20"/>
          <w:szCs w:val="20"/>
          <w:color w:val="auto"/>
        </w:rPr>
      </w:pPr>
      <w:r>
        <w:rPr>
          <w:rFonts w:ascii="Times New Roman" w:cs="Times New Roman" w:eastAsia="Times New Roman" w:hAnsi="Times New Roman"/>
          <w:sz w:val="18"/>
          <w:szCs w:val="18"/>
          <w:color w:val="auto"/>
        </w:rPr>
        <w:t>The COVID-19 pandemic has delayed and may continue to delay our regulatory and ethics approvals, recruitment of sites, and enrollment of patients for our Phase 2b/3 NAVIGATE trial despite a recent uptick in screening activities. Many investigational centers in the United States and Europe have experienced shut-downs, and while some have loosened or removed restrictions, there may be a risk of experiencing new shut-downs and restrictions. In some countries, shutdown orders have also affected the regulatory process to authorize study starts. Governments and medical facilities have focused their resources for battling the COVID-19 pandemic. For several reasons, the pandemic makes enrolling patients for the NAVIGATE trial more challenging, including because patients eligible for the NAVIGATE trial have liver cirrhosis and, as such, are at a greater health risk of complications from COVID-19. It is also important to consider the safety of our candidate participants first, as cirrhotic patients with portal hypertension are immune compromised. We believe that as we continue to emerge from the COVID-19 pandemic, site recruitment and patient enrollment will accelerate and we have experienced increases in enrollment, particularly in the U.S. However, we have not seen the enrollment in Europe that we anticipated, and conditions there remain uncertain. Consequently, we have activated multiple sites in Latin America. At this time, although enrollment completion is targeted for June 30, 2022, it may require an additional quarter to complete.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identified and activated approximately 138 clinical trial sites in 14 countries for the NAVIGATE trial.</w:t>
      </w:r>
    </w:p>
    <w:p>
      <w:pPr>
        <w:spacing w:after="0" w:line="225" w:lineRule="exact"/>
        <w:rPr>
          <w:sz w:val="20"/>
          <w:szCs w:val="20"/>
          <w:color w:val="auto"/>
        </w:rPr>
      </w:pPr>
    </w:p>
    <w:p>
      <w:pPr>
        <w:ind w:right="760" w:firstLine="441"/>
        <w:spacing w:after="0" w:line="282" w:lineRule="auto"/>
        <w:rPr>
          <w:sz w:val="20"/>
          <w:szCs w:val="20"/>
          <w:color w:val="auto"/>
        </w:rPr>
      </w:pPr>
      <w:r>
        <w:rPr>
          <w:rFonts w:ascii="Times New Roman" w:cs="Times New Roman" w:eastAsia="Times New Roman" w:hAnsi="Times New Roman"/>
          <w:sz w:val="18"/>
          <w:szCs w:val="18"/>
          <w:color w:val="auto"/>
        </w:rPr>
        <w:t xml:space="preserve">Further details on the NAVIGATE trial can be found on </w:t>
      </w:r>
      <w:r>
        <w:rPr>
          <w:rFonts w:ascii="Times New Roman" w:cs="Times New Roman" w:eastAsia="Times New Roman" w:hAnsi="Times New Roman"/>
          <w:sz w:val="18"/>
          <w:szCs w:val="18"/>
          <w:u w:val="single" w:color="auto"/>
          <w:color w:val="auto"/>
        </w:rPr>
        <w:t>www.clinicaltrials.gov</w:t>
      </w:r>
      <w:r>
        <w:rPr>
          <w:rFonts w:ascii="Times New Roman" w:cs="Times New Roman" w:eastAsia="Times New Roman" w:hAnsi="Times New Roman"/>
          <w:sz w:val="18"/>
          <w:szCs w:val="18"/>
          <w:color w:val="auto"/>
        </w:rPr>
        <w:t xml:space="preserve"> under study NCT04365868 and on our NAVIGATE website (navigatenash.com).</w:t>
      </w:r>
    </w:p>
    <w:p>
      <w:pPr>
        <w:spacing w:after="0" w:line="162"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 xml:space="preserve">The Company also has commenced a Hepatic Impairment Study, which will run in parallel with the phase 2b/3 trial as part of the development program. The Hepatic Impairment Study is being conducted at three sites and involves approximately 40 patients (divided amongst normal healthy volunteers, and patients with hepatic impairment categorized as Child-Turcotte-Pugh (CTP) classes A (mild), B (moderate), and C (severe). Each subject will receive a single infusion of belapectin (4 mg/kg LBM) and their serum belapectin levels will be monitored for up to approximately two weeks to define the effects of various stages of cirrhosis on serum belapectin levels. The tolerance and safety of belapectin will be evaluated. Enrollment in this study was completed in February 2022, and the results will be announced when available. Based on the results from this hepatic impairment study, the Company may consider including patients with more advanced cirrhosis in the Phase 3 portion of its NAVIGATE trial. Until dosing and safety profile is further informed in CTP Class B and/or Class C patients, the NAVIGATE trial will enroll only CTP Class A patients. Further details on this hepatic impairment study can be found on </w:t>
      </w:r>
      <w:r>
        <w:rPr>
          <w:rFonts w:ascii="Times New Roman" w:cs="Times New Roman" w:eastAsia="Times New Roman" w:hAnsi="Times New Roman"/>
          <w:sz w:val="18"/>
          <w:szCs w:val="18"/>
          <w:u w:val="single" w:color="auto"/>
          <w:color w:val="auto"/>
        </w:rPr>
        <w:t>www.clinicaltrials.gov</w:t>
      </w:r>
      <w:r>
        <w:rPr>
          <w:rFonts w:ascii="Times New Roman" w:cs="Times New Roman" w:eastAsia="Times New Roman" w:hAnsi="Times New Roman"/>
          <w:sz w:val="18"/>
          <w:szCs w:val="18"/>
          <w:color w:val="auto"/>
        </w:rPr>
        <w:t xml:space="preserve"> study NCT04332432.</w:t>
      </w:r>
    </w:p>
    <w:p>
      <w:pPr>
        <w:spacing w:after="0" w:line="186" w:lineRule="exact"/>
        <w:rPr>
          <w:sz w:val="20"/>
          <w:szCs w:val="20"/>
          <w:color w:val="auto"/>
        </w:rPr>
      </w:pPr>
    </w:p>
    <w:p>
      <w:pPr>
        <w:ind w:right="100" w:firstLine="441"/>
        <w:spacing w:after="0"/>
        <w:rPr>
          <w:sz w:val="20"/>
          <w:szCs w:val="20"/>
          <w:color w:val="auto"/>
        </w:rPr>
      </w:pPr>
      <w:r>
        <w:rPr>
          <w:rFonts w:ascii="Times New Roman" w:cs="Times New Roman" w:eastAsia="Times New Roman" w:hAnsi="Times New Roman"/>
          <w:sz w:val="18"/>
          <w:szCs w:val="18"/>
          <w:i w:val="1"/>
          <w:iCs w:val="1"/>
          <w:color w:val="auto"/>
        </w:rPr>
        <w:t xml:space="preserve">Cancer Immunotherapy. </w:t>
      </w:r>
      <w:r>
        <w:rPr>
          <w:rFonts w:ascii="Times New Roman" w:cs="Times New Roman" w:eastAsia="Times New Roman" w:hAnsi="Times New Roman"/>
          <w:sz w:val="18"/>
          <w:szCs w:val="18"/>
          <w:color w:val="auto"/>
        </w:rPr>
        <w:t>We believe there is potential for galectin inhibition to play a key role in the innovative area of cancer immunotherapy.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example, there have been several recent approvals of drugs that enhance a patient’s immune system to fight cancer. It is our goal to use ourgalectin-3 inhibitor to further enhance the immune system function to help the body to fight cancer in a way that complements other approaches to this type of therapy. This hypothesis is supported by the fact that galectin-3 is expressed at high levels in multiple types of tumors and their micro-environment, where it fosters the malignant nature of the tumors, and protects the tumors from immune attack by the patient’s own defense mechanism. Our drug candidates provide a promising new therapeutic approach to enhance the activity of the immune system against cancer cells. Preclinical studies have indicated that belapectin enhances the immune response to cancer cells, increased tumor shrinkage and enhanced survival in immune competent mice with prostate, breast, melanoma and sarcoma cancers when combined with one of the immune checkpoint inhibitors, anti-CTLA-4 or anti-PD-1, or with the immune cell activator anti-OX40. These preclinical data led to the filing of two Investigator-sponsored INDs and the initiation of Phase 1B studies of belapectin in combination with Yervoy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(ipilimumab) in metastatic melanoma and another phase 1B study in combination with KEYTRUDA (pembrolizumab) in patients with metastatic melanoma and head and neck squamous cell carcinoma. These studies were conducted under the sponsorship of Providence Portland Medical Center’s Earle A. Chiles Research Institute (EACRI).</w:t>
      </w:r>
    </w:p>
    <w:p>
      <w:pPr>
        <w:spacing w:after="0" w:line="200" w:lineRule="exact"/>
        <w:rPr>
          <w:sz w:val="20"/>
          <w:szCs w:val="20"/>
          <w:color w:val="auto"/>
        </w:rPr>
      </w:pPr>
    </w:p>
    <w:p>
      <w:pPr>
        <w:ind w:right="340" w:firstLine="441"/>
        <w:spacing w:after="0" w:line="282" w:lineRule="auto"/>
        <w:rPr>
          <w:sz w:val="20"/>
          <w:szCs w:val="20"/>
          <w:color w:val="auto"/>
        </w:rPr>
      </w:pPr>
      <w:r>
        <w:rPr>
          <w:rFonts w:ascii="Times New Roman" w:cs="Times New Roman" w:eastAsia="Times New Roman" w:hAnsi="Times New Roman"/>
          <w:sz w:val="18"/>
          <w:szCs w:val="18"/>
          <w:color w:val="auto"/>
        </w:rPr>
        <w:t>The phase IB study in combination with Yervoy was rapidly discontinued after the first patients were recruited because of the availability on new treatment in the selected population.</w:t>
      </w:r>
    </w:p>
    <w:p>
      <w:pPr>
        <w:spacing w:after="0" w:line="152" w:lineRule="exact"/>
        <w:rPr>
          <w:sz w:val="20"/>
          <w:szCs w:val="20"/>
          <w:color w:val="auto"/>
        </w:rPr>
      </w:pPr>
    </w:p>
    <w:p>
      <w:pPr>
        <w:ind w:right="40" w:firstLine="450"/>
        <w:spacing w:after="0" w:line="237" w:lineRule="auto"/>
        <w:rPr>
          <w:sz w:val="20"/>
          <w:szCs w:val="20"/>
          <w:color w:val="auto"/>
        </w:rPr>
      </w:pPr>
      <w:r>
        <w:rPr>
          <w:rFonts w:ascii="Times New Roman" w:cs="Times New Roman" w:eastAsia="Times New Roman" w:hAnsi="Times New Roman"/>
          <w:sz w:val="18"/>
          <w:szCs w:val="18"/>
          <w:color w:val="auto"/>
        </w:rPr>
        <w:t>Promising results were reported in the Phase 1b trial combining belapectin with pembrolizumab (KEYTRUDA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When aggregated cohorts are combined, in advanced melanoma, a 50% objective response rate with belapectin in combination with KEYTRUDA, was documented. In addition, a 33% response rate was documented in patients with head and neck cancer The results have been published in 2021 in a highly rated peer reviewed journal (Curti et al. Journal of Immunotherapy of cancer 2021;9:e002371)</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There was also a suggestion that the combination of belapectin with pembrolizumab could decrease the auto-immune side-effect induced by pembrolizumab. These side-effects, which are directly linked to the mechanism of action of pembrolizumab, can be poorly tolerated and even severe enough to lead to treatment interruption, even if the effect on the cancer was encouraging. This is of course, a very frustrating situation for patients who have to discontinue an active treatment but have no other options available to them. We believe these data, taken together with the observed favorable safety and tolerability of the combination, provide a rationale to move the belapectin program in oncology forward.</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right="120" w:firstLine="441"/>
        <w:spacing w:after="0" w:line="256" w:lineRule="auto"/>
        <w:rPr>
          <w:sz w:val="20"/>
          <w:szCs w:val="20"/>
          <w:color w:val="auto"/>
        </w:rPr>
      </w:pPr>
      <w:r>
        <w:rPr>
          <w:rFonts w:ascii="Times New Roman" w:cs="Times New Roman" w:eastAsia="Times New Roman" w:hAnsi="Times New Roman"/>
          <w:sz w:val="18"/>
          <w:szCs w:val="18"/>
          <w:color w:val="auto"/>
        </w:rPr>
        <w:t>Late in 2021, we engaged three noted physicians – Dr. Chetan Bettegowda, from Johns Hopkins, and Dr. Nishant Agrawal and Dr. Ari Rosenberg, both from University of Chicago Medical Center – as consultants to help define the path forward in oncology. In consultation with our oncology experts, we have now selected the treatment of recurrent or metastatic head and neck cancer as the lead indication to pursue for belapectin in combination with an immune checkpoint inhibitor. The decision is notably based on the lack of available treatments for these patients, the limited number of therapies in development, and the resulting very high medical need. We are currently working to compile an IND package with the objective for Galectin Therapeutics to file an IND and are planning a phase 2 trial to be filed with the FDA oncology division.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Patents and Proprietary Rights</w:t>
      </w:r>
    </w:p>
    <w:p>
      <w:pPr>
        <w:spacing w:after="0" w:line="229"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Our development and commercial viability, and ultimately our competitiveness, depend on our ability to develop and maintain the proprietary aspects of our technology and operate without infringing on the proprietary rights of others. We rely on a combination of patent, trademark, trade secret and copyright law and contract restrictions to protect the proprietary aspects of our technologies. We seek to limit disclosure of our intellectual property by requiring employees, consultants, and any third parties with access to our proprietary information to execute confidentiality agreements and by restricting access to that information.</w:t>
      </w:r>
    </w:p>
    <w:p>
      <w:pPr>
        <w:spacing w:after="0" w:line="183"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In August 2015, we received a notice of allowance from the U.S. Patent and Trademark Office for patent application number 13/726,900, titled “Galactose-pronged polysaccharides in a formulation for antifibrotic therapies.” This patent extends coverage of the Company’s pectin-derived compounds (including broad molecular weight ranges and other sources of pectin) to include treatment of chronic kidney disease associated with the development of fibrosis, established kidney fibrosis, chronic lung disease associated with the development of fibrosis and established lung fibrosis. Claims in this patent include administering pectin-derived compound parenterally to a patient having at least one of the four aforementioned diseases where the established fibrosis or progression of the fibrosis or cirrhosis is inhibited or slowed down. Additional specific claims encompass deriving the compound from citrus pectin, apple pectin, soybean hull pectin or sugar beet pectin with a molecular weight between 2 kDa and 400kDa. Also covered is the step of administering the modified galacto-rhamnogalacturonan compound in an admixture with a therapeutic agent, where the agent is an antifibrotic compound.</w:t>
      </w:r>
    </w:p>
    <w:p>
      <w:pPr>
        <w:spacing w:after="0" w:line="192" w:lineRule="exact"/>
        <w:rPr>
          <w:sz w:val="20"/>
          <w:szCs w:val="20"/>
          <w:color w:val="auto"/>
        </w:rPr>
      </w:pPr>
    </w:p>
    <w:p>
      <w:pPr>
        <w:ind w:right="100" w:firstLine="441"/>
        <w:spacing w:after="0" w:line="255" w:lineRule="auto"/>
        <w:rPr>
          <w:sz w:val="20"/>
          <w:szCs w:val="20"/>
          <w:color w:val="auto"/>
        </w:rPr>
      </w:pPr>
      <w:r>
        <w:rPr>
          <w:rFonts w:ascii="Times New Roman" w:cs="Times New Roman" w:eastAsia="Times New Roman" w:hAnsi="Times New Roman"/>
          <w:sz w:val="18"/>
          <w:szCs w:val="18"/>
          <w:color w:val="auto"/>
        </w:rPr>
        <w:t>In August 2014, we received a notice of allowance from the U.S. Patent and Trademark Office for patent application number 13/573,442 titled “Composition of Novel Carbohydrate Drug for Treatment of Human Diseases.” The patent covers composition and chemical structural claims for compounds that includes the Company’s lead galectin inhibitor compound belapectin and will expire in December 2031. Claims include multiple routes of administration, including intravenous, subcutaneous and oral. The application also covers therapeutic formulations for use in the treatment of NASH (fatty liver disease), cancer and fibrotic, inflammatory and autoimmune disorders in which galectin proteins are involved, at least in part, in the pathogenesis. Additional specific claims encompass liver fibrosis, kidney fibrosis, lung fibrosis or heart fibrosis. The patent, assigned U.S. Patent No. 8,871,925, was issued October 28, 2014.</w:t>
      </w:r>
    </w:p>
    <w:p>
      <w:pPr>
        <w:spacing w:after="0" w:line="189"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In May 2014, we received notice of allowance from the U.S. Patent and Trademark Office for patent application number 13/998,197 titled “Galactose-Pronged Carbohydrate Compounds for the Treatment of Diabetic Nephropathy and Associated Disorders.” The patent covers both composition claim for and uses of the Company’s carbohydrate-based galectin inhibitor compound belapectin in patients with diabetic nephropathy, a type of progressive kidney disease that occurs in individuals with diabetes. Diabetic nephropathy is the major cause for chronic renal failure in the United States. The patent, assigned U.S. Patent No. 8,828,971, was issued September 9, 2014.</w:t>
      </w:r>
    </w:p>
    <w:p>
      <w:pPr>
        <w:spacing w:after="0" w:line="183" w:lineRule="exact"/>
        <w:rPr>
          <w:sz w:val="20"/>
          <w:szCs w:val="20"/>
          <w:color w:val="auto"/>
        </w:rPr>
      </w:pPr>
    </w:p>
    <w:p>
      <w:pPr>
        <w:ind w:right="80" w:firstLine="441"/>
        <w:spacing w:after="0" w:line="254" w:lineRule="auto"/>
        <w:rPr>
          <w:sz w:val="20"/>
          <w:szCs w:val="20"/>
          <w:color w:val="auto"/>
        </w:rPr>
      </w:pPr>
      <w:r>
        <w:rPr>
          <w:rFonts w:ascii="Times New Roman" w:cs="Times New Roman" w:eastAsia="Times New Roman" w:hAnsi="Times New Roman"/>
          <w:sz w:val="18"/>
          <w:szCs w:val="18"/>
          <w:color w:val="auto"/>
        </w:rPr>
        <w:t>In February 2014, we received notice of issuance that the U.S. Patent and Trademark Office issued patent number 8,658,787 to the Company for its application titled “Galacto-rhamnogalacturonate compositions for the treatment of non-alcoholic steatohepatitis and non-alcoholic fatty liver disease.” The patent covers the Company’s carbohydrate-based galectin inhibitor compound belapectin for use in patients with fatty liver disease with or without fibrosis or cirrhosis, providing patent protection through 2031. The major claims are for methods of obtaining galectin inhibitor compounds, obtaining a composition for parenteral or enteral administration in an acceptable pharmaceutical carrier and administering to a subject having at least one of the following: fatty liver, non-alcoholic fatty liver disease, non-alcoholic steatohepatitis, non-alcoholic hepatitis with liver fibrosis, non-alcoholic steatohepatitis with cirrhosis, or non-alcoholic steatohepatitis with cirrhosis and hepatocellular carcinoma. The use covers reversing or slowing the progression of disease activity or medical consequences of the disease. Applications are pending in multiple countries to extend patent protection globally.</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In January 2014, we received a notice of allowance from the U.S. Patent and Trademark Office for Patent Application Number 13/550,962 titled “Galactose-Pronged Polysaccharides in a Formulation for Anti-fibrotic Therapies.” The patent covers both composition claim for and uses of the Company’s carbohydrate-based galectin inhibitor compound belapectin for use in patients with liver fibrosis in combination with other potential therapeutic agents. The patent covers use of belapectin with agents directed at multiple targets, some of which are currently in clinical development for fibrotic disorders including monoclonal antibodies to connective tissue growth factor, integrins, and TGF-ß1. The patent, assigned U.S. Patent No. 8,722,645, was issued May 13, 2014.</w:t>
      </w:r>
    </w:p>
    <w:p>
      <w:pPr>
        <w:spacing w:after="0" w:line="187" w:lineRule="exact"/>
        <w:rPr>
          <w:sz w:val="20"/>
          <w:szCs w:val="20"/>
          <w:color w:val="auto"/>
        </w:rPr>
      </w:pPr>
    </w:p>
    <w:p>
      <w:pPr>
        <w:ind w:right="80" w:firstLine="441"/>
        <w:spacing w:after="0" w:line="254" w:lineRule="auto"/>
        <w:rPr>
          <w:sz w:val="20"/>
          <w:szCs w:val="20"/>
          <w:color w:val="auto"/>
        </w:rPr>
      </w:pPr>
      <w:r>
        <w:rPr>
          <w:rFonts w:ascii="Times New Roman" w:cs="Times New Roman" w:eastAsia="Times New Roman" w:hAnsi="Times New Roman"/>
          <w:sz w:val="18"/>
          <w:szCs w:val="18"/>
          <w:color w:val="auto"/>
        </w:rPr>
        <w:t>In July 2012, we received a notice of issuance from the U.S. Patent and Trademark Office for the U.S. Patent number 8,236,780 issued on August 7, 2013 titled “Galactose-prolonged polysaccharides in a formulation for antifibrotic therapies”. This methods patent covers key methods of derivation and use for our carbohydrate-based galectin inhibitor compound for use in patients with chronic liver disease associated with the development of fibrosis, established liver fibrosis or end-stage scarring, or cirrhosis. The major claim is for a method of obtaining a galacto-rhamnogalacturan compound from an apple pectin, obtaining a composition for parenteral administration the galacto-rhamnogalacturonan compound in an acceptable pharmaceutical carrier and administering to a subject having at least one of the following: chronic liver disease associated with the development of fibrosis, established liver fibrosis or cirrhosis. The use covers inhibiting or slowing the progression of fibrosis. belapectin is covered by this patent and it provides opportunities for development of additional compounds in the class.</w:t>
      </w:r>
    </w:p>
    <w:p>
      <w:pPr>
        <w:spacing w:after="0" w:line="192"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As of December 31, 2021, Galectin Therapeutics Inc. held 23 granted U.S. patents, 100 foreign granted, 3 foreign patent applications pending, and 2 U.S. patent applications pending. Many of our patents and patent applications cover composition of matter for complex carbohydrate drugs and/or methods of use for reducing toxicity and enhancing chemotherapeutic drugs by co-administering a polysaccharide with a chemotherapeutic agent or for use in treatment of fibrosis. The scheduled expiration dates of our United States patents span out to 2034 before considering any potential extensions. We have corresponding patent applications pending in various territories where we see potential for commercial interest. Additionally, we have patent applications in other areas to utilize our carbohydrate-based compounds to treat disease other than cancer. See “Risk Factors — Risks Related to Our Intellectual Property”. Our competitive position, in part, is contingent upon protection of our intellectual property. Galectin Sciences LLC has 3 granted international patent, 1 international patent allowed, 3 US patent application pending, and 27 foreign applications pending.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w:t>
      </w:r>
    </w:p>
    <w:p>
      <w:pPr>
        <w:spacing w:after="0" w:line="227" w:lineRule="exact"/>
        <w:rPr>
          <w:sz w:val="20"/>
          <w:szCs w:val="20"/>
          <w:color w:val="auto"/>
        </w:rPr>
      </w:pPr>
    </w:p>
    <w:p>
      <w:pPr>
        <w:ind w:right="200" w:firstLine="441"/>
        <w:spacing w:after="0" w:line="258" w:lineRule="auto"/>
        <w:rPr>
          <w:sz w:val="20"/>
          <w:szCs w:val="20"/>
          <w:color w:val="auto"/>
        </w:rPr>
      </w:pPr>
      <w:r>
        <w:rPr>
          <w:rFonts w:ascii="Times New Roman" w:cs="Times New Roman" w:eastAsia="Times New Roman" w:hAnsi="Times New Roman"/>
          <w:sz w:val="18"/>
          <w:szCs w:val="18"/>
          <w:color w:val="auto"/>
        </w:rPr>
        <w:t xml:space="preserve">Our primary focus is on the design and testing of agents that target galectins in various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systems and that demonstrate efficacy in treatment of experimentally induced fibrosis or enhance immune system responsiveness in various tissues and in live animal models. We contract with independent laboratories and other facilities to conduct our research, which is designed, evaluated and managed by our scientists. We do not anticipate building additional in-house research or development facilities or hiring significantly additional staff other than for purposes of designing and managing our out-sourced research and development activities.</w:t>
      </w:r>
    </w:p>
    <w:p>
      <w:pPr>
        <w:spacing w:after="0" w:line="185" w:lineRule="exact"/>
        <w:rPr>
          <w:sz w:val="20"/>
          <w:szCs w:val="20"/>
          <w:color w:val="auto"/>
        </w:rPr>
      </w:pPr>
    </w:p>
    <w:p>
      <w:pPr>
        <w:ind w:right="200" w:firstLine="441"/>
        <w:spacing w:after="0" w:line="261" w:lineRule="auto"/>
        <w:rPr>
          <w:sz w:val="20"/>
          <w:szCs w:val="20"/>
          <w:color w:val="auto"/>
        </w:rPr>
      </w:pPr>
      <w:r>
        <w:rPr>
          <w:rFonts w:ascii="Times New Roman" w:cs="Times New Roman" w:eastAsia="Times New Roman" w:hAnsi="Times New Roman"/>
          <w:sz w:val="18"/>
          <w:szCs w:val="18"/>
          <w:color w:val="auto"/>
        </w:rPr>
        <w:t>As we develop products eligible for clinical trials, we contract with independent parties to assist in the design of the clinical trial protocols, arrange for and monitor the clinical trials, collect data and analyze data. In addition, certain clinical trials for our products may be conducted by government-sponsored agencies and will be dependent on governmental participation and funding. Our dependence on independent parties and clinical sites involves risks including reduced control over the timing and other aspects of our clinical trials.</w:t>
      </w:r>
    </w:p>
    <w:p>
      <w:pPr>
        <w:spacing w:after="0" w:line="180" w:lineRule="exact"/>
        <w:rPr>
          <w:sz w:val="20"/>
          <w:szCs w:val="20"/>
          <w:color w:val="auto"/>
        </w:rPr>
      </w:pPr>
    </w:p>
    <w:p>
      <w:pPr>
        <w:ind w:right="700" w:firstLine="441"/>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2021 and 2020, our expenditures for research and development were $24.0 million and $18.0 million, respectively. We expense all research and development costs as they are incurred.</w:t>
      </w:r>
    </w:p>
    <w:p>
      <w:pPr>
        <w:spacing w:after="0" w:line="162" w:lineRule="exact"/>
        <w:rPr>
          <w:sz w:val="20"/>
          <w:szCs w:val="20"/>
          <w:color w:val="auto"/>
        </w:rPr>
      </w:pPr>
    </w:p>
    <w:p>
      <w:pPr>
        <w:ind w:right="320" w:firstLine="441"/>
        <w:spacing w:after="0" w:line="282" w:lineRule="auto"/>
        <w:rPr>
          <w:sz w:val="20"/>
          <w:szCs w:val="20"/>
          <w:color w:val="auto"/>
        </w:rPr>
      </w:pPr>
      <w:r>
        <w:rPr>
          <w:rFonts w:ascii="Times New Roman" w:cs="Times New Roman" w:eastAsia="Times New Roman" w:hAnsi="Times New Roman"/>
          <w:sz w:val="18"/>
          <w:szCs w:val="18"/>
          <w:color w:val="auto"/>
        </w:rPr>
        <w:t>In January 2014 we created, with SBH Sciences, Inc. (Natick, Ma), Galectin Sciences, LLC, a collaborative joint venture to research and develop small organic molecule inhibitors of galectin-3 for oral administration.</w:t>
      </w:r>
    </w:p>
    <w:p>
      <w:pPr>
        <w:spacing w:after="0" w:line="160"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 xml:space="preserve">Using computer molecular modeling techniques coupled with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screening of a variety of compound libraries, SBH Sciences had identified several small organic molecules with promising galectin-3 inhibitory activity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Galectin Sciences LLC will further develop these unique organic molecule inhibitors of galectin-3 as drug candidates as well as develop additional candidates. Subject to availability of funding, Galectin Sciences LLC will build on the scientific body of knowledge amassed by SBH Sciences, coupled with Galectin Therapeutics’ knowledge and expertise of galectins’ pathological role and mechanism of action in inflammation, fibrosis and many cancers. The long-term goal of this effort is to identify and develop drug candidates that are highly specific galectin inhibitors which may be formulated for oral administration. The intermediate term goal is the development of small molecule inhibitors of galectin-3 which exhibit activity in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preclinical disease models of fibrosis and cancer in which galectins play a key role. Several patent applications have been filed to protect the various series of compounds discovered by these efforts.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Because increased levels of galectin proteins have been implicated in a very large number of inflammatory, fibrotic and neoplastic diseases; the discovery and development of orally active galectin inhibitors would be a major step towards expanded treatment approaches for these disorders. This early drug discovery effort may lead to drugs that would expand our pipeline as follow-on compounds to our first in class galectin inhibitors, belapectin and GM-CT-01. These efforts have identified several potential compounds which are continuing to be explored to identify lead molecules that may be identified for clinical development.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Marketing</w:t>
      </w:r>
    </w:p>
    <w:p>
      <w:pPr>
        <w:spacing w:after="0" w:line="229" w:lineRule="exact"/>
        <w:rPr>
          <w:sz w:val="20"/>
          <w:szCs w:val="20"/>
          <w:color w:val="auto"/>
        </w:rPr>
      </w:pPr>
    </w:p>
    <w:p>
      <w:pPr>
        <w:ind w:right="120" w:firstLine="441"/>
        <w:spacing w:after="0" w:line="256" w:lineRule="auto"/>
        <w:rPr>
          <w:sz w:val="20"/>
          <w:szCs w:val="20"/>
          <w:color w:val="auto"/>
        </w:rPr>
      </w:pPr>
      <w:r>
        <w:rPr>
          <w:rFonts w:ascii="Times New Roman" w:cs="Times New Roman" w:eastAsia="Times New Roman" w:hAnsi="Times New Roman"/>
          <w:sz w:val="18"/>
          <w:szCs w:val="18"/>
          <w:color w:val="auto"/>
        </w:rPr>
        <w:t>We are a development stage Company at this time and do not intend to establish internal facilities for the manufacture of our products for clinical or commercial production. To have our products manufactured, we have developed and will continue to develop relationships with third-parties that have established pharmaceutical manufacturing capabilities and expertise. We are not a party to any long-term agreement with any of our suppliers and, accordingly, we have our products manufactured on a purchase-order basis from one of two primary well-known and established pharmaceutical suppliers that meet FDA requirements. Additionally, belapectin is manufactured as a sterile liquid formulation. We have experienced, and may experience in the future, certain delays related to COVID-19 related supply issues with certain components necessary to manufacture belapectin.</w:t>
      </w:r>
    </w:p>
    <w:p>
      <w:pPr>
        <w:spacing w:after="0" w:line="187" w:lineRule="exact"/>
        <w:rPr>
          <w:sz w:val="20"/>
          <w:szCs w:val="20"/>
          <w:color w:val="auto"/>
        </w:rPr>
      </w:pPr>
    </w:p>
    <w:p>
      <w:pPr>
        <w:ind w:right="60" w:firstLine="441"/>
        <w:spacing w:after="0" w:line="256" w:lineRule="auto"/>
        <w:rPr>
          <w:sz w:val="20"/>
          <w:szCs w:val="20"/>
          <w:color w:val="auto"/>
        </w:rPr>
      </w:pPr>
      <w:r>
        <w:rPr>
          <w:rFonts w:ascii="Times New Roman" w:cs="Times New Roman" w:eastAsia="Times New Roman" w:hAnsi="Times New Roman"/>
          <w:sz w:val="18"/>
          <w:szCs w:val="18"/>
          <w:color w:val="auto"/>
        </w:rPr>
        <w:t>Because our products are in the development stage, we have not created a sales and marketing staff to commercialize pharmaceutical products. If we develop products eligible for commercial sale, we will need to develop a sales and marketing capability or rely on third parties such as licensees, collaborators, joint venture partners or independent distributors to market and sell those products. Our dependence on third-party manufacturers, analytical testing and other laboratories and marketers will involve risks relating to our reduced control, and other risks including those discussed in “Risk Factors — Risks Related to our Company — There are risks associated with reliance on our third parties for manufacturing, marketing, sales, managed care and distribution infrastructure channels.”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Many biotechnology and pharmaceutical companies are developing new technologies for the treatment of cancer, fibrotic diseases and other diseases. Technologies such as monoclonal antibodies could be competitive with our galectin therapeutic platforms. Other companies are trying to improve the therapeutic profile of widely used protein-based drugs. While these companies may broaden the market for our products they may also provide competitive alternatives to our products. We expect increased competition in the area of galectins will be fueled by a nearly exponential increase in the publication rate of research papers on galectins.</w:t>
      </w:r>
    </w:p>
    <w:p>
      <w:pPr>
        <w:spacing w:after="0" w:line="183" w:lineRule="exact"/>
        <w:rPr>
          <w:sz w:val="20"/>
          <w:szCs w:val="20"/>
          <w:color w:val="auto"/>
        </w:rPr>
      </w:pPr>
    </w:p>
    <w:p>
      <w:pPr>
        <w:ind w:right="600" w:firstLine="441"/>
        <w:spacing w:after="0" w:line="282" w:lineRule="auto"/>
        <w:rPr>
          <w:sz w:val="20"/>
          <w:szCs w:val="20"/>
          <w:color w:val="auto"/>
        </w:rPr>
      </w:pPr>
      <w:r>
        <w:rPr>
          <w:rFonts w:ascii="Times New Roman" w:cs="Times New Roman" w:eastAsia="Times New Roman" w:hAnsi="Times New Roman"/>
          <w:sz w:val="18"/>
          <w:szCs w:val="18"/>
          <w:color w:val="auto"/>
        </w:rPr>
        <w:t>See “Risk Factors — Risks Related to Our Company — We face intense competition in the biotechnology and pharmaceutical industries” for additional discussion related to our current and potential competition.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The research, development, testing, manufacture, labeling, promotion, advertising, distribution, and marketing, among other things, of our products are extensively regulated by governmental authorities in the United States and other countries. The FDA regulates drugs under the federal Food, Drug, and Cosmetic Act and its implementing regulations. Failure to comply with the applicable U.S. requirements may subject us to administrative or judicial sanctions, such as FDA refusal to approve pending New Drug Applications (“NDAs”), warning letters, product recalls, product seizures, total or partial suspension of production or distribution, injunctions, and/or criminal prosecution.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 Approval Process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Drugs may not be marketed in the U.S. until the FDA has approved them. The steps required before a drug may be marketed in the U.S. include: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2" w:name="page13"/>
    <w:bookmarkEnd w:id="1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left="980" w:hanging="43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laboratory tests, animal studies, and formulation studies,</w:t>
      </w:r>
    </w:p>
    <w:p>
      <w:pPr>
        <w:spacing w:after="0" w:line="225"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for human clinical testing, which must become effective before human clinical trials may begin,</w:t>
      </w:r>
    </w:p>
    <w:p>
      <w:pPr>
        <w:spacing w:after="0" w:line="225"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well-controlled human clinical trials to establish the safety and efficacy of the drug for each indication,</w:t>
      </w:r>
    </w:p>
    <w:p>
      <w:pPr>
        <w:spacing w:after="0" w:line="225"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NDA,</w:t>
      </w:r>
    </w:p>
    <w:p>
      <w:pPr>
        <w:spacing w:after="0" w:line="225" w:lineRule="exact"/>
        <w:rPr>
          <w:rFonts w:ascii="Times New Roman" w:cs="Times New Roman" w:eastAsia="Times New Roman" w:hAnsi="Times New Roman"/>
          <w:sz w:val="18"/>
          <w:szCs w:val="18"/>
          <w:color w:val="auto"/>
        </w:rPr>
      </w:pPr>
    </w:p>
    <w:p>
      <w:pPr>
        <w:ind w:left="980" w:right="160" w:hanging="432"/>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drug is produced to assess compliance with current good manufacturing procedures (“cGMP”) established by the FDA,</w:t>
      </w:r>
    </w:p>
    <w:p>
      <w:pPr>
        <w:spacing w:after="0" w:line="161"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and</w:t>
      </w:r>
    </w:p>
    <w:p>
      <w:pPr>
        <w:spacing w:after="0" w:line="225"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a trademark used in connection with a pharmaceutical.</w:t>
      </w:r>
    </w:p>
    <w:p>
      <w:pPr>
        <w:spacing w:after="0" w:line="225" w:lineRule="exact"/>
        <w:rPr>
          <w:sz w:val="20"/>
          <w:szCs w:val="20"/>
          <w:color w:val="auto"/>
        </w:rPr>
      </w:pPr>
    </w:p>
    <w:p>
      <w:pPr>
        <w:ind w:right="260" w:firstLine="441"/>
        <w:spacing w:after="0" w:line="261" w:lineRule="auto"/>
        <w:rPr>
          <w:sz w:val="20"/>
          <w:szCs w:val="20"/>
          <w:color w:val="auto"/>
        </w:rPr>
      </w:pPr>
      <w:r>
        <w:rPr>
          <w:rFonts w:ascii="Times New Roman" w:cs="Times New Roman" w:eastAsia="Times New Roman" w:hAnsi="Times New Roman"/>
          <w:sz w:val="18"/>
          <w:szCs w:val="18"/>
          <w:color w:val="auto"/>
        </w:rPr>
        <w:t>Pre-clinical tests include laboratory evaluation of product chemistry, toxicity, and formulation, as well as numerous in vitro and in vivo animal studies. The results of the pre-clinical tests, together with manufacturing information and analytical data, are submitted to the FDA as part of an IND, which must become effective before human clinical trials may begin and the Company must resolve any outstanding FDA concerns or questions before clinical trials can proceed. There is no certainty that submission of an IND will result in the FDA allowing clinical trials to begin.</w:t>
      </w:r>
    </w:p>
    <w:p>
      <w:pPr>
        <w:spacing w:after="0" w:line="180"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drug to human subjects under the supervision of qualified investigators and constant oversight by the FDA or foreign regulatory authorities. Clinical trials are conducted under protocols detailing the objectives of the study, the parameters to be used in monitoring safety, and the effectiveness criteria to be evaluated. Each protocol must be submitted to the FDA as part of the IND.</w:t>
      </w:r>
    </w:p>
    <w:p>
      <w:pPr>
        <w:spacing w:after="0" w:line="176"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Clinical trials typically are conducted in three sequential phases, but the phases may overlap or be combined. Each trial must be reviewed and approved by an independent Institutional Review Board (“IRB”), before it can begin. Study subjects must sign an informed consent form before participating in a clinical trial. Phase 1 usually involves the initial introduction of the investigational drug into patients to evaluate its safety, dosage tolerance, pharmacodynamics, and, if possible, to gain an early indication of its effectiveness. Phase 2 usually involves trials in a limited patient population to (i) evaluate dosage tolerance and appropriate dosage; (ii) identify possible adverse effects and safety risks; and (iii) evaluate preliminarily the efficacy of the drug for specific indications. Phase 3 trials usually further evaluate clinical efficacy and test further for safety by using the drug in its final form in an expanded patient population. There is no assurance that these trials will be completed within a specified period of time, if at all.</w:t>
      </w:r>
    </w:p>
    <w:p>
      <w:pPr>
        <w:spacing w:after="0" w:line="189"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studies and of the clinical studies, together with other detailed information, including information on the manufacture and composition of the drug, are submitted to the FDA in an NDA requesting approval to market the product for one or more indications. Before approving an NDA, the FDA usually will inspect the facilities at which the drug is manufactured and will not approve the product unless compliance with cGMP is satisfactory. If the FDA evaluates the NDA and the manufacturing facilities as acceptable, the FDA will generally issue an approval letter. If the FDA evaluates the NDA submission or the manufacturing facilities as not acceptable, the FDA will generally outline the deficiencies in the submission and often will request additional testing or information. Even if an applicant submits the requested additional information, the FDA ultimately may decide that the NDA does not satisfy the regulatory criteria for approval. The testing and approval process require substantial time, effort, and financial resources, and there is no assurance that any approval will be granted on a timely basis, if at all. After approval, certain changes to the approved product, such as adding new indications, manufacturing changes, or additional labeling claims are subject to further FDA review and approval.</w:t>
      </w:r>
    </w:p>
    <w:p>
      <w:pPr>
        <w:spacing w:after="0" w:line="194" w:lineRule="exact"/>
        <w:rPr>
          <w:sz w:val="20"/>
          <w:szCs w:val="20"/>
          <w:color w:val="auto"/>
        </w:rPr>
      </w:pPr>
    </w:p>
    <w:p>
      <w:pPr>
        <w:ind w:right="380" w:firstLine="441"/>
        <w:spacing w:after="0" w:line="282" w:lineRule="auto"/>
        <w:rPr>
          <w:sz w:val="20"/>
          <w:szCs w:val="20"/>
          <w:color w:val="auto"/>
        </w:rPr>
      </w:pPr>
      <w:r>
        <w:rPr>
          <w:rFonts w:ascii="Times New Roman" w:cs="Times New Roman" w:eastAsia="Times New Roman" w:hAnsi="Times New Roman"/>
          <w:sz w:val="18"/>
          <w:szCs w:val="18"/>
          <w:color w:val="auto"/>
        </w:rPr>
        <w:t>See “Risk Factors — Risks Related to the Regulation of Our Products — We will need regulatory approvals to commercialize our products” for additional discussion of regulatory risks related to our drug development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Priority Review</w:t>
      </w:r>
    </w:p>
    <w:p>
      <w:pPr>
        <w:spacing w:after="0" w:line="229"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FDA procedures provide for priority review of an NDA submitted for drugs that, compared to currently marketed products, offer a significant improvement in the treatment, diagnosis, or prevention of a disease. NDAs that are granted priority review are acted upon more quickly than NDAs given standard review. If we were to seek priority review, there can be no guarantee that the FDA will grant priority review status, that priority review status will affect the time of review, or that the FDA will approve the NDA submitted for any of our product candidates, whether or not priority review status is granted.</w:t>
      </w: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13" w:name="page14"/>
    <w:bookmarkEnd w:id="1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ind w:right="160" w:firstLine="441"/>
        <w:spacing w:after="0" w:line="254" w:lineRule="auto"/>
        <w:rPr>
          <w:sz w:val="20"/>
          <w:szCs w:val="20"/>
          <w:color w:val="auto"/>
        </w:rPr>
      </w:pPr>
      <w:r>
        <w:rPr>
          <w:rFonts w:ascii="Times New Roman" w:cs="Times New Roman" w:eastAsia="Times New Roman" w:hAnsi="Times New Roman"/>
          <w:sz w:val="18"/>
          <w:szCs w:val="18"/>
          <w:color w:val="auto"/>
        </w:rPr>
        <w:t>If FDA approval of one or more of our products is obtained, we will be required to comply with a number of post-approval requirements. For example, holders of an approved NDA are required to report certain adverse reactions to the FDA and to comply with certain requirements concerning advertising and promotional labeling for their products. Also, quality control and manufacturing procedures must continue to conform to current Good Manufacturing Practices (“cGMP”) after approval, and the FDA periodically inspects manufacturing facilities to assess compliance with cGMP. Accordingly, manufacturers must continue to expend time, money, and effort in the area of production and quality control to maintain cGMP compliance. In addition, discovery of problems with a product after approval may result in restrictions on a product, manufacturer, or holder of an approved NDA, including withdrawal of the product from the market. Also, new government requirements may be established that could delay or prevent regulatory approval of our products under development.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Outside the United States</w:t>
      </w:r>
    </w:p>
    <w:p>
      <w:pPr>
        <w:spacing w:after="0" w:line="229"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Before our products can be marketed outside of the United States, they are subject to regulatory approval similar to that required in the United States, although the requirements governing the conduct of clinical trials, product licensing, pricing and reimbursement vary widely from country to country. No action can be taken to market any product in a country until an appropriate application has been approved by the regulatory authorities in that country. The current approval process varies from country to country, and the time spent in gaining approval varies from that required for FDA approval. In certain countries, the sales price of a product must also be approved. The pricing review period often begins after market approval is granted. No assurance can be given that even if a product is approved by a regulatory authority, satisfactory prices will be approved for such product.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w:t>
      </w:r>
    </w:p>
    <w:p>
      <w:pPr>
        <w:spacing w:after="0" w:line="229"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Pharmaceutical research and development involves the controlled use of hazardous materials. Biotechnology and pharmaceutical companies must comply with laws and regulations governing the use, generation, manufacture, storage, air emission, effluent discharge, handling and disposal of certain materials, biological specimens and wastes. We do not anticipate building in-house research, development or manufacturing facilities, and, accordingly, do not expect to have to comply directly with environmental regulation. However, our contractors and others conducting research, development or manufacturing activities for us may be required to incur significant compliance cost, and this could in turn could increase our expense or delay our completion of research or manufacturing programs.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As of February 28, 2022, we currently have nine full-time employees, six of whom are involved primarily in management of our pre-clinical research and development and clinical trials and three who were involved primarily in management and administration of our Company. We also utilize several contractors and consultants who provide product development, manufacture, analytical testing, clinical trial expertise, and clinical trial support.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The Company is required to file annual, quarterly and current reports, proxy statements and other information with the Securities and Exchange Commission (“SEC”), including Annual Reports on Form 10-K, Quarterly Reports on Form 10-Q, Current Reports on Form 8-K and amendments to reports filed pursuant to Sections 13(a) and 15(d) of the Securities Exchange Act of 1934. The SEC maintains an Internet site that contains reports, proxy and information statements, and other information regarding issuers that file electronically with the SEC at http://www.sec.gov. The Company’s website is www.galectintherapeutics.com. The information contained on, or hyperlinked from, our website or any other websites is not a part of, nor is it incorporated by reference into, this Annual Report on Form 10-K.</w:t>
      </w:r>
    </w:p>
    <w:p>
      <w:pPr>
        <w:spacing w:after="0" w:line="18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An investment in our common stock involves a high degree of risk. You should carefully consider the risks described below and the other information before deciding to invest in our common stock. The risks described below are not the only ones facing our Company. Additional risks not presently known to us or that we currently consider immaterial may also adversely affect our business. We have attempted to identify below the major factors that could cause differences between actual and planned or expected results, but we cannot assure you that we have identified all of those factors.</w:t>
      </w: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4" w:name="page15"/>
    <w:bookmarkEnd w:id="1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any of the following risks actually happen, our business, financial condition and operating results could be materially adversely affected. In this case, the trading price of our common stock could decline, and you could lose all or part of your investment.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net losses to date and must raise additional capital in order to continue to operate.</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have incurred net losses in each year of operation since our inception in July 2000 and have no revenues. Our accumulated deficit as of December 31, 2021 was $271 million. We had $39.6 million of unrestricted cash as of December 31, 2021. The Company believes there is sufficient cash to fund currently planned operations at least through March 31, 2023. We will require more cash to fund our operations after March 31, 2023 and believe we will be able to obtain additional financing. However, there can be no assurance that we will be successful in obtaining such new financing or, if available, that such financing will be on terms favorable to us.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may raise capital through public or private equity financings, partnerships, debt financings, bank borrowings, or other sources. Additional funding may not be available on favorable terms or at all. In our most recent significant financing, our chairman, Richard E. Uihlein, provided $30 million in convertible debt financing in three transactions in 2021. Though his investments in the Company, Mr. Uihlein has been a critical source of funding. There is no assurance as to the level of future investments to be made in the Company by Mr. Uihlein. If adequate funds are not otherwise available, we may need to significantly curtail operations. To obtain additional funding, we may need to enter into arrangements that require us to relinquish rights to certain technologies, products and/or potential markets. To the extent that additional capital is raised through the sale of equity, or securities convertible into equity, our equity holders may experience dilution of their proportionate ownership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development stage company and have not yet generated any revenue.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a development stage company and have not generated any revenues to date. There is no assurance that we will obtain FDA approval of belapectin or other products that we may develop, and, even if we do so, that we will generate revenue sufficient to become profitable. Our failure to generate revenue and profit would likely lead to loss of your investment.</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ability to generate revenue from product sales and achieve profitability will depend upon our ability to successfully commercialize products, including our lead product candidate, or other product candidates that we may in-license or acquire in the future. Even if we are able to successfully achieve regulatory approval for these product candidates, we do not know when any of these products will generate revenue from product sales for us, if at all. Our ability to generate revenue from product sales from our current or future product candidates also depends on a number of additional factors, including our ability to:</w:t>
      </w:r>
    </w:p>
    <w:p>
      <w:pPr>
        <w:spacing w:after="0" w:line="183"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development activities, including the necessary clinical trials;</w:t>
      </w:r>
    </w:p>
    <w:p>
      <w:pPr>
        <w:spacing w:after="0" w:line="225"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 submit new drug applications, or NDAs, to the U.S. Food and Drug Administration, or FDA, and obtain regulatory approval for indications for which there is a commercial market;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 submit applications to, and obtain regulatory approval from, foreign regulatory authorities;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all required regulatory agency inspections;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a commercially viable price for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commercial quantities of our products at acceptable cost levels;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 suitable distribution partners to help us market, sell and distribute our approved products in other markets;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reimbursement from third parties, including government and private payers.</w:t>
      </w:r>
    </w:p>
    <w:p>
      <w:pPr>
        <w:spacing w:after="0" w:line="22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In addition, because of the numerous risks and uncertainties associated with product development, including that our product candidates may not advance through development or achieve the endpoints of applicable clinical trials, we are unable to predict the timing or amount of increased expenses, or when or if we will be able to achieve or maintain profitability. Even if we are able to complete the development and regulatory process for any product candidates, we anticipate incurring significant costs associated with commercializing these products.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If we are unable to generate revenues from the sale of our products,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our operations.</w:t>
      </w:r>
    </w:p>
    <w:p>
      <w:pPr>
        <w:spacing w:after="0" w:line="172"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success of our lead product candidate, belapectin, and we cannot be certain that our product candidates will receive regulatory approval or be successfully commercialized.</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currently have no products for sale, and we cannot guarantee that we will ever have any drug products approved for sale. We and our product candidates are subject to extensive regulation by the FDA and comparable regulatory authorities in other countries governing, among other things, research, testing, clinical trials, manufacturing, labeling, promotion, selling, adverse event reporting and recordkeeping. We are not permitted to market any of our product candidates in or outside the United States until we receive approval of a new drug application for a product candidate from the FDA or the equivalent approval from a foreign regulatory authority. Obtaining FDA approval is a lengthy, expensive and uncertain process.</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Before obtaining regulatory approval for the sale of any drug candidate, we must conduct extensive pre-clinical studies and clinical trials to demonstrate the safety and efficacy of our product candidates in humans.</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To obtain FDA approval, we will need to conduct one or more Phase 3 clinical trial for belapectin; however, we cannot assure you that we will be able to finance Phase 3 trials. Additionally, we cannot assure you that our future trials will yield successful results, that they will lead to the generation of revenue, or that we will obtain regulatory approval in other countries.</w:t>
      </w:r>
    </w:p>
    <w:p>
      <w:pPr>
        <w:spacing w:after="0" w:line="176"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Pre-clinical studies and clinical trials are expensive, time-consuming and ultimately may not be successful. The results of pre-clinical and initial clinical testing of these products may not necessarily indicate the results that will be obtained from later or more extensive testing. Also, it is possible to suffer significant setbacks in advanced clinical trials, even after obtaining promising results in earlier trials. For example, although there was positive data from our NASH-CX Phase 2 trial for belapectin, it did not meet its primary endpoint. Similarly, our Phase 2a pilot trial NASH-FX for patients with advanced fibrosis, which explored three non-invasive imaging technologies, did not meet its primary endpoint. We may engage others to conduct our clinical trials, including clinical research organizations and, possibly, government-sponsored agencies. Additional clinical trials may not start or be completed as we forecast and may not achieve the desired results. The time required to obtain FDA and other approvals is unpredictable but often can take years following the commencement of clinical trials, depending upon the complexity of the drug candidate.</w:t>
      </w:r>
    </w:p>
    <w:p>
      <w:pPr>
        <w:spacing w:after="0" w:line="18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Difficulty and delays in enrolling patients and registering sites for conducting clinical trials may prevent or delay product development and strain our limited financial resources.</w:t>
      </w:r>
    </w:p>
    <w:p>
      <w:pPr>
        <w:spacing w:after="0" w:line="15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There are other life sciences companies conducting clinical trials in patients with the disease indications that our product candidates target. As a result, we must compete with them for clinical sites, physicians and the limited number of patients who fulfill the stringent requirements for participation in clinical trials. Also, due to the confidential nature of clinical trials, we do not know how many of the eligible patients may be enrolled in competing studies and who are consequently not available to us for our clinical trials.</w:t>
      </w:r>
    </w:p>
    <w:p>
      <w:pPr>
        <w:spacing w:after="0" w:line="180"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 addition, our clinical trials have been affected by and may continue to be affected by the COVID-19 pandemic. Clinical site initiation and patient enrollment as well as availability of certain required lab kits for our non-COVID-19 product candidates have been and may continue to be delayed due to prioritization of hospital resources toward the COVID-19 pandemic. Some patients have not been and others may not want or be able to comply with clinical trial protocols if quarantines impede patient movement or interrupt healthcare services. Similarly, any inability to recruit and retain patients and principal investigators and site staff who, as healthcare providers, may have heightened exposure to COVID-19, may adversely impact our clinical trial operations.</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Patient enrollment depends on many factors, including the size of the patient population, the nature of the trial protocol, the proximity of patients to clinical sites, the eligibility criteria for the study and potential reduced enrollment due to the COVID-19 pandemic. The delay or inability to meet planned patient enrollment may result in increased costs and delays or termination of the trial, which could have a harmful effect on our ability to develop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we may be unable to commercialize our product candidates.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Even if belapectin and other future product candidates achieve positive results in clinical trials, we may be unable to commercialize them. The availability of government and third-party payer reimbursement, and pricing, especially compared to competitor products, could affect our ability to commercialize our product candidates. Our general inability to obtain necessary regulatory approvals and, if obtained, to commercialize our products would substantially impair our viability.</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risks associated with our reliance on third parties to design trial protocols, arrange for and monitor the clinical trials, and collect and analyze data.</w:t>
      </w:r>
    </w:p>
    <w:p>
      <w:pPr>
        <w:spacing w:after="0" w:line="15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As we develop products eligible for clinical trials, we will contract with independent parties to assist us in the design of the trial protocols, arrange for and monitor the clinical trials, provide lab kits, collect data and analyze data and samples. In addition, certain clinical trials for our products may be conducted by government-sponsored agencies and will be dependent on governmental participation and funding. We have contracted with a third party, Covance, for assistance with the design and conduct of our NAVIGATE trial.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dependence on independent parties and clinical sites involves risks including reduced control over the timing and other aspects of our clinical trials.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risks associated with our reliance on third parties for manufacturing belapectin.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do not have, and do not now intend to develop, facilities for the manufacture of any of our products, including belapectin, for clinical or commercial production. At this time, we are not a party to any long-term agreement with any of our suppliers, and accordingly, we have our products manufactured on a purchase-order basis from one of two primary suppliers. We are developing relationships with manufacturers and will enter into collaborative arrangements with licensees or have others manufacture our products on a contract basis. We expect to depend on such collaborators to supply us with products manufactured in compliance with standards imposed by the FDA and foreign regulators.</w:t>
      </w:r>
    </w:p>
    <w:p>
      <w:pPr>
        <w:spacing w:after="0" w:line="17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pre-clinical and clinical liability risks which could place a financial burden upon us, should we be sued, because we do not currently have product liability insurance beyond our general insurance coverage.</w:t>
      </w:r>
    </w:p>
    <w:p>
      <w:pPr>
        <w:spacing w:after="0" w:line="15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business exposes us to potential pre-clinical, clinical liability and other liability risks that are inherent in the testing pharmaceutical formulations and products; accordingly, claims may be asserted against us. In addition, the use in our clinical trials of pharmaceutical formulations and products that our potential collaborators may develop and the subsequent sale of such formulations or products by us or our potential collaborators may cause us to assume a portion of or all of the product liability risks. A successful liability claim or series of claims brought against us could have a material adverse effect on our business, financial condition and results of operations. Because we do not currently have any FDA-approved products or formulations, we do not currently have any product liability insurance covering commercialized products. Our current and potential partners with whom we have collaborative agreements or our future licensees may not be willing to indemnify us against these types of liabilities and may not, themselves, be sufficiently insured or have sufficient liquidity to satisfy any product liability claims. Claims or losses in excess of any insurance coverage that may be obtained by us could have a material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in the biotechnology and pharmaceutical industries.</w:t>
      </w:r>
    </w:p>
    <w:p>
      <w:pPr>
        <w:spacing w:after="0" w:line="229"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We face direct competition from U.S. and foreign companies focusing on pharmaceutical products, which are rapidly evolving. Our competitors include major multinational pharmaceutical and chemical companies, specialized biotechnology firms and universities and other research institutions. Many of these competitors possess greater financial and other resources, larger research and development staffs and more effective marketing and manufacturing organizations than we possess. In addition, academic and government institutions are increasingly likely to enter into exclusive licensing agreements with commercial enterprises, including our competitors, to market commercial products based on technology developed at such institutions. Our competitors may succeed in developing or licensing technologies and products that are more effective or succeed in obtaining FDA or other regulatory approvals for product candidates before we do. Acquisitions of, or investments in, competing pharmaceutical or biotechnology companies by large corporations could increase such competitors’ financial, marketing, manufacturing and other resources.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our proposed products is rapidly changing and competitive, and new drugs and new treatments that may be developed by others could impair our ability to maintain and grow our business and remain competitive.</w:t>
      </w:r>
    </w:p>
    <w:p>
      <w:pPr>
        <w:spacing w:after="0" w:line="15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pharmaceutical and biotechnology industries are subject to rapid and substantial technological change. Developments by others may render our proposed products noncompetitive or obsolete, or we may be unable to keep pace with technological developments or other market factors. Technological competition from pharmaceutical and biotechnology companies, universities, governmental entities and others diversifying into the field is intense and is expected to increase. Our resources are limited and we may experience technical challenges inherent in such technologies. Our competitors may develop drugs that are safer, more effective and less costly than our proposed products and, therefore, present a serious competitive threat to us.</w:t>
      </w:r>
    </w:p>
    <w:p>
      <w:pPr>
        <w:spacing w:after="0" w:line="183"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The potential widespread acceptance of therapies that are alternatives to ours may limit market acceptance of our proposed products, even if commercialized. Some of our targeted diseases and conditions may also be treated by other medications. These treatments may be widely accepted in medical communities and have a longer history of use. The established use of these competitive drugs may limit the potential for our technologies, formulations and products to receive widespread acceptance even if commercialized.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lack of operating experience may cause us difficulty in managing our growth.</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limited experience in manufacturing or procuring products in commercial quantities, conducting other later-stage phases of the regulatory approval process, selling pharmaceutical products, and negotiating, establishing and maintaining strategic relationships. Although we may engage consultants to assist us, any additional growth may require us to expand our management, operational and financial systems and controls. If we are unable to do so, our business and financial condition would be materially harmed. If rapid growth occurs, it may strain our managerial, operational and financial resources.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key individuals to develop our products and core technologies and pursue collaborative relationships.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highly dependent on our current base of a few employees and external consultants. These individuals, among other things, design and lead our pre-clinical and clinical studies, as well as our U.S. and European regulatory processes. With little or no redundancy in our personnel, the loss of any personnel or failure to attract or retain other key personnel and consultants could result in a loss of experience and accumulated knowledge and prevent us from developing our products and core technologies and pursuing collaborative relationships.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comply with our reporting and other requirements under federal securities laws.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publicly traded company, we are subject to the reporting requirements of the Exchange Act. The Exchange Act requires that we file annual, quarterly and current reports. Our failure to prepare and disclose this information in a timely manner could subject us to penalties under federal securities laws, expose us to lawsuits and restrict our ability to access financing. We may be required to implement additional and expensive finance and accounting systems, procedures and controls as we grow our business and organization to satisfy new reporting requirements, which will increase our costs and require additional management resources.</w:t>
      </w:r>
    </w:p>
    <w:p>
      <w:pPr>
        <w:spacing w:after="0" w:line="17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long-term success is dependent not only upon the success of our trials but also upon us being able to capitalize upon potential positive results of our trials, which is not assured.</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To conduct Phase 3 clinical trials or other clinical trials we will need sufficient cash resources to conduct those undertakings. We will also need to obtain sufficient dosages of belapectin for such trials. Manufacturing of belapectin is performed by third parties on a contract basis and production is ongoing to generate what we believe are sufficient quantities of belapectin for our NAVIGATE or other clinical trials. Manufacturing could become delayed due to circumstances beyond our control which could delay any clinical trials. Further because of limited resources, we have curtailed most of our expenditures in research focused on the development of an oral galectin inhibitor to replace our current drug candidate that is delivered via infusion.</w:t>
      </w:r>
    </w:p>
    <w:p>
      <w:pPr>
        <w:spacing w:after="0" w:line="179"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previously been a defendant in a shareholder derivative action, and any possible future such lawsuits may adversely affect our business, financial condition, results of operations and cash flows.</w:t>
      </w: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18" w:name="page19"/>
    <w:bookmarkEnd w:id="1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and certain of our officers and directors have previously been defendants in a state court shareholder derivative action that concluded in our favor. In addition, there is the potential for other future shareholder litigation and for governmental investigations and/or enforcement actions. Similar lawsuits in the future may divert our attention from our ordinary business operations, and we may incur significant expenses associated with their defense (including, without limitation, substantial attorneys’ fees and other fees of professional advisors and potential obligations to indemnify current and former officers and directors who are or may become parties to such actions). If similar lawsuits do arise in the future, we may be required to pay material damages and fines, consent to injunctions on future conduct and/or suffer other penalties, remedies or sanctions. Accordingly, the ultimate resolution of these matters could have a material adverse effect on our business, results of operations, financial condition, liquidity and ability to meet any debt obligations and, consequently, could negatively impact the trading price of our common stock. Any existing or future shareholder lawsuits and any future governmental investigations and/or enforcement actions could adversely impact our reputation, our relationships with our customers and our ability to generate revenue.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Regulation of our Products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regulatory approvals to commercialize our products.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required to obtain approval (i) from the FDA in order to sell our products in the U.S. and (ii) from foreign regulatory authorities in order to sell our products in other countries. The FDA’s review and approval process is lengthy, expensive and uncertain. Extensive pre-clinical and clinical data and supporting information must be submitted to the FDA for each indication for each product candidate in order to secure FDA approval. Before receiving FDA clearance to market our proposed products, we will have to demonstrate that our products are safe on the patient population and effective for the diseases that are to be treated. Clinical trials, manufacturing and marketing of drugs are subject to the rigorous testing and approval process of the FDA and equivalent foreign regulatory authorities. FDA may change, at any time, its requirements for approval of new drugs based on information and data received from others and ourselves potentially resulting in product approval delays or non-approvals. The Federal Food, Drug and Cosmetic Act and other federal, state and foreign statutes and regulations govern and influence the testing, manufacture, labeling, advertising, distribution and promotion of drugs and medical devices. As a result, regulatory approvals can take several years to acquire and may further require the expenditure of substantial financial, managerial and other resources. The FDA could reject an application or, in the alternative, require us to conduct additional clinical or other studies as part of the regulatory review process. Delays in obtaining or failure to obtain FDA approvals would delay or prevent the commercialization of our product candidates, which would prevent, defer or decrease our receipt of revenues. In addition, should we receive initial regulatory approval, our product candidates will be subject to extensive and rigorous ongoing domestic and foreign government regulation.</w:t>
      </w:r>
    </w:p>
    <w:p>
      <w:pPr>
        <w:spacing w:after="0" w:line="18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approvals, our marketed drugs will be subject to ongoing regulatory review. If we fail to comply with ongoing regulatory requirements, we could lose our approvals to market drugs, in which case our business would be materially adversely affected.</w:t>
      </w:r>
    </w:p>
    <w:p>
      <w:pPr>
        <w:spacing w:after="0" w:line="15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Following regulatory approval in the United States of any drugs we may develop, we will remain subject to continuing regulatory review, including the review of adverse drug experiences and clinical results that are reported after our drug products are made available to patients. This would include results from any post marketing tests or vigilance required as a condition of approval. The manufacturer and manufacturing facilities we use to make any of our drug products will also be subject to periodic review and inspection by the FDA. The discovery of any new or previously unknown problems with the product, manufacturer or facility may result in restrictions on the drug, manufacturer or facility, including withdrawal of the drug from the market. We would continue to be subject to the FDA requirements governing the labeling, packaging, storage, advertising, promotion, recordkeeping, and submission of safety and other post-market information for all of our product candidates, even those that the FDA had approved. If we fail to comply with applicable continuing regulatory requirements, we may be subject to fines, suspension or withdrawal of regulatory approval, product recalls and seizures, operating restrictions and other adverse consequences.</w:t>
      </w:r>
    </w:p>
    <w:p>
      <w:pPr>
        <w:spacing w:after="0" w:line="18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drug development process to obtain FDA approval is very costly and time consuming, and if we cannot complete our clinical trials in a cost-effective manner, our results of operations may be adversely affected.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and timing of clinical trials may vary significantly over the life of a project owing to the following non-exclusive reasons:</w:t>
      </w:r>
    </w:p>
    <w:p>
      <w:pPr>
        <w:spacing w:after="0" w:line="225"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the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 is conducted;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and ability to enroll eligible patients;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9" w:name="page20"/>
    <w:bookmarkEnd w:id="1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contractors failing to comply with regulatory requirements or meet their contractual obligations to us in a timely manner;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 product candidates having different chemical and pharmacological properties in humans than in lab testing;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suspend or terminate our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or inadequate supply or quality of drug product candidates or other necessary materials to conduct our trials;</w:t>
      </w:r>
    </w:p>
    <w:p>
      <w:pPr>
        <w:spacing w:after="0" w:line="225"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or other conditions required by FDA or comparable foreign regulatory authorities regarding the scope or design of our clinical trials, or other studies requested by regulatory agencies;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engaging IRBs to oversee trials or in obtaining and maintaining IRB approval of studies;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obtaining regulatory approvals;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enforcing or defending patent claims or other intellectual property rights.</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Each of the above factors and other unanticipated factors beyond our control could prevent us from gaining approval for our drugs in a cost-effective and timely manner, which could have a material adverse impact on our business.</w:t>
      </w:r>
    </w:p>
    <w:p>
      <w:pPr>
        <w:spacing w:after="0" w:line="15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Data obtained from clinical trials are not necessarily predictive of future results, may be negative or inconclusive, and are susceptible to varying interpretations, which could delay, limit or prevent regulatory clearances.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Data already obtained, or in the future obtained, from pre-clinical studies and clinical trials do not necessarily predict the results that will be obtained from later pre-clinical studies and clinical trials. Moreover, pre-clinical and clinical data may be negative or inconclusive. In addition, data is susceptible to varying interpretations. Negative or inconclusive data, or data interpreted in various ways, could delay, limit or prevent regulatory approval. A number of companies in the pharmaceutical industry have suffered significant setbacks in advanced clinical trials, even after they obtained promising results in earlier trials. Despite the results reported in some of our earlier clinical trials for belapectin, our clinical trials may not demonstrate sufficient levels of safety and efficacy necessary to obtain the requisite regulatory approvals for our drugs, and thus, our proposed drugs may not be approved for marketing. If later-stage clinical trials do not produce favorable results, our ability to achieve regulatory approval for any of our product candidates may be adversely impacted. The failure to adequately demonstrate the safety and effectiveness of a proposed formulation or product under development could delay or prevent regulatory clearance of the potential drug. The resulting delays in commercialization could materially harm our business.</w:t>
      </w:r>
    </w:p>
    <w:p>
      <w:pPr>
        <w:spacing w:after="0" w:line="18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any marketing approval.</w:t>
      </w:r>
    </w:p>
    <w:p>
      <w:pPr>
        <w:spacing w:after="0" w:line="159" w:lineRule="exact"/>
        <w:rPr>
          <w:sz w:val="20"/>
          <w:szCs w:val="20"/>
          <w:color w:val="auto"/>
        </w:rPr>
      </w:pPr>
    </w:p>
    <w:p>
      <w:pPr>
        <w:jc w:val="both"/>
        <w:ind w:right="160"/>
        <w:spacing w:after="0" w:line="289" w:lineRule="auto"/>
        <w:rPr>
          <w:sz w:val="20"/>
          <w:szCs w:val="20"/>
          <w:color w:val="auto"/>
        </w:rPr>
      </w:pPr>
      <w:r>
        <w:rPr>
          <w:rFonts w:ascii="Times New Roman" w:cs="Times New Roman" w:eastAsia="Times New Roman" w:hAnsi="Times New Roman"/>
          <w:sz w:val="17"/>
          <w:szCs w:val="17"/>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authority. Although we are not currently aware of any undesirable side effects caused by our product candidates, it is possible that they may be identified in the clinical trial process.</w:t>
      </w:r>
    </w:p>
    <w:p>
      <w:pPr>
        <w:spacing w:after="0" w:line="1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a result of undesirable side effects or safety or toxicity issues that we may experience in our clinical trials, we may not receive approval to market any product candidates, which could prevent us from ever generating revenues or achieving profitability. Results of our trials could reveal an unacceptably high severity and prevalence of side effects. In such an event, our trials could be suspended or terminated, and the FDA or comparable foreign regulatory authorities could order us to cease further development or deny approval of our product candidates for any or all targeted indications. These side effects could affect patient recruitment or the ability of enrolled subjects to complete the trial or result in potential product liability claims.</w:t>
      </w: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0" w:name="page21"/>
    <w:bookmarkEnd w:id="2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Additionally, if any of our product candidates receives marketing approval, and we or others later identify undesirable side effects caused by such product, a number of potentially significant negative consequences could result, including:</w:t>
      </w:r>
    </w:p>
    <w:p>
      <w:pPr>
        <w:spacing w:after="0" w:line="162"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forced to suspend marketing of such product;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approvals of such product;</w:t>
      </w:r>
    </w:p>
    <w:p>
      <w:pPr>
        <w:spacing w:after="0" w:line="225"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that could diminish the usage or otherwise limit the commercial success of such products;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post-market studies;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subjects or patients;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regulatory approval in international jurisdictions would prevent our product candidates from being marketed abroad.</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order to market and sell our products in the European Union and many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market. If we are unable to obtain approval of any of our product candidates by regulatory authorities in the European Union or other countries, the commercial prospects of that product candidate may be significantly diminished, and our business prospects could decline.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competitive position is contingent upon the protection of our intellectual property.</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Development and protection of our intellectual property are critical to our business. All of our intellectual property, patented or otherwise, has been invented and/or developed by employees or former employees of the Company. Our success depends, in part, on our ability to obtain patent protection for our products or processes in the U.S. and other countries, protect trade secrets and prevent others from infringing on our proprietary rights. We will only be able to protect our product candidates from unauthorized making, using, selling, offering to sell or importation by third parties to the extent that we have rights under valid and enforceable patents or trade secrets that cover these activities. If we do not adequately protect our intellectual property, competitors may be able to practice our technologies.</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patent positions of pharmaceutical and biotechnology companies can be highly uncertain and involve complex legal and factual questions for which important legal principles remain unresolved. No consistent policy regarding the breadth of claims allowed in biotechnology patents has emerged to date in the United States. The biotechnology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in our pending patent applications or enforced in our issued patents or in third-party patents.</w:t>
      </w:r>
    </w:p>
    <w:p>
      <w:pPr>
        <w:spacing w:after="0" w:line="18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competitive with our product candidates but are not covered by the claims of our patents;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our pending patent applications;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for these inventions;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result in issued patents;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We also may rely on trade secrets to protect our technology, especially where we do not believe patent protection is appropriate or obtainable. However, trade secrets are difficult to protect. Although we require our scientific and technical employees and consultants to enter into broad assignment of inventions agreements, and all of our employees, consultants and corporate partners with access to proprietary information to enter into confidentiality agreements, these agreements may not be honored. Enforcing a claim that a third party illegally obtained, and is using, our trade secrets is expensive and time consuming, and the outcome is unpredictable. In addition, courts outside the United States are sometimes less willing to protect trade secrets. Moreover, our competitors may independently develop equivalent knowledge, methods and know-how.</w:t>
      </w:r>
    </w:p>
    <w:p>
      <w:pPr>
        <w:spacing w:after="0" w:line="18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litigation or other proceedings relating to patent and other intellectual property rights, and we may be unable to protect our rights to, or use of, our technology.</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Some or all of our patent applications may not issue as patents, or the claims of any issued patents may not afford meaningful protection for our technologies or products. In addition, patents issued to us or our licensors, if any, may be challenged and subsequently narrowed, invalidated or circumvented. Patent litigation is widespread in the biotechnology industry and could harm our business. Litigation might be necessary to protect our patent position or to determine the scope and validity of third-party proprietary rights.</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If we choose to go to court to stop someone else from using the inventions claimed in our patents, that individual or company would have the right to ask the court to rule that such patents are invalid and/or should not be enforced against that third party. These lawsuits are expensive, and we may not have the required resources to pursue such litigation or to protect our patent rights. In addition, there is a risk that the court will decide that these patents are not valid and that we do not have the right to stop the other party from using the inventions. There is also the risk that, even if the validity of these patents is upheld, the court will refuse to stop the other party on the ground that such other party’s activities do not infringe our rights in these patents.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Furthermore, a third party may claim that we are using inventions covered by the third party’s patent rights and may go to court to stop us from engaging in our normal operations and activities, including making or selling our product candidates. These lawsuits are costly and could affect our results of operations and divert the attention of managerial and technical personnel. There is a risk that a court would decide that we are infringing the third party’s patents and would order us to stop the activities covered by the patents. In addition, there is a risk that a court will order us to pay the other party treble damages for having violated the other party’s patents. The biotechnology industry has produced a proliferation of patents, and it is not always clear to industry participants, including us, which patents cover various types of products or methods of use. The coverage of patents is subject to interpretation by the courts, and the interpretation is not always uniform. If we are sued for patent infringement, we would need to demonstrate that our products or methods of use either do not infringe the claims of the relevant patent and/or that the patent claims are invalid, and we may not be able to do this. Proving invalidity in the U.S., in particular, is difficult since it requires a showing of clear and convincing evidence to overcome the presumption of validity enjoyed by issued patents.</w:t>
      </w:r>
    </w:p>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Because some patent applications in the United States may be maintained in secrecy until the patents are issued, patent applications in the United States and many foreign jurisdictions are typically not published until eighteen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technology similar to ours. Any such patent application may have priority over our patent applications and could further require us to obtain rights to issued patents covering such technologies. If another party has filed a United States patent application on inventions similar to ours, we may have to participate in an interference or other proceeding in the PTO or a court to determine priority of invention in the United States. The costs of these proceedings could be substantial, and it is possible that such efforts would be unsuccessful, resulting in a loss of our United States patent position with respect to such inventions.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72"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upon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secure trademark registration could adversely affect our ability to market our product candidates and our business.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trademark applications in the United States, when filed, and any other jurisdictions where we may file may not be allowed for registration, and our registered trademarks may not be maintained or enforced. During trademark registration proceedings, we may receive rejections. Although we are given an opportunity to respond to those rejections, we may be unable to overcome such rejections. In addition, in the PTO and in comparable agencies in many foreign jurisdictions, third parties are given an opportunity to oppose pending trademark applications and to seek to cancel registered trademarks. Opposition or cancellation proceedings may be filed against our applications and/or registrations, and our applications and/or registrations may not survive such proceedings. Failure to secure such trademark registrations in the United States and in foreign jurisdictions could adversely affect our ability to market our product candidates and our business.</w:t>
      </w:r>
    </w:p>
    <w:p>
      <w:pPr>
        <w:spacing w:after="0" w:line="18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impede our ability to compete.</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Because we operate in the highly technical field of biotechnology and pharmaceutical development,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all of our employees, consultants and corporate partners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 that provide that inventions conceived by the party in the course of rendering services to us will be our exclusive property. However, these agreements may not be honored and may not effectively assign intellectual property rights to us. Enforcing a claim that a party illegally obtained and is using our trade secrets or know-how is difficult, expensive and time consuming, and the outcome is unpredictable. In addition, courts outside the United States may be less willing to protect trade secrets or know-how. The failure to obtain or maintain trade secret protection could adversely affect our competitive position.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have wrongfully used or disclosed alleged trade secrets of their former employers.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 and Cybersecurity</w:t>
      </w:r>
    </w:p>
    <w:p>
      <w:pPr>
        <w:spacing w:after="0" w:line="2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information technology and our systems and infrastructure face certain risks, including from cybersecurity breaches and data leakage.</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rely extensively on information technology systems, networks and services that are managed and hosted provided by third-parties or their vendors, to assist in conducting our business. A significant breakdown, invasion, corruption, destruction or interruption of critical information technology systems or infrastructure, by our personnel or others with authorized access to our systems or unauthorized persons could negatively impact our operations. The ever-increasing use and evolution of technology, including cloud-based computing, creates opportunities for the unintentional dissemination or intentional destruction or modification of confidential information stored in our, or our third-party providers’ systems, portable media or storage devices. We could also experience a business interruption, theft of confidential information or reputational damage from malicious cyber-attacks, which may compromise our system infrastructure or lead to data leakage, either internally or at our third-party providers. As the COVID-19 pandemic continues to progress, we have observed an increase in cybersecurity incidents across the industry, predominantly ransomware and social engineering attacks. As the cyber-threat landscape evolves, these attacks are growing in frequency, sophistication and intensity, and due to the nature of some of these attacks, there is also a risk that they may remain undetected for a period of time. There can be no assurance that we will be able to prevent breakdowns or breaches to our or our third-party providers’ databases or systems that could adversely affect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adversely affected by several factors. This could subject us to securities class action litigation, and our stockholders could incur substantial losses.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of our common stock could fluctuate significantly in response to various factors and events, including but not limited to:</w:t>
      </w:r>
    </w:p>
    <w:p>
      <w:pPr>
        <w:spacing w:after="0" w:line="225"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pre-clinical studies and clinical trials, including interim results, as well as those of our competitors;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operations, technology, products and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business plan;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results below expectations;</w:t>
      </w:r>
    </w:p>
    <w:p>
      <w:pPr>
        <w:spacing w:after="0" w:line="225" w:lineRule="exact"/>
        <w:rPr>
          <w:rFonts w:ascii="Times New Roman" w:cs="Times New Roman" w:eastAsia="Times New Roman" w:hAnsi="Times New Roman"/>
          <w:sz w:val="18"/>
          <w:szCs w:val="18"/>
          <w:color w:val="auto"/>
        </w:rPr>
      </w:pPr>
    </w:p>
    <w:p>
      <w:pPr>
        <w:ind w:left="980" w:right="62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of additional securities, including debt or equity or a combination thereof, which may be necessary to fund our operating expenses and the cost of our clinical trials;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or new products by us or our competitors;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any strategic relationship;</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developments, including, without limitation, changes in healthcare policies or practices or third-party reimbursement policies;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proprietary rights, including patents, litigation matters, and our ability to obtain patent protection for our technologies;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other external factors;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 active trading market in our common stock develops and is maintained;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engagement and retention of senior management needed for our clinical trials; and</w:t>
      </w:r>
    </w:p>
    <w:p>
      <w:pPr>
        <w:spacing w:after="0" w:line="225"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novel and unforeseen market forces and trading strategies, such as the massive short squeeze rally caused by retail investors on companies such as Gamestop.</w:t>
      </w:r>
    </w:p>
    <w:p>
      <w:pPr>
        <w:sectPr>
          <w:pgSz w:w="11900" w:h="16838" w:orient="portrait"/>
          <w:cols w:equalWidth="0" w:num="1">
            <w:col w:w="11220"/>
          </w:cols>
          <w:pgMar w:left="320" w:top="115" w:right="359" w:bottom="1440" w:gutter="0" w:footer="0" w:header="0"/>
        </w:sect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type w:val="continuous"/>
        </w:sectPr>
      </w:pPr>
    </w:p>
    <w:bookmarkStart w:id="24" w:name="page25"/>
    <w:bookmarkEnd w:id="2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the market price for securities of pharmaceutical and biotechnology companies historically has been highly volatile, and the securities markets have from time-to-time experienced significant price and volume fluctuations that are unrelated to the operating performance of particular companies. These broad market fluctuations may cause the market price of our common stock to decline substantially.</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including us, following a decline in the market price of its securities. This risk is especially relevant for us because biotechnology and biopharmaceutical companies have experienced significant stock price volatility in recent years. As described above, we have recently defended a consolidated federal securities class action lawsuit and a consolidated shareholder derivative actions, and we may become involved in additional instances of this type of litigation in the future. Litigation often is expensive and diverts management’s attention and resources, which could materially and adversely affect our business.</w:t>
      </w:r>
    </w:p>
    <w:p>
      <w:pPr>
        <w:spacing w:after="0" w:line="18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Additionally, fluctuations in the trading price or liquidity of our common stock may materially and adversely affect, among other things, the interest of investors to purchase our common stock on the open market and, generally, our ability to raise capital.</w:t>
      </w:r>
    </w:p>
    <w:p>
      <w:pPr>
        <w:spacing w:after="0" w:line="15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has the power to designate, without stockholder approval, additional series of preferred capital, the shares of which could be senior to our common stock and be entitled to conversion or voting rights that adversely affect the holders of our common stock.</w:t>
      </w:r>
    </w:p>
    <w:p>
      <w:pPr>
        <w:spacing w:after="0" w:line="159" w:lineRule="exact"/>
        <w:rPr>
          <w:sz w:val="20"/>
          <w:szCs w:val="20"/>
          <w:color w:val="auto"/>
        </w:rPr>
      </w:pPr>
    </w:p>
    <w:p>
      <w:pPr>
        <w:jc w:val="both"/>
        <w:ind w:right="180"/>
        <w:spacing w:after="0" w:line="256" w:lineRule="auto"/>
        <w:rPr>
          <w:sz w:val="20"/>
          <w:szCs w:val="20"/>
          <w:color w:val="auto"/>
        </w:rPr>
      </w:pPr>
      <w:r>
        <w:rPr>
          <w:rFonts w:ascii="Times New Roman" w:cs="Times New Roman" w:eastAsia="Times New Roman" w:hAnsi="Times New Roman"/>
          <w:sz w:val="18"/>
          <w:szCs w:val="18"/>
          <w:color w:val="auto"/>
        </w:rPr>
        <w:t>Our articles of incorporation authorize the issuance of capital stock including 20,000,000 authorized undesignated shares (all have been designated as of December 31, 2021), and empowers our board of directors to prescribe, by resolution and without stockholder approval, a class or series of undesignated shares, including the number of shares in the class or series and the voting powers, designations, rights, preferences, restrictions and the relative rights in each such class or series. Accordingly, in the event that additional undesignated shares are authorized under our charter documents, our board of directors may designate and issue additional shares or series of preferred stock that would rank senior to the shares of common stock as to dividend rights or rights upon our liquidation, winding-up, or dissolution</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Nevada law and our charter documents could make it more difficult for a third party to acquire us and discourage a takeover, which could depress the trading price of our common stock.</w:t>
      </w:r>
    </w:p>
    <w:p>
      <w:pPr>
        <w:spacing w:after="0" w:line="15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Nevada corporate law and our articles of incorporation and bylaws contain provisions that could discourage, delay, or prevent a change in control of our Company or changes in our management that our stockholders may deem advantageous. For example, holders of our common stock do not have cumulative voting rights in the election of directors, meaning that stockholders owning a majority of our outstanding shares of common stock will be able to elect all of our directors. In addition, because if and when we have 200 or more stockholders of record, we are subject to the “business combinations” provisions of the Nevada Revised Statutes, or NRS. These provisions could prohibit or delay a merger or other takeover or change in control attempt and, accordingly, may discourage attempts to acquire our Company even though such a transaction may be in our stockholders’ best interest and offer our stockholders the opportunity to sell their stock at a price above the prevailing market price.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issue additional common stock, which might dilute the net tangible book value per share of our common stock.</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board of directors has the authority, without action or vote of our stockholders, to issue all or a part of our authorized but unissued shares. Such stock issuances could be made at a price that reflects a discount to, or a premium from, the then-current market price of our common stock. In addition, in order to raise capital, we may need to issue securities that are convertible into or exchangeable for a significant amount of our common stock. We may engage in additional capital raising transactions within the next twelve months, which would likely result in issuances of additional shares which would be dilutive to current shareholders. These issuances would dilute the percentage ownership interest, which would have the effect of reducing your influence on matters on which our stockholders vote, and might dilute the net tangible book value per share of our common stock. You may incur additional dilution if holders of stock options, whether currently outstanding or subsequently granted, exercise their options, or if the holders of warrants, whether currently outstanding or subsequently granted, exercise their warrants to purchase shares of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the common stock may cause the price of our common stock to decline.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Finance transactions resulting in a large amount of newly issued shares that become readily tradable, or other events that cause current stockholders to sell shares, could place downward pressure on the trading price of our stock. Some of our shareholders have registration rights to facilitate sales of large blocks of our common stock. We have filed a shelf registration statement to allow registered sales by us of up to $100 million, which includes the offer and sell shares of our common stock having an aggregate offering price of up to $40,000,000 from time to time pursuant to our At The Market Issuance Sales Agreement with H.C. Wainwright &amp; Co., LLC. We may consider additional or other capital raising transactions within the next twelve months, which would likely result in issuances of additional shares that would be dilutive to current shareholders. In addition, the lack of a robust resale market may require a stockholder who desires to sell a large number of shares of common stock to sell the shares in increments over time to mitigate any adverse impact of the sales on the market price of our stock.</w:t>
      </w:r>
    </w:p>
    <w:p>
      <w:pPr>
        <w:spacing w:after="0" w:line="192" w:lineRule="exact"/>
        <w:rPr>
          <w:sz w:val="20"/>
          <w:szCs w:val="20"/>
          <w:color w:val="auto"/>
        </w:rPr>
      </w:pPr>
    </w:p>
    <w:p>
      <w:pPr>
        <w:jc w:val="both"/>
        <w:ind w:right="260"/>
        <w:spacing w:after="0" w:line="258" w:lineRule="auto"/>
        <w:rPr>
          <w:sz w:val="20"/>
          <w:szCs w:val="20"/>
          <w:color w:val="auto"/>
        </w:rPr>
      </w:pPr>
      <w:r>
        <w:rPr>
          <w:rFonts w:ascii="Times New Roman" w:cs="Times New Roman" w:eastAsia="Times New Roman" w:hAnsi="Times New Roman"/>
          <w:sz w:val="18"/>
          <w:szCs w:val="18"/>
          <w:color w:val="auto"/>
        </w:rPr>
        <w:t>If our stockholders sell, or the market perceives that our stockholders intend to sell for various reasons substantial amounts of our common stock in the public market, including shares issued upon the exercise of outstanding options or warrants, the market price of our common stock could fall. Sales of a substantial number of shares of our common stock may make it more difficult for us to sell equity or equity-related securities in the future at a time and price that we deem reasonable or appropriate. We may become involved in securities class action litigation that could divert management’s attention and harm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paid cash dividends on our common stock in the past and do not expect to pay cash dividends in the foreseeable future.</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common stock and do not anticipate paying cash dividends on our common stock in the foreseeable future. The payment of dividends on our common stock will depend on our earnings, financial condition and other business and economic factors affecting us at such time as the board of directors may consider relevant. If we do not pay dividends, our common stock may be less valuable because a return on your investment will only occur if the market price of our common stock price appreciates.</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shares of common stock have been thinly traded, so you may be unable to sell at or near ask prices or even at all if you need to sell your shares to raise money or otherwise desire to liquidate your shares.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cannot predict the extent to which an active public market for our common stock will develop or be sustained. Our common stock is currently traded on The NASDAQ Capital Market and experiences periods when it is considered “thinly-traded.” This situation may be attributable to several factors, including the fact that we are a small company that is relatively unknown to stock analysts, stockbrokers, institutional investors and others in the investment community that generate or influence sales volume. Furthermore, even if our stock came to the attention of such persons, they may be reluctant to follow us or purchase or recommend the purchase of our shares. Therefore, there may be periods of several days, weeks or months when trading activity in our shares is minimal, as compared to a seasoned issuer that has a large and steady volume of trading activity that will generally support continuous sales without an adverse effect on share price. We cannot give you any assurance that a broader or more active public trading market for our common stock will be sustained, or that current trading levels will be sustained or not diminish.</w:t>
      </w:r>
    </w:p>
    <w:p>
      <w:pPr>
        <w:spacing w:after="0" w:line="18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by our principal stockholders may limit your ability to influence the outcome of director elections and other transactions requiring stockholder approval.</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significant percentage of our outstanding stock is held by a limited number of investors, including Richard E. Uihlein. Mr. Uihlein, the chairman of our board of directors, who beneficially owns approximately 13.4% of our outstanding common stock as of February 28, 2022 (which does not include any shares issuable upon exercise of options and warrants) and the 10X Fund, LP , which now owns 10.4% of the issued and outstanding shares of common stock of the Company as of February 28, 2022 (which does not include any shares issuable upon exercise of options and warrants). Mr. Uihlein is also an investor in the 10X Fund as a limited partner but is not deemed to be a beneficial owner of, or have a reportable interest in, any shares owned by 10X Fund. As a result of their ownership of shares of common stock, Mr. Uihlein and 10X Fund have and will have significant influence over corporate actions requiring stockholder approval, including the following actions:</w:t>
      </w:r>
    </w:p>
    <w:p>
      <w:pPr>
        <w:spacing w:after="0" w:line="189"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or defeat the election of our directors;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or prevent amendment of our certificate of incorporation or bylaws;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or prevent a merger, sale of assets or other corporate transaction;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control the outcome of any other matter submitted to our stockholders for vote.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Such persons’ stock ownership may discourage a potential acquirer from making a tender offer or otherwise attempting to obtain control of our company, which in turn could reduce our stock price or prevent our stockholders from realizing a premium over our stock price.</w:t>
      </w:r>
    </w:p>
    <w:p>
      <w:pPr>
        <w:spacing w:after="0" w:line="15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Richard E. Uihlein’s and 10X Fund’s significant ownership positions may deter or prevent efforts by other companies to acquire us, which could prevent our stockholders from realizing a control premium.</w:t>
      </w:r>
    </w:p>
    <w:p>
      <w:pPr>
        <w:spacing w:after="0" w:line="15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As a result of Mr. Uihlein’s and 10X Fund’s significant ownership and Mr. Uihlein’s position as chairman of the board of directors, other companies may be less inclined to pursue an acquisition of us or we may not have the opportunity to be acquired in a transaction that stockholders might otherwise deem favorable, including transactions in which our stockholders might realize a substantial premium for their shares.</w:t>
      </w:r>
    </w:p>
    <w:p>
      <w:pPr>
        <w:spacing w:after="0" w:line="17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Richard E. Uilhlein and/or 10X Fund could sell or transfer a substantial number of shares of our common stock, which could depress the price of our securities or result in a change in control of our company.</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Although Mr. Uihlein has held common stock of the Company since 2012 and has not sold any of the shares of common stock that he has acquired during this time period, and although 10X Fund has been a long-time investor in the Company, neither Mr. Uihlein nor 10X Fund are subject to any contractual restrictions with us on their ability to sell or transfer our common stock on the open market, in privately negotiated transactions or otherwise, and these sales or transfers could create substantial declines in the price of our securities or, if these sales or transfers were made to a single buyer or group of buyers, could contribute to a transfer of control of our company to a third party. Sales by Mr. Uihlein or 10X Fund of a substantial number of shares, or the expectation of such sales, could cause a significant reduction in the market price of our common stock.</w:t>
      </w:r>
    </w:p>
    <w:p>
      <w:pPr>
        <w:spacing w:after="0" w:line="18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The outbreak of the novel strain of coronavirus, SARS-CoV-2, which causes COVID-19, could adversely impact our business, including our preclinical studies and clinical trials.</w:t>
      </w:r>
    </w:p>
    <w:p>
      <w:pPr>
        <w:spacing w:after="0" w:line="15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a result of the COVID-19 outbreak, or similar future pandemics, we have and may in the future experience disruptions that could severely impact our business and our anticipated rollout and/or continuation of our NAVIGATE trial, including:</w:t>
      </w:r>
    </w:p>
    <w:p>
      <w:pPr>
        <w:spacing w:after="0" w:line="162"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patients in our clinical trials;</w:t>
      </w:r>
    </w:p>
    <w:p>
      <w:pPr>
        <w:spacing w:after="0" w:line="225"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non-clinical experiments due to unforeseen circumstances at contract research organizations and vendors along their supply chain;</w:t>
      </w:r>
    </w:p>
    <w:p>
      <w:pPr>
        <w:spacing w:after="0" w:line="161"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rates of patients withdrawing from our clinical trials following enrollment as a result of contracting COVID-19, being forced to quarantine, or not accepting in office or home health visits;</w:t>
      </w:r>
    </w:p>
    <w:p>
      <w:pPr>
        <w:spacing w:after="0" w:line="161" w:lineRule="exact"/>
        <w:rPr>
          <w:rFonts w:ascii="Times New Roman" w:cs="Times New Roman" w:eastAsia="Times New Roman" w:hAnsi="Times New Roman"/>
          <w:sz w:val="18"/>
          <w:szCs w:val="18"/>
          <w:color w:val="auto"/>
        </w:rPr>
      </w:pPr>
    </w:p>
    <w:p>
      <w:pPr>
        <w:ind w:left="980" w:right="6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sites for our NAVIGATE trial and hospital staff supporting the conduct of such trials;</w:t>
      </w:r>
    </w:p>
    <w:p>
      <w:pPr>
        <w:spacing w:after="0" w:line="161"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(particularly any procedures that may be deemed non-essential), which may impact the integrity of subject data and clinical study endpoints;</w:t>
      </w:r>
    </w:p>
    <w:p>
      <w:pPr>
        <w:spacing w:after="0" w:line="175"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and comparable foreign regulatory agencies, which may impact review and approval timelines;</w:t>
      </w:r>
    </w:p>
    <w:p>
      <w:pPr>
        <w:spacing w:after="0" w:line="16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receiving, supplies of our product candidates from our contract manufacturing organizations due to staffing shortages, production slowdowns or stoppages and disruptions in delivery systems; and</w:t>
      </w:r>
    </w:p>
    <w:p>
      <w:pPr>
        <w:spacing w:after="0" w:line="161" w:lineRule="exact"/>
        <w:rPr>
          <w:rFonts w:ascii="Times New Roman" w:cs="Times New Roman" w:eastAsia="Times New Roman" w:hAnsi="Times New Roman"/>
          <w:sz w:val="18"/>
          <w:szCs w:val="18"/>
          <w:color w:val="auto"/>
        </w:rPr>
      </w:pPr>
    </w:p>
    <w:p>
      <w:pPr>
        <w:ind w:left="98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employee resources that would otherwise be focused on the conduct of our preclinical studies and clinical trials, including because of sickness of employees or their families, the desire of employees to avoid contact with large groups of people, an increased reliance on working from home or mass transit disruptions.</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These and other factors arising from the COVID-19 pandemic could worsen in countries that are already afflicted with COVID-19, could continue to spread to additional countries, or could return to countries where the pandemic has been partially contained, each of which could further adversely impact our ability to conduct clinical trials and our business generally, and could have a material adverse impact on our operations and financial condition and results.</w:t>
      </w: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27" w:name="page28"/>
    <w:bookmarkEnd w:id="2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the trading prices for our common stock and other biopharmaceutical companies have been highly volatile as a result of the COVID-19 epidemic. As a result, we may face difficulties raising capital through sales of our common stock or such sales may be on unfavorable terms. The COVID-19 outbreak continues to rapidly evolve. The extent to which the outbreak may impact our business, preclinical studies and clinical trials will depend on future developments, which are highly uncertain and cannot be predicted with confidence, such as the ultimate geographic spread of the disease, the duration of the outbreak, travel restrictions and actions to contain the outbreak or treat its impact, such as social distancing and quarantines or lock-downs in the United States and other countries, business closures or business disruptions and the effectiveness of actions taken in the United States and other countries to contain and treat the disease.</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We lease 3,610 square feet for our executive offices located at 4960 Peachtree Industrial Blvd., Norcross, GA. We also lease on a month-to-month basis approximately 300 square feet in Natick, MA, for use by research and development employees and which is collocated with one of our research and development service vendors. We believe these spaces are suitable for our present operations.</w:t>
      </w:r>
    </w:p>
    <w:p>
      <w:pPr>
        <w:spacing w:after="0" w:line="17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229"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From time to time, the Company is exposed to litigation relating to its operations. The Company is not currently engaged in any legal proceedings that are expected, individually or in the aggregate, to have a material, adverse effect on its financial condition or results of operations.</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5" w:right="439" w:bottom="1440" w:gutter="0" w:footer="0" w:header="0"/>
        </w:sectPr>
      </w:pPr>
    </w:p>
    <w:bookmarkStart w:id="28" w:name="page29"/>
    <w:bookmarkEnd w:id="2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began trading on The NASDAQ Capital Market under the symbol GALT effective March 23, 2012.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Common Stock</w:t>
      </w:r>
    </w:p>
    <w:p>
      <w:pPr>
        <w:spacing w:after="0" w:line="229"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As of February 28, 2022, there were 138 shareholders of record of our common stock. Because shares of our common stock are held by depositaries, brokers and other nominees, the number of beneficial holders of our shares is substantially larger than the number of record 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We have never paid cash dividends on our common stock and do not anticipate paying cash dividends on our common stock in the foreseeable future. The payment of dividends on our common stock will depend on our earnings, financial condition and other business and economic factors affecting us at such time as the board of directors may consider relevant.</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[Reserved]</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at least March 31, 2023;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197"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early stage of development,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since our inception and cannot assure you that we will generate revenue or profit,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additional outside capital,</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enter into strategic partnerships for the development, commercialization, manufacturing and distribution of our proposed product candidates,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any litigation,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our technology and clinical trials, including expected dates of availability of clinical data,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the efficacy and safety of our developmental product candidates in human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improve upon, protect and/or enforce our intellectual property,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9" w:name="page30"/>
    <w:bookmarkEnd w:id="2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left="980" w:right="400" w:hanging="324"/>
        <w:spacing w:after="0" w:line="312" w:lineRule="auto"/>
        <w:tabs>
          <w:tab w:leader="none" w:pos="9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139"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stock price volatility in the biotechnology industry,</w:t>
      </w:r>
    </w:p>
    <w:p>
      <w:pPr>
        <w:spacing w:after="0" w:line="225"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trading volume for our stock, concentration of ownership of our stock, and other risks detailed herein and from time to time in our SEC reports, and</w:t>
      </w:r>
    </w:p>
    <w:p>
      <w:pPr>
        <w:spacing w:after="0" w:line="161"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resulting from the outbreak of COVID-19, which has delayed and may continue to delay our clinical trial and development efforts, as well as the impact that COVID-19 has on the volatility of the capital market and our ability to access the capital market.</w:t>
      </w:r>
    </w:p>
    <w:p>
      <w:pPr>
        <w:spacing w:after="0" w:line="162" w:lineRule="exact"/>
        <w:rPr>
          <w:sz w:val="20"/>
          <w:szCs w:val="20"/>
          <w:color w:val="auto"/>
        </w:rPr>
      </w:pPr>
    </w:p>
    <w:p>
      <w:pPr>
        <w:ind w:right="80" w:firstLine="441"/>
        <w:spacing w:after="0" w:line="255" w:lineRule="auto"/>
        <w:rPr>
          <w:sz w:val="20"/>
          <w:szCs w:val="20"/>
          <w:color w:val="auto"/>
        </w:rPr>
      </w:pPr>
      <w:r>
        <w:rPr>
          <w:rFonts w:ascii="Times New Roman" w:cs="Times New Roman" w:eastAsia="Times New Roman" w:hAnsi="Times New Roman"/>
          <w:sz w:val="18"/>
          <w:szCs w:val="18"/>
          <w:color w:val="auto"/>
        </w:rPr>
        <w:t>We caution investors that actual results or business conditions may differ materially from those projected or suggested in forward-looking statements as a result of various factors including, but not limited to, those described above and in the Risk Factors section of this annual report on Form 10-K.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 We undertake no obligation to publicly release the result of any revision of these forward-looking statements to reflect events or circumstances after the date they are made or to reflect the occurrence of unanticipated events.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from the Years Ended December 31, 2021 and 2020</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50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50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6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21"/>
                <w:szCs w:val="21"/>
                <w:color w:val="auto"/>
              </w:rPr>
            </w:pPr>
          </w:p>
        </w:tc>
        <w:tc>
          <w:tcPr>
            <w:tcW w:w="23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2021 as Compared to 2020</w:t>
            </w:r>
          </w:p>
        </w:tc>
      </w:tr>
      <w:tr>
        <w:trPr>
          <w:trHeight w:val="223"/>
        </w:trPr>
        <w:tc>
          <w:tcPr>
            <w:tcW w:w="50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19"/>
                <w:szCs w:val="19"/>
                <w:color w:val="auto"/>
              </w:rPr>
            </w:pPr>
          </w:p>
        </w:tc>
      </w:tr>
      <w:tr>
        <w:trPr>
          <w:trHeight w:val="216"/>
        </w:trPr>
        <w:tc>
          <w:tcPr>
            <w:tcW w:w="5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3"/>
              </w:rPr>
              <w:t>(in thousands,</w:t>
            </w:r>
          </w:p>
        </w:tc>
        <w:tc>
          <w:tcPr>
            <w:tcW w:w="220" w:type="dxa"/>
            <w:vAlign w:val="bottom"/>
          </w:tcPr>
          <w:p>
            <w:pPr>
              <w:spacing w:after="0"/>
              <w:rPr>
                <w:sz w:val="18"/>
                <w:szCs w:val="18"/>
                <w:color w:val="auto"/>
              </w:rPr>
            </w:pPr>
          </w:p>
        </w:tc>
        <w:tc>
          <w:tcPr>
            <w:tcW w:w="1060" w:type="dxa"/>
            <w:vAlign w:val="bottom"/>
            <w:tcBorders>
              <w:top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except %)</w:t>
            </w:r>
          </w:p>
        </w:tc>
        <w:tc>
          <w:tcPr>
            <w:tcW w:w="1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23,818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17,976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5,842</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r>
    </w:tbl>
    <w:p>
      <w:pPr>
        <w:spacing w:after="0" w:line="198" w:lineRule="exact"/>
        <w:rPr>
          <w:sz w:val="20"/>
          <w:szCs w:val="20"/>
          <w:color w:val="auto"/>
        </w:rPr>
      </w:pPr>
    </w:p>
    <w:p>
      <w:pPr>
        <w:ind w:right="120" w:firstLine="441"/>
        <w:spacing w:after="0" w:line="254" w:lineRule="auto"/>
        <w:rPr>
          <w:sz w:val="20"/>
          <w:szCs w:val="20"/>
          <w:color w:val="auto"/>
        </w:rPr>
      </w:pPr>
      <w:r>
        <w:rPr>
          <w:rFonts w:ascii="Times New Roman" w:cs="Times New Roman" w:eastAsia="Times New Roman" w:hAnsi="Times New Roman"/>
          <w:sz w:val="18"/>
          <w:szCs w:val="18"/>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and for additional toxicology studies to support advanced development, including payments to vendors for services related to product experiments and discovery, toxicology, pharmacology, metabolism and efficacy studies, as well as manufacturing process development for a drug candidate. We have two product candidates, belapectin and GM-CT-01; however only belapectin is in active development.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Our research and development expenses were as follows:</w:t>
            </w: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38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Direct external expenses:</w:t>
            </w: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136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380" w:type="dxa"/>
            <w:vAlign w:val="bottom"/>
            <w:gridSpan w:val="2"/>
            <w:vMerge w:val="continue"/>
          </w:tcPr>
          <w:p>
            <w:pPr>
              <w:spacing w:after="0"/>
              <w:rPr>
                <w:sz w:val="16"/>
                <w:szCs w:val="16"/>
                <w:color w:val="auto"/>
              </w:rPr>
            </w:pPr>
          </w:p>
        </w:tc>
        <w:tc>
          <w:tcPr>
            <w:tcW w:w="2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Clinical programs</w:t>
            </w:r>
          </w:p>
        </w:tc>
        <w:tc>
          <w:tcPr>
            <w:tcW w:w="23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20,830</w:t>
            </w:r>
          </w:p>
        </w:tc>
        <w:tc>
          <w:tcPr>
            <w:tcW w:w="58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14,229</w:t>
            </w:r>
          </w:p>
        </w:tc>
        <w:tc>
          <w:tcPr>
            <w:tcW w:w="10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Pre-clinical activities</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Payroll and other including stock-based compensation</w:t>
            </w:r>
          </w:p>
        </w:tc>
        <w:tc>
          <w:tcPr>
            <w:tcW w:w="2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24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23,818</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17,976</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0"/>
        </w:trPr>
        <w:tc>
          <w:tcPr>
            <w:tcW w:w="1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160" w:type="dxa"/>
            <w:vAlign w:val="bottom"/>
          </w:tcPr>
          <w:p>
            <w:pPr>
              <w:jc w:val="right"/>
              <w:ind w:right="1759"/>
              <w:spacing w:after="0"/>
              <w:rPr>
                <w:sz w:val="20"/>
                <w:szCs w:val="20"/>
                <w:color w:val="auto"/>
              </w:rPr>
            </w:pPr>
            <w:r>
              <w:rPr>
                <w:rFonts w:ascii="Times New Roman" w:cs="Times New Roman" w:eastAsia="Times New Roman" w:hAnsi="Times New Roman"/>
                <w:sz w:val="14"/>
                <w:szCs w:val="14"/>
                <w:color w:val="auto"/>
              </w:rPr>
              <w:t>27</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140" w:type="dxa"/>
            <w:vAlign w:val="bottom"/>
            <w:tcBorders>
              <w:bottom w:val="single" w:sz="8" w:color="auto"/>
            </w:tcBorders>
          </w:tcPr>
          <w:p>
            <w:pPr>
              <w:spacing w:after="0"/>
              <w:rPr>
                <w:sz w:val="3"/>
                <w:szCs w:val="3"/>
                <w:color w:val="auto"/>
              </w:rPr>
            </w:pPr>
          </w:p>
        </w:tc>
        <w:tc>
          <w:tcPr>
            <w:tcW w:w="424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30" w:name="page31"/>
    <w:bookmarkEnd w:id="3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Clinical programs expenses increased in the year ended December 31, 2021 over the year ended December 31, 2020 primarily due to costs related to our the NAVIGATE clinical trial activities and preparations and some preclinical activities incurred in support of the planned clinical program such as development and reproductive toxicity studies, clinical supplies and other supportive activities.</w:t>
      </w:r>
    </w:p>
    <w:p>
      <w:pPr>
        <w:spacing w:after="0" w:line="172"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0"/>
        </w:trPr>
        <w:tc>
          <w:tcPr>
            <w:tcW w:w="3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45"/>
        </w:trPr>
        <w:tc>
          <w:tcPr>
            <w:tcW w:w="36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2021 as Compared to 2020</w:t>
            </w:r>
          </w:p>
        </w:tc>
      </w:tr>
      <w:tr>
        <w:trPr>
          <w:trHeight w:val="223"/>
        </w:trPr>
        <w:tc>
          <w:tcPr>
            <w:tcW w:w="3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19"/>
                <w:szCs w:val="19"/>
                <w:color w:val="auto"/>
              </w:rPr>
            </w:pPr>
          </w:p>
        </w:tc>
      </w:tr>
      <w:tr>
        <w:trPr>
          <w:trHeight w:val="216"/>
        </w:trPr>
        <w:tc>
          <w:tcPr>
            <w:tcW w:w="3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(in thousands, except %)</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6,361</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893</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bl>
    <w:p>
      <w:pPr>
        <w:spacing w:after="0" w:line="19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including stock-based compensation, legal and accounting fees, insurance, investor relations, business development and other office related expenses. The primary reasons for the increase for the year ended December 31, 2021, as compared to the same period for 2020, are due to an increase in non-cash stock-based compensation of $373,000 and increase in insurance expense of $395,000.</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229" w:lineRule="exact"/>
        <w:rPr>
          <w:sz w:val="20"/>
          <w:szCs w:val="20"/>
          <w:color w:val="auto"/>
        </w:rPr>
      </w:pPr>
    </w:p>
    <w:p>
      <w:pPr>
        <w:jc w:val="both"/>
        <w:ind w:right="520" w:firstLine="441"/>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other income and expense consisted of $4,000 of interest income offset by amortization of the debt discount associated with warrants issued with a line of credit entered into in December 2017 of $174,000 which is classified as interest expense, and interest expense and amortization of debt discounts on convertible notes payable of $315,000.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from the Years Ended December 31, 2020 and 2019</w:t>
      </w:r>
    </w:p>
    <w:p>
      <w:pPr>
        <w:spacing w:after="0" w:line="225" w:lineRule="exact"/>
        <w:rPr>
          <w:sz w:val="20"/>
          <w:szCs w:val="20"/>
          <w:color w:val="auto"/>
        </w:rPr>
      </w:pPr>
    </w:p>
    <w:tbl>
      <w:tblPr>
        <w:tblLayout w:type="fixed"/>
        <w:tblInd w:w="380" w:type="dxa"/>
        <w:tblCellMar>
          <w:top w:w="0" w:type="dxa"/>
          <w:left w:w="0" w:type="dxa"/>
          <w:bottom w:w="0" w:type="dxa"/>
          <w:right w:w="0" w:type="dxa"/>
        </w:tblCellMar>
      </w:tblPr>
      <w:tr>
        <w:trPr>
          <w:trHeight w:val="238"/>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0"/>
        </w:trPr>
        <w:tc>
          <w:tcPr>
            <w:tcW w:w="2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45"/>
        </w:trPr>
        <w:tc>
          <w:tcPr>
            <w:tcW w:w="20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2020 as Compared to 2019</w:t>
            </w:r>
          </w:p>
        </w:tc>
      </w:tr>
      <w:tr>
        <w:trPr>
          <w:trHeight w:val="223"/>
        </w:trPr>
        <w:tc>
          <w:tcPr>
            <w:tcW w:w="20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19"/>
                <w:szCs w:val="19"/>
                <w:color w:val="auto"/>
              </w:rPr>
            </w:pPr>
          </w:p>
        </w:tc>
      </w:tr>
      <w:tr>
        <w:trPr>
          <w:trHeight w:val="216"/>
        </w:trPr>
        <w:tc>
          <w:tcPr>
            <w:tcW w:w="2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(in thousands, except %)</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17,796</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10,509</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r>
    </w:tbl>
    <w:p>
      <w:pPr>
        <w:spacing w:after="0" w:line="198"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V, including payments to vendors for services related to product experiments and discovery, toxicology, pharmacology, metabolism and efficacy studies, as well as manufacturing process development for a drug candidate. We have two product candidates, belapectin and GM-CT-01; however only belapectin is in active development.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research and development expenses were as follows: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8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Direct external expenses:</w:t>
            </w:r>
          </w:p>
        </w:tc>
        <w:tc>
          <w:tcPr>
            <w:tcW w:w="24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Clinical programs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14,229</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4,826</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Pre-clinical activities</w:t>
            </w: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532</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Payroll and other including stock-based compensation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2,247</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17,976</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Clinical programs expenses increased in the year ended December 31, 2020 over the year ended December 31, 2019 primarily due to costs related to our the NAVIGATE clinical trial activities and preparations and some preclinical activities incurred in support of the planned clinical program such as development and reproductive toxicity studies, clinical supplies and other supportive activities. Other research and development expense increased in the year ended December 31, 2020 over the year ended December 31, 2019 primarily due to hiring our Chief Medical Officer in March 2020 and an increase in non-cash stock-based compensation expense.</w:t>
      </w:r>
    </w:p>
    <w:p>
      <w:pPr>
        <w:spacing w:after="0" w:line="179"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10"/>
        </w:trPr>
        <w:tc>
          <w:tcPr>
            <w:tcW w:w="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45"/>
        </w:trPr>
        <w:tc>
          <w:tcPr>
            <w:tcW w:w="8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6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2020 as Compared to 2019</w:t>
            </w:r>
          </w:p>
        </w:tc>
      </w:tr>
      <w:tr>
        <w:trPr>
          <w:trHeight w:val="223"/>
        </w:trPr>
        <w:tc>
          <w:tcPr>
            <w:tcW w:w="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40" w:type="dxa"/>
            <w:vAlign w:val="bottom"/>
          </w:tcPr>
          <w:p>
            <w:pPr>
              <w:spacing w:after="0"/>
              <w:rPr>
                <w:sz w:val="19"/>
                <w:szCs w:val="19"/>
                <w:color w:val="auto"/>
              </w:rPr>
            </w:pPr>
          </w:p>
        </w:tc>
      </w:tr>
      <w:tr>
        <w:trPr>
          <w:trHeight w:val="216"/>
        </w:trPr>
        <w:tc>
          <w:tcPr>
            <w:tcW w:w="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(in thousands, except %)</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5,468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5,971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(503)</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bl>
    <w:p>
      <w:pPr>
        <w:spacing w:after="0" w:line="198"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including stock-based compensation, legal and accounting fees, insurance, investor relations, business development and other office related expenses. The primary reasons for the decrease for the year ended December 31, 2020, as compared to the same period for 2019, are due to decreases in legal expenses of $339,000, investor relations expenses of $128,000, and non-cash stock-based compensation of $82,000 partially offset by an increase in insurance expenses of $331,000.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229"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2020, other income and expense consisted of $66,000 of interest income offset by amortization of the debt discount associated with warrants issued with a line of credit entered into in December 2017 of $87,000 which is classified as interest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color w:val="auto"/>
        </w:rPr>
        <w:t>As described above in the Overview and elsewhere in this Annual Report on Form 10-K, we are in the development stage and have not generated any revenues to date. Since our inception on July 10, 2000, we have financed our operations from proceeds of public and private offerings of debt and equity. As of December 31, 2021, we raised a net total of $234.5 million from these offerings. At December 31, 2021, the Company had $39.6 million of unrestricted cash and cash equivalents available to fund future operations. The Company believes there is sufficient cash to fund currently planned operations at least through March 31, 2023. We will require more cash to fund our operations after March 31, 2023 and believe we will be able to obtain additional financing. The currently planned operations include costs related to our adaptively designed NAVIGATE Phase 2b/3 clinical trial. Currently, we expect to require an additional approximately $45-$50 million to cover costs of the trial to reach the planned interim analysis estimated to occur in the first quarter of 2024 along with drug manufacturing and other scientific support activities and general and administrative costs and further amounts to complete the Phase 3 portion of the trial. However, there can be no assurance that we will be successful in obtaining such new financing or, if available, that such financing will be on terms favorable to us.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compared to 2020</w:t>
      </w:r>
    </w:p>
    <w:p>
      <w:pPr>
        <w:spacing w:after="0" w:line="227" w:lineRule="exact"/>
        <w:rPr>
          <w:sz w:val="20"/>
          <w:szCs w:val="20"/>
          <w:color w:val="auto"/>
        </w:rPr>
      </w:pPr>
    </w:p>
    <w:p>
      <w:pPr>
        <w:jc w:val="both"/>
        <w:ind w:right="500" w:firstLine="441"/>
        <w:spacing w:after="0" w:line="312" w:lineRule="auto"/>
        <w:rPr>
          <w:sz w:val="20"/>
          <w:szCs w:val="20"/>
          <w:color w:val="auto"/>
        </w:rPr>
      </w:pPr>
      <w:r>
        <w:rPr>
          <w:rFonts w:ascii="Times New Roman" w:cs="Times New Roman" w:eastAsia="Times New Roman" w:hAnsi="Times New Roman"/>
          <w:sz w:val="17"/>
          <w:szCs w:val="17"/>
          <w:color w:val="auto"/>
        </w:rPr>
        <w:t>Net cash used in operations increased by $3,707,000 to $24,308,000 for 2021, as compared to $20,601,000 for 2020. Cash operating expenses increased principally due to increased research and development activities primarily related to our NAVIGATE clinical trial and associated activities.</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were no equipment purchases or other investing activities in 2021 or 2020.</w:t>
      </w:r>
    </w:p>
    <w:p>
      <w:pPr>
        <w:spacing w:after="0" w:line="225" w:lineRule="exact"/>
        <w:rPr>
          <w:sz w:val="20"/>
          <w:szCs w:val="20"/>
          <w:color w:val="auto"/>
        </w:rPr>
      </w:pPr>
    </w:p>
    <w:p>
      <w:pPr>
        <w:ind w:right="460" w:firstLine="441"/>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$36,814,000 during 2021 as compared to $263,000 during 2020, due primarily to the transactions described below.</w:t>
      </w:r>
    </w:p>
    <w:p>
      <w:pPr>
        <w:spacing w:after="0" w:line="162" w:lineRule="exact"/>
        <w:rPr>
          <w:sz w:val="20"/>
          <w:szCs w:val="20"/>
          <w:color w:val="auto"/>
        </w:rPr>
      </w:pPr>
    </w:p>
    <w:p>
      <w:pPr>
        <w:jc w:val="both"/>
        <w:ind w:right="280" w:firstLine="441"/>
        <w:spacing w:after="0" w:line="266" w:lineRule="auto"/>
        <w:rPr>
          <w:sz w:val="20"/>
          <w:szCs w:val="20"/>
          <w:color w:val="auto"/>
        </w:rPr>
      </w:pPr>
      <w:r>
        <w:rPr>
          <w:rFonts w:ascii="Times New Roman" w:cs="Times New Roman" w:eastAsia="Times New Roman" w:hAnsi="Times New Roman"/>
          <w:sz w:val="18"/>
          <w:szCs w:val="18"/>
          <w:color w:val="auto"/>
        </w:rPr>
        <w:t>In 2021, we received proceeds of $30,000,000 from three related-party convertible notes payable, $2,950,000 from the exercise of common stock warrants and $3,864,000 in net proceeds from issuance of common shares under our ATM. In 2020, we received proceeds of $44,000 from issuances of common stock through the At the Market issuances and received $219,000 from exercise of common stock options.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compared to 2019</w:t>
      </w:r>
    </w:p>
    <w:p>
      <w:pPr>
        <w:spacing w:after="0" w:line="227" w:lineRule="exact"/>
        <w:rPr>
          <w:sz w:val="20"/>
          <w:szCs w:val="20"/>
          <w:color w:val="auto"/>
        </w:rPr>
      </w:pPr>
    </w:p>
    <w:p>
      <w:pPr>
        <w:jc w:val="both"/>
        <w:ind w:right="500" w:firstLine="441"/>
        <w:spacing w:after="0" w:line="312" w:lineRule="auto"/>
        <w:rPr>
          <w:sz w:val="20"/>
          <w:szCs w:val="20"/>
          <w:color w:val="auto"/>
        </w:rPr>
      </w:pPr>
      <w:r>
        <w:rPr>
          <w:rFonts w:ascii="Times New Roman" w:cs="Times New Roman" w:eastAsia="Times New Roman" w:hAnsi="Times New Roman"/>
          <w:sz w:val="17"/>
          <w:szCs w:val="17"/>
          <w:color w:val="auto"/>
        </w:rPr>
        <w:t>Net cash used in operations increased by $9,753,000 to $20,601,000 for 2020, as compared to $10,848,000 for 2019. Cash operating expenses increased principally due to increased research and development activities primarily related to our NAVIGATE clinical trial and associated activities.</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were no equipment purchases or other investing activities in 2020 or 2019.</w:t>
      </w:r>
    </w:p>
    <w:p>
      <w:pPr>
        <w:spacing w:after="0" w:line="225" w:lineRule="exact"/>
        <w:rPr>
          <w:sz w:val="20"/>
          <w:szCs w:val="20"/>
          <w:color w:val="auto"/>
        </w:rPr>
      </w:pPr>
    </w:p>
    <w:p>
      <w:pPr>
        <w:ind w:right="460" w:firstLine="441"/>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$263,000 during 2020 as compared to $50,075,000 during 2019, due primarily to the transactions described below.</w:t>
      </w:r>
    </w:p>
    <w:p>
      <w:pPr>
        <w:spacing w:after="0" w:line="162"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In 2020, we received proceeds of $44,000 from issuances of common stock through the At the Market issuances and received $219,000 from exercise of common stock options. In 2019, we completed an issuance of common stock and warrants in stockholder rights offering generating $44,889,000 in proceeds and additionally, received $2,930,000 from issuances of common stock through the At the Market issuances, and received $2,650,000 from exercise of common stock options and warrants. In 2019, we also paid cash dividends of $394,000 on Series A and C preferred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right="220" w:firstLine="441"/>
        <w:spacing w:after="0" w:line="258" w:lineRule="auto"/>
        <w:rPr>
          <w:sz w:val="20"/>
          <w:szCs w:val="20"/>
          <w:color w:val="auto"/>
        </w:rPr>
      </w:pPr>
      <w:r>
        <w:rPr>
          <w:rFonts w:ascii="Times New Roman" w:cs="Times New Roman" w:eastAsia="Times New Roman" w:hAnsi="Times New Roman"/>
          <w:sz w:val="18"/>
          <w:szCs w:val="18"/>
          <w:color w:val="auto"/>
        </w:rPr>
        <w:t>Effective December 31, 2018, the Company entered into an amendment to its operating lease for office space in Norcross, GA for a term of thirty-eight months, beginning on January 1, 2019 and ending February 28, 2022 at a rate of approximately $3,800 per month. The amended lease provided for free rent for the first two months of the lease and continues the security deposit of $6,000. In addition to base rental payments included in the contractual obligations table above, the Company is responsible for our pro-rata share of the operating expenses for the building. The Company renewed its existing office space lease effective in February 2022 for 38 months at substantially the same terms.</w:t>
      </w:r>
    </w:p>
    <w:p>
      <w:pPr>
        <w:spacing w:after="0" w:line="183" w:lineRule="exact"/>
        <w:rPr>
          <w:sz w:val="20"/>
          <w:szCs w:val="20"/>
          <w:color w:val="auto"/>
        </w:rPr>
      </w:pPr>
    </w:p>
    <w:p>
      <w:pPr>
        <w:ind w:right="260" w:firstLine="441"/>
        <w:spacing w:after="0" w:line="266" w:lineRule="auto"/>
        <w:rPr>
          <w:sz w:val="20"/>
          <w:szCs w:val="20"/>
          <w:color w:val="auto"/>
        </w:rPr>
      </w:pPr>
      <w:r>
        <w:rPr>
          <w:rFonts w:ascii="Times New Roman" w:cs="Times New Roman" w:eastAsia="Times New Roman" w:hAnsi="Times New Roman"/>
          <w:sz w:val="18"/>
          <w:szCs w:val="18"/>
          <w:color w:val="auto"/>
        </w:rPr>
        <w:t>In October 2012, the Company entered into an operating lease for office and lab space for research and development activities in Natick, MA. The lease is for a period of one year, beginning on October 1, 2012, for a rate of $15,000 for the term, payable in equal monthly increments. This lease was continued on a month-to-month basis from October 1, 2013.</w:t>
      </w:r>
    </w:p>
    <w:p>
      <w:pPr>
        <w:spacing w:after="0" w:line="172" w:lineRule="exact"/>
        <w:rPr>
          <w:sz w:val="20"/>
          <w:szCs w:val="20"/>
          <w:color w:val="auto"/>
        </w:rPr>
      </w:pPr>
    </w:p>
    <w:p>
      <w:pPr>
        <w:ind w:right="240"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engaged outside vendors for certain services associated with our clinical trials. These services are generally available from several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providers and, accordingly, our arrangements are typically cancellable on 30 days notice.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right="200" w:firstLine="441"/>
        <w:spacing w:after="0" w:line="266" w:lineRule="auto"/>
        <w:rPr>
          <w:sz w:val="20"/>
          <w:szCs w:val="20"/>
          <w:color w:val="auto"/>
        </w:rPr>
      </w:pPr>
      <w:r>
        <w:rPr>
          <w:rFonts w:ascii="Times New Roman" w:cs="Times New Roman" w:eastAsia="Times New Roman" w:hAnsi="Times New Roman"/>
          <w:sz w:val="18"/>
          <w:szCs w:val="18"/>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2 to our consolidated financial statements included elsewhere in this annual report on Form 10-K. Certain of our accounting policies, however, are critical to the portrayal of our financial position and results of operations and require the application of significant judgment by our management, which subjects them to an inherent degree of uncertainty. In applying our accounting policies, our management uses its best judgment to determine the appropriate assumptions to be used in the determination of certain estimates. Our more significant estimates include stock option valuations and performance vesting features of certain of these instruments, accrued liabilities, deferred income taxes and cash flows. These estimates are based on our historical experience, terms of existing contracts, our observance of trends in the industry, information available from other outside sources, and on various other factors that we believe to be appropriate under the circumstances. We believe that the critical accounting policies discussed below involve more complex management judgment due to the sensitivity of the methods, assumptions and estimates necessary in determining the related asset, liability, revenue and expense amounts.</w:t>
      </w:r>
    </w:p>
    <w:p>
      <w:pPr>
        <w:spacing w:after="0" w:line="186"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Accrued Expenses</w:t>
      </w:r>
      <w:r>
        <w:rPr>
          <w:rFonts w:ascii="Times New Roman" w:cs="Times New Roman" w:eastAsia="Times New Roman" w:hAnsi="Times New Roman"/>
          <w:sz w:val="18"/>
          <w:szCs w:val="18"/>
          <w:color w:val="auto"/>
        </w:rPr>
        <w:t>. As part of the process of preparing our consolidated financial statements, we are required to estimate accrued expenses.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 involves identifying services that third parties have performed on our behalf and estimating the level of service performed and the associated cost incurred on these services as of each balance sheet date in our consolidated financial statements. Examples of estimated accrued expenses include professional service fees, such as those arising from the services of attorneys and accountants and accrued payroll expenses. In connection with these service fees, our estimates are most affected by our understanding of the status and timing of services provided relative to the actual services incurred by the service providers. In the event that we do not identify certain costs that have been incurred or we under- or over-estimate the level of services or costs of such services, our reported expenses for a reporting period could be understated or overstated. The date on which certain services commence, the level of services performed on or before a given date, and the cost of services are often subject to our judgment. We make these judgments based upon the facts and circumstances known to us in accordance with accounting principles generally accepted in the U.S.</w:t>
      </w:r>
    </w:p>
    <w:p>
      <w:pPr>
        <w:spacing w:after="0" w:line="188"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including personnel costs, allocated facility costs, lab supplies, outside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contract laboratory costs related to manufacturing drug product, clinical trials and preclinical studies are charged to research and development expense as incurred. The Company accounts for nonrefundable advance payments for goods and services that will be used in future research and development activities as expense when the service has been performed or when the goods have been received. Our current NAVIGATE clinical trial is being supported by third-party contract research organizations, or CROs, and other vendors. We accrue expenses for clinical trial activities performed by CROs based upon the estimated amount of work completed on each trial. For clinical trial expenses and related expenses associated with the conduct of clinical trials, the significant factors used in estimating accruals include the number of patients enrolled, the number of active clinical sites, and the duration for which the patients have been enrolled in the trial. We monitor patient enrollment levels and related activities to the extent possible through internal reviews, review of contractual terms and correspondence with CROs. We base our estimates on the best information available at the time. We monitor patient enrollment levels and related activities to the extent possible through discussions with CRO personnel and based our estimates of clinical trial costs on the best information available at the time. However, additional information may become available to us which will allow us to make a more accurate estimate in future periods. In that event, we may be required to record adjustments to research and development expenses in future periods when the actual level of activity becomes more certain.</w:t>
      </w:r>
    </w:p>
    <w:p>
      <w:pPr>
        <w:spacing w:after="0" w:line="187"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Stock-based compensation cost is measured at the grant date based on the fair value of the award and is recognized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over the service period, which generally represents the vesting period. For awards that have performance-based vesting conditions the Company recognizes the expense over the estimated period that the awards are expected to be earned. The Company generally uses the Black-Scholes option-pricing model to calculate the grant date fair value of stock options. The expense recognized over the service period is required to include an estimate of the awards that will be forfeited.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Due to the nature of our operations, assets and debt, we are not exposed to any significant market risks at December 31, 2021 and 2020.</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financial statements required by this item are attached to this Annual Report on Form 10-K beginning on Page F-1.</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4" w:name="page35"/>
    <w:bookmarkEnd w:id="3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 Evaluation of Disclosure Controls and Procedures</w:t>
      </w:r>
    </w:p>
    <w:p>
      <w:pPr>
        <w:spacing w:after="0" w:line="227"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As required by Rule 13a-15 under the Securities Exchange Act of 1934, (the “Exchange Act”) as of the end of the period covered by this Annual Report, we carried out an evaluation, under the supervision and with the participation of our Chief Executive Officer and our Chief Financial Officer, of the effectiveness of our disclosure controls and procedures as of December 31, 2021. Our management has concluded, based on their evaluation, that our disclosure controls and procedures were effective as of December 31, 2021 to ensure that information required to be disclosed by us in the reports we file or submit under the Exchange Act is recorded, processed, summarized and reported within the time periods specified in the Securities and Exchange Commission’s rules and forms.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(b) Management’s Annual Report on Internal Control Over Financial Reporting</w:t>
      </w:r>
    </w:p>
    <w:p>
      <w:pPr>
        <w:spacing w:after="0" w:line="227"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defined in Rule 13a-15(f) under the Exchange Act, internal control over financial reporting is a process designed by, or under the supervision of, a company’s principal executive and principal financial officers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It includes those policies and procedures that:</w:t>
      </w:r>
    </w:p>
    <w:p>
      <w:pPr>
        <w:spacing w:after="0" w:line="183" w:lineRule="exact"/>
        <w:rPr>
          <w:sz w:val="20"/>
          <w:szCs w:val="20"/>
          <w:color w:val="auto"/>
        </w:rPr>
      </w:pPr>
    </w:p>
    <w:p>
      <w:pPr>
        <w:ind w:right="380" w:firstLine="449"/>
        <w:spacing w:after="0" w:line="282" w:lineRule="auto"/>
        <w:tabs>
          <w:tab w:leader="none" w:pos="62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161" w:lineRule="exact"/>
        <w:rPr>
          <w:rFonts w:ascii="Times New Roman" w:cs="Times New Roman" w:eastAsia="Times New Roman" w:hAnsi="Times New Roman"/>
          <w:sz w:val="18"/>
          <w:szCs w:val="18"/>
          <w:color w:val="auto"/>
        </w:rPr>
      </w:pPr>
    </w:p>
    <w:p>
      <w:pPr>
        <w:jc w:val="both"/>
        <w:ind w:right="20" w:firstLine="449"/>
        <w:spacing w:after="0" w:line="266" w:lineRule="auto"/>
        <w:tabs>
          <w:tab w:leader="none" w:pos="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a company are being made only in accordance with authorizations of management and the board of directors of the Company; and</w:t>
      </w:r>
    </w:p>
    <w:p>
      <w:pPr>
        <w:spacing w:after="0" w:line="175" w:lineRule="exact"/>
        <w:rPr>
          <w:rFonts w:ascii="Times New Roman" w:cs="Times New Roman" w:eastAsia="Times New Roman" w:hAnsi="Times New Roman"/>
          <w:sz w:val="18"/>
          <w:szCs w:val="18"/>
          <w:color w:val="auto"/>
        </w:rPr>
      </w:pPr>
    </w:p>
    <w:p>
      <w:pPr>
        <w:ind w:right="60" w:firstLine="449"/>
        <w:spacing w:after="0" w:line="282" w:lineRule="auto"/>
        <w:tabs>
          <w:tab w:leader="none" w:pos="62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its financial statements.</w:t>
      </w:r>
    </w:p>
    <w:p>
      <w:pPr>
        <w:spacing w:after="0" w:line="162"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The Company’s management has used the criteria established in “Internal Control-Integrated Framework” issued by the Committee of Sponsoring Organizations of the Treadway Commission (2013 framework), or COSO, to evaluate the effectiveness of the Company’s internal control over financial reporting. Management has selected the COSO 2013 framework for its evaluation as it is a control framework recognized by the SEC and the Public Company Accounting Oversight Board, that is free from bias, permits reasonably consistent qualitative and quantitative measurement of the Company’s internal controls, is sufficiently complete so that relevant controls are not omitted, and is relevant to an evaluation of internal controls over financial reporting. Management conducted an evaluation of internal controls based on the COSO 2013 framework. The evaluation included a full scale, documented risk assessment, based on the principles described in the framework, and included identification of key controls. Management completed documentation of its testing to verify the effectiveness of the key controls. Based on the evaluation, management concluded that our internal control over financial reporting was effective as of December 31, 2021.</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 Changes in Internal Control Over Financial Reporting</w:t>
      </w:r>
    </w:p>
    <w:p>
      <w:pPr>
        <w:spacing w:after="0" w:line="227"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fourth quarter of 2021 that has materially affected, or is reasonably likely to materially affect, our internal control over financial reporting.</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29" w:lineRule="exact"/>
        <w:rPr>
          <w:sz w:val="20"/>
          <w:szCs w:val="20"/>
          <w:color w:val="auto"/>
        </w:rPr>
      </w:pPr>
    </w:p>
    <w:p>
      <w:pPr>
        <w:ind w:right="360" w:firstLine="441"/>
        <w:spacing w:after="0" w:line="266" w:lineRule="auto"/>
        <w:rPr>
          <w:sz w:val="20"/>
          <w:szCs w:val="20"/>
          <w:color w:val="auto"/>
        </w:rPr>
      </w:pPr>
      <w:r>
        <w:rPr>
          <w:rFonts w:ascii="Times New Roman" w:cs="Times New Roman" w:eastAsia="Times New Roman" w:hAnsi="Times New Roman"/>
          <w:sz w:val="18"/>
          <w:szCs w:val="18"/>
          <w:color w:val="auto"/>
        </w:rPr>
        <w:t>Each of our directors is elected annually and holds office until his or her successor has been elected and qualified or until the earlier of his or her death, resignation or removal. Our board of directors currently consists of eleven members, all of whom were elected at our 2021 Annual Meeting of Stockholders.</w:t>
      </w:r>
    </w:p>
    <w:p>
      <w:pPr>
        <w:spacing w:after="0" w:line="176"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sets for the certain biographical information about our directors as of February 28, 2022, and the qualifications, experiences and skills considered in determining that each such person should serve as a director.</w:t>
      </w:r>
    </w:p>
    <w:p>
      <w:pPr>
        <w:spacing w:after="0" w:line="171" w:lineRule="exact"/>
        <w:rPr>
          <w:sz w:val="20"/>
          <w:szCs w:val="20"/>
          <w:color w:val="auto"/>
        </w:rPr>
      </w:pPr>
    </w:p>
    <w:tbl>
      <w:tblPr>
        <w:tblLayout w:type="fixed"/>
        <w:tblInd w:w="1700" w:type="dxa"/>
        <w:tblCellMar>
          <w:top w:w="0" w:type="dxa"/>
          <w:left w:w="0" w:type="dxa"/>
          <w:bottom w:w="0" w:type="dxa"/>
          <w:right w:w="0" w:type="dxa"/>
        </w:tblCellMar>
      </w:tblPr>
      <w:tr>
        <w:trPr>
          <w:trHeight w:val="245"/>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7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Director Since</w:t>
            </w:r>
          </w:p>
        </w:tc>
      </w:tr>
      <w:tr>
        <w:trPr>
          <w:trHeight w:val="216"/>
        </w:trPr>
        <w:tc>
          <w:tcPr>
            <w:tcW w:w="4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 F. Amelio, Ph.D. (2)(3)</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C. Czirr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r>
      <w:tr>
        <w:trPr>
          <w:trHeight w:val="21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Kary Eldred (1)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D. Freeman (1)(2)(3)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r>
      <w:tr>
        <w:trPr>
          <w:trHeight w:val="21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Gilbert S. Omenn, M.D., Ph.D. (2)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r>
      <w:tr>
        <w:trPr>
          <w:trHeight w:val="21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Rubin, M.D. (3)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Elissa J. Schwartz, Ph.D. (3)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1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Harold H. Shlevin, Ph.D.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E. Uihlein, Chairman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r>
      <w:tr>
        <w:trPr>
          <w:trHeight w:val="21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A. Zordani (1)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62547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5475" cy="17145"/>
                    </a:xfrm>
                    <a:prstGeom prst="rect">
                      <a:avLst/>
                    </a:prstGeom>
                    <a:noFill/>
                  </pic:spPr>
                </pic:pic>
              </a:graphicData>
            </a:graphic>
          </wp:anchor>
        </w:drawing>
      </w:r>
    </w:p>
    <w:p>
      <w:pPr>
        <w:spacing w:after="0" w:line="20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(1)</w:t>
        <w:tab/>
        <w:t>Member of audit committee</w:t>
      </w:r>
    </w:p>
    <w:p>
      <w:pPr>
        <w:spacing w:after="0" w:line="2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(2)</w:t>
        <w:tab/>
        <w:t>Member of compensation committee</w:t>
      </w:r>
    </w:p>
    <w:p>
      <w:pPr>
        <w:spacing w:after="0" w:line="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(3)</w:t>
        <w:tab/>
        <w:t>Member of nominating and governance committee</w:t>
      </w:r>
    </w:p>
    <w:p>
      <w:pPr>
        <w:spacing w:after="0" w:line="205"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i w:val="1"/>
          <w:iCs w:val="1"/>
          <w:color w:val="auto"/>
        </w:rPr>
        <w:t>Gilbert F. Amelio, Ph.D</w:t>
      </w:r>
      <w:r>
        <w:rPr>
          <w:rFonts w:ascii="Times New Roman" w:cs="Times New Roman" w:eastAsia="Times New Roman" w:hAnsi="Times New Roman"/>
          <w:sz w:val="18"/>
          <w:szCs w:val="18"/>
          <w:color w:val="auto"/>
        </w:rPr>
        <w:t>., a director since February 2009, began his career at Bell Labs in Murray Hill, New Jersey. Since January 1, 2012, Dr.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Amelio has provided consulting and advisory services through GFA, LLC, a California limited liability company. He was a Senior Partner of Sienna Ventures (a privately held venture capital firm in Sausalito, California) from April 2001 until the fund closed per plan on December 31, 2011. Dr. Amelio was Chairman and Chief Executive Officer of Jazz Technologies, Inc. (now a wholly owned subsidiary of Tower Semiconductor Ltd., an independent specialty wafer foundry) from August 2005 until his retirement in September 2008 (when he was named Chairman Emeritus). Dr. Amelio was Chairman and Chief Executive Officer of Beneventure Capital, LLC (a full-service venture capital firm in San Francisco, California) from 1999 to 2005 and was Principal of Aircraft Ventures, LLC (a consulting firm in Newport Beach, California) from April 1997 to December 2004. Dr. Amelio was elected a Director of AT&amp;T in February 2001 and had previously served as an Advisory Director of AT&amp;T (then known as SBC Communications Inc.) from April 1997 to February 2001. He served as a Director of Pacific Telesis Group from 1995 until the company was acquired by AT&amp;T in 1997. Prior to 1997, he served as Chairman, President and CEO of National Semiconductor (1991-1996) and Apple Computer (1996-1997). We believe Dr. Amelio’s qualifications to sit on our Board of Directors include his executive leadership and management experience, as well as his extensive experience with global companies, his financial expertise and his years of experience providing strategic advisory services to organizations.</w:t>
      </w:r>
    </w:p>
    <w:p>
      <w:pPr>
        <w:spacing w:after="0" w:line="190" w:lineRule="exact"/>
        <w:rPr>
          <w:sz w:val="20"/>
          <w:szCs w:val="20"/>
          <w:color w:val="auto"/>
        </w:rPr>
      </w:pPr>
    </w:p>
    <w:p>
      <w:pPr>
        <w:jc w:val="both"/>
        <w:ind w:right="200" w:firstLine="441"/>
        <w:spacing w:after="0" w:line="273" w:lineRule="auto"/>
        <w:rPr>
          <w:sz w:val="20"/>
          <w:szCs w:val="20"/>
          <w:color w:val="auto"/>
        </w:rPr>
      </w:pPr>
      <w:r>
        <w:rPr>
          <w:rFonts w:ascii="Times New Roman" w:cs="Times New Roman" w:eastAsia="Times New Roman" w:hAnsi="Times New Roman"/>
          <w:sz w:val="17"/>
          <w:szCs w:val="17"/>
          <w:i w:val="1"/>
          <w:iCs w:val="1"/>
          <w:color w:val="auto"/>
        </w:rPr>
        <w:t>James C. Czirr</w:t>
      </w:r>
      <w:r>
        <w:rPr>
          <w:rFonts w:ascii="Times New Roman" w:cs="Times New Roman" w:eastAsia="Times New Roman" w:hAnsi="Times New Roman"/>
          <w:sz w:val="17"/>
          <w:szCs w:val="17"/>
          <w:color w:val="auto"/>
        </w:rPr>
        <w:t>, has served as a director pursuant to contractual rights set forth in certain warrants to purchase Common Stock that 10X Fund L.P.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holds since February 2009, served as Chairman of the Board from February 2009 until January 2016 and Executive Chairman from February 2010 until January 2016, is a co-founder of 10X Fund, L.P. and is a managing member of 10X Capital Management LLC, the general partner of 10X Fund, L.P. Mr.</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Czirr was a co-founder of Galectin Therapeutics in July 2000. Mr. Czirr was instrumental in the early-stage development of Safe Science Inc., a developer of anti-cancer drugs; served from 2005 to 2008 as Chief Executive Officer of Minerva Biotechnologies Corporation, a developer of nano particle bio chips to determine the cause of solid tumors. Mr. Czirr is an early stage investor and on the board of directors of Gold Express a private gold mining company with multiple exploration properties in the U.S. Mr. Czirr received a B.B.A. degree from the University of Michigan. We believe that Mr. Czirr is best situated to sit on our Board because he is the director who was a co-founder of the Company and is familiar with our business and industry.</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6" w:name="page37"/>
    <w:bookmarkEnd w:id="3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7" w:lineRule="exact"/>
        <w:rPr>
          <w:sz w:val="20"/>
          <w:szCs w:val="20"/>
          <w:color w:val="auto"/>
        </w:rPr>
      </w:pPr>
    </w:p>
    <w:p>
      <w:pPr>
        <w:ind w:right="160"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Kary Eldred, </w:t>
      </w:r>
      <w:r>
        <w:rPr>
          <w:rFonts w:ascii="Times New Roman" w:cs="Times New Roman" w:eastAsia="Times New Roman" w:hAnsi="Times New Roman"/>
          <w:sz w:val="18"/>
          <w:szCs w:val="18"/>
          <w:color w:val="auto"/>
        </w:rPr>
        <w:t>is a director since 2018 and Chief Investment Officer for the Living Stones Foundation since July 2015 and has been an active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investor for many years. In these capacities, he serves and has served on a number of corporate boards of companies with potential for and driving toward initial public offerings and is currently serving as a board member in Buy It Installed (since 2017), Babywise and Wise King Media (since 2015). Kary Eldred also served on the board and audit committee of GCT Semiconductor. From January 2011 through October 2014, Mr. Eldred was CEO &amp; Chairman of Altadona, S.A. a software integration company based in Europe and prior to that was a principal in Parakletos Ventures, an institutional venture capital firm with several investments in companies that went on to be acquired or become publicly listed on different exchanges around the world including the NASDAQ, KOSDAQ and the GEM market. Mr. Eldred has an Executive MBA from IE Business School and a BA in Foreign Service from Baylor University. We believe that Mr. Eldred’s qualifications to sit on our board include his experience serving on boards of several companies and experience in venture capital and private equity investing.</w:t>
      </w:r>
    </w:p>
    <w:p>
      <w:pPr>
        <w:spacing w:after="0" w:line="188" w:lineRule="exact"/>
        <w:rPr>
          <w:sz w:val="20"/>
          <w:szCs w:val="20"/>
          <w:color w:val="auto"/>
        </w:rPr>
      </w:pPr>
    </w:p>
    <w:p>
      <w:pPr>
        <w:ind w:right="80"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Kevin D. Freeman, </w:t>
      </w:r>
      <w:r>
        <w:rPr>
          <w:rFonts w:ascii="Times New Roman" w:cs="Times New Roman" w:eastAsia="Times New Roman" w:hAnsi="Times New Roman"/>
          <w:sz w:val="18"/>
          <w:szCs w:val="18"/>
          <w:color w:val="auto"/>
        </w:rPr>
        <w:t>a director since May 2011, holds the Chartered Financial Analyst designation and is Chief Executive Officer of Cross Consulting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Services, LLC, an investment advisory and consulting firm founded in 2004. He is also author of a New York Times best-selling book about the stock market and economy and the host of a television program (Economic War Room with Kevin Freeman) that airs on BlazeTV. Formerly he was Chairman of Separate Account Solutions, Inc. and held several offices at Franklin Templeton Investment Services from 1991 to 2000. He holds a B.S. in business administration from University of Tulsa, Tulsa, Oklahoma. We believe Mr. Freeman’s qualifications to sit on our Board of Directors includes his extensive financial expertise and his years of experience providing financial advisory services.</w:t>
      </w:r>
    </w:p>
    <w:p>
      <w:pPr>
        <w:spacing w:after="0" w:line="182"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Joel Lewis</w:t>
      </w:r>
      <w:r>
        <w:rPr>
          <w:rFonts w:ascii="Times New Roman" w:cs="Times New Roman" w:eastAsia="Times New Roman" w:hAnsi="Times New Roman"/>
          <w:sz w:val="18"/>
          <w:szCs w:val="18"/>
          <w:color w:val="auto"/>
        </w:rPr>
        <w:t>, a director since 2017, became our President and Chief Executive Officer on September 2, 2020. Previously, he was the Managing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of Shareholder Services at Uline, Inc. (a distributor of shipping, packaging and industrial supplies), a position he held from 2007 through 2019. Mr. Lewis is a financial executive with over 26 years of experience started his career in public accounting in 1992. Prior to his employment with Uline Inc., Mr. Lewis served as a Tax and Accounting Manager for Century America LLC from 2001 to 2006 and a Tax Manager for Deloitte &amp; Touche from 1998 to 2001. After spending a decade in public accounting where he specialized in both financial reporting and taxation, Mr. Lewis migrated to privately held companies focusing on high-net-worth family businesses. Mr. Lewis has a wide range of expertise including working in a variety of industries and disciplines including taxation, restructuring, acquisition and private equity ventures. Mr. Lewis is a registered CPA in the state of Illinois. He holds a B.S. in Accountancy from the University of Illinois and a Masters in Taxation from DePaul University. We believe that Mr. Lewis’ qualifications to sit on our Board include his business and financial expertise and his service as a board observer on our Board during 2017.</w:t>
      </w:r>
    </w:p>
    <w:p>
      <w:pPr>
        <w:spacing w:after="0" w:line="188" w:lineRule="exact"/>
        <w:rPr>
          <w:sz w:val="20"/>
          <w:szCs w:val="20"/>
          <w:color w:val="auto"/>
        </w:rPr>
      </w:pPr>
    </w:p>
    <w:p>
      <w:pPr>
        <w:ind w:right="100"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Gilbert S. Omenn, M.D., Ph.D.</w:t>
      </w:r>
      <w:r>
        <w:rPr>
          <w:rFonts w:ascii="Times New Roman" w:cs="Times New Roman" w:eastAsia="Times New Roman" w:hAnsi="Times New Roman"/>
          <w:sz w:val="18"/>
          <w:szCs w:val="18"/>
          <w:color w:val="auto"/>
        </w:rPr>
        <w:t>, a director since September 2014, served on the board of directors of Amgen Inc. for 27 years and of Rohm &amp; Haas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for 22 years. He currently serves on the boards of Oncofusion Therapeutics and MedsynBio LLC of Ann Arbor, MI. Dr. Omenn is the Harold T. Shapiro Distinguished University Professor of Computational Medicine &amp; Bioinformatics, Internal Medicine, Human Genetics, and Public Health and Director of the university-wide Center for Computational Medicine and Bioinformatics at the University of Michigan. Dr. Omenn served as executive vice president for medical affairs and as chief executive officer of the University of Michigan Health System from 1997 to 2002. Prior, he was dean of the School of Public Health and Community Medicine and professor of medicine and a Howard Hughes Medical Institute investigator at the University of Washington and Member of the Fred Hutchinson Cancer Research Center. Earlier he was Associate Director of the White House Office of Science and Technology Policy and of the Office of Management and Budget. He is the author of 600 research papers and scientific reviews and author/editor of 18 books. Dr. Omenn received his B.A. summa cum laude from Princeton University, M.D. magna cum laude from Harvard Medical School, and Ph.D. in genetics from the University of Washington. We believe Dr. Omenn’s qualifications to sit on our Board of Directors include his extensive executive leadership and management experience in the medical industry and his continuing cutting-edge research.</w:t>
      </w:r>
    </w:p>
    <w:p>
      <w:pPr>
        <w:spacing w:after="0" w:line="192" w:lineRule="exact"/>
        <w:rPr>
          <w:sz w:val="20"/>
          <w:szCs w:val="20"/>
          <w:color w:val="auto"/>
        </w:rPr>
      </w:pPr>
    </w:p>
    <w:p>
      <w:pPr>
        <w:ind w:right="60"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Marc Rubin, M.D, </w:t>
      </w:r>
      <w:r>
        <w:rPr>
          <w:rFonts w:ascii="Times New Roman" w:cs="Times New Roman" w:eastAsia="Times New Roman" w:hAnsi="Times New Roman"/>
          <w:sz w:val="18"/>
          <w:szCs w:val="18"/>
          <w:color w:val="auto"/>
        </w:rPr>
        <w:t>a director since October 2011 and Chairman of the Board from January 2016 through May 2018, is Executive Chairman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of Titan Pharmaceuticals, Inc. (TTNP: OTC BB) and served as its President and Chief Executive Officer from October 2007 to January 2009. Until February 2007, Dr. Rubin served as Head of Global Research and Development for Bayer Schering Pharma, as well as a member of the Executive Committee of Bayer Healthcare and the Board of Management of Bayer Schering Pharma. Prior to the merger of Bayer Pharmaceuticals and Schering AG in June 2006, Dr. Rubin was a member of the Executive Board of Schering AG since joining the company in October 2003, as well as Chairman of Schering Berlin Inc. and President of Berlex Pharmaceuticals, a division of Schering AG. From 1990 until August 2003, Dr. Rubin was employed by GlaxoSmithKline where he held positions of responsibility in global clinical and commercial development overseeing programs in the United States, Europe, Asia and Latin America. From 2001 through 2003 at GlaxoSmithKline, he was Senior Vice President of Global Clinical Pharmacology &amp; Discovery Medicine. Dr. Rubin holds an M.D. from Cornell University Medical College and is board certified in internal medicine with subspecialties in medical oncology and infectious diseases. Dr. Rubin is a member of the Board of Directors of Curis Inc. (Nasdaq: CRIS) and formerly served on the Board of Directors of Medarex, Inc., now a subsidiary of Bristol-Myers Squibb Company. We believe Dr. Rubin’s qualifications to sit on our Board of Directors include his extensive executive leadership and management experience in the pharmaceutical industry.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7" w:name="page38"/>
    <w:bookmarkEnd w:id="3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7"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Elissa J. Schwartz, Ph.D., </w:t>
      </w:r>
      <w:r>
        <w:rPr>
          <w:rFonts w:ascii="Times New Roman" w:cs="Times New Roman" w:eastAsia="Times New Roman" w:hAnsi="Times New Roman"/>
          <w:sz w:val="18"/>
          <w:szCs w:val="18"/>
          <w:color w:val="auto"/>
        </w:rPr>
        <w:t>a director appointed by the board in September 2020, is a disease modeler who is currently a professor of biological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sciences and mathematics at Washington State University (WSU). She received a PhD in Biomedical Sciences from Mount Sinai–NYU, a BA in Mathematics from UC Berkeley, and interdisciplinary postdoctoral training in Biomathematics and Biostatistics from UCLA. She is also affiliated with the WSU College of Veterinary Medicine in microbiology and pathology, and she is currently on the WSU COVID-19 modeling task force. Dr. Schwartz is the author of over 30 scientific publications on infectious disease, the immune response, and biological modeling. She serves on the Board of Directors for the Society for Mathematical Biology, and she previously served as a consultant for Pharmerit International, LP, a pharmaceutical economics company. Dr. Schwartz has held fellowships with the Mathematical Biosciences Institute (Ohio State University) and the African Institute for Mathematical Sciences (Cape Town, South Africa), and she served on the teaching faculty for courses in British Columbia, India, and Nepal. We believe Dr. Schwartz’ qualifications to sit on our Board of Directors include her extensive expertise in biomathematics and biostatistics in the pharmaceutical industry.</w:t>
      </w:r>
    </w:p>
    <w:p>
      <w:pPr>
        <w:spacing w:after="0" w:line="188" w:lineRule="exact"/>
        <w:rPr>
          <w:sz w:val="20"/>
          <w:szCs w:val="20"/>
          <w:color w:val="auto"/>
        </w:rPr>
      </w:pPr>
    </w:p>
    <w:p>
      <w:pPr>
        <w:ind w:right="20" w:firstLine="441"/>
        <w:spacing w:after="0" w:line="252" w:lineRule="auto"/>
        <w:rPr>
          <w:sz w:val="20"/>
          <w:szCs w:val="20"/>
          <w:color w:val="auto"/>
        </w:rPr>
      </w:pPr>
      <w:r>
        <w:rPr>
          <w:rFonts w:ascii="Times New Roman" w:cs="Times New Roman" w:eastAsia="Times New Roman" w:hAnsi="Times New Roman"/>
          <w:sz w:val="18"/>
          <w:szCs w:val="18"/>
          <w:i w:val="1"/>
          <w:iCs w:val="1"/>
          <w:color w:val="auto"/>
        </w:rPr>
        <w:t>Harold Shlevin, Ph.D.</w:t>
      </w:r>
      <w:r>
        <w:rPr>
          <w:rFonts w:ascii="Times New Roman" w:cs="Times New Roman" w:eastAsia="Times New Roman" w:hAnsi="Times New Roman"/>
          <w:sz w:val="18"/>
          <w:szCs w:val="18"/>
          <w:color w:val="auto"/>
        </w:rPr>
        <w:t>, retired from being our President and Chief Executive Officer on September 2, 2020, a position he had held since June 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however, Dr. Shlevin has entered into a consulting agreement with the Company which ran through December 31, 2021. Dr. Shlevin previously served as our Chief Operating Officer and Secretary from October 1, 2012. Dr. Shlevin previously had been employed at the Georgia Institute of Technology’s Advanced Technology Development Center as Principle and Manager of bioscience commercialization efforts since November 2009, where he has assisted faculty in identifying technology worthy of commercialization, catalyzed formation of new start-up bioscience companies, and mentored new company management. From October 2008 to November 2009, he served as Head of Operations and Commercial Development for Altea Therapeutics Corporation, an advanced drug delivery company focused on the delivery of therapeutic levels of water-soluble biotherapeutics and small drugs through the skin. At Altea, he was responsible for pharmaceutical research and development, clinical research, regulatory affairs, engineering, clinical and commercial manufacturing, quality assurance, information technology, facility operations and finance. From July 2006 to September 2008, Dr. Shlevin served as the President and Chief Executive Officer of Tikvah Therapeutics, Inc., a start-up pharmaceutical enterprise focused on later-stage development of neuroscience therapeutics. From May 2000 to January 2006, he served as President and CEO of Solvay Pharmaceuticals, Inc. (US). In January 2006, he was promoted to a global senior Vice President role within Solvay Pharmaceuticals, SA and member of the Board of Solvay Pharmaceuticals, SA. Previously, Dr. Shlevin served on the Board of Directors of Cardiome Pharma Corporation (NASDAQ: CRME), now known as Correvio Pharma Corp. (NASDAQ: CORV) from 2004 to June 2016. He was Chair of the Compensation Committee and member of the Corporate Governance Committee and Audit Committees. We believe Dr. Shlevin’s qualifications to sit on our Board of Directors include his extensive executive leadership and management experience in the pharmaceutical industry.</w:t>
      </w:r>
    </w:p>
    <w:p>
      <w:pPr>
        <w:spacing w:after="0" w:line="195" w:lineRule="exact"/>
        <w:rPr>
          <w:sz w:val="20"/>
          <w:szCs w:val="20"/>
          <w:color w:val="auto"/>
        </w:rPr>
      </w:pPr>
    </w:p>
    <w:p>
      <w:pPr>
        <w:ind w:firstLine="441"/>
        <w:spacing w:after="0" w:line="281" w:lineRule="auto"/>
        <w:rPr>
          <w:sz w:val="20"/>
          <w:szCs w:val="20"/>
          <w:color w:val="auto"/>
        </w:rPr>
      </w:pPr>
      <w:r>
        <w:rPr>
          <w:rFonts w:ascii="Times New Roman" w:cs="Times New Roman" w:eastAsia="Times New Roman" w:hAnsi="Times New Roman"/>
          <w:sz w:val="17"/>
          <w:szCs w:val="17"/>
          <w:i w:val="1"/>
          <w:iCs w:val="1"/>
          <w:color w:val="auto"/>
        </w:rPr>
        <w:t>Richard E. Uihlein</w:t>
      </w:r>
      <w:r>
        <w:rPr>
          <w:rFonts w:ascii="Times New Roman" w:cs="Times New Roman" w:eastAsia="Times New Roman" w:hAnsi="Times New Roman"/>
          <w:sz w:val="17"/>
          <w:szCs w:val="17"/>
          <w:color w:val="auto"/>
        </w:rPr>
        <w:t>, a director since 2017 and Chairman since May 2018, co-founded Uline, Inc. (a leading distributor of shipping, packaging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industrial supplies) in 1980, and has served as its Chief Executive Officer and Chairman since its founding. Prior to founding Uline Inc., Mr. Uihlein was employed at General Bindings Corp., Northbrook, IL from 1967 to 1980. Mr. Uihlein graduated from Stanford University, Palo Alto, CA. with a BA degree in history in 1967. We believe Mr. Uihlein’s qualifications to sit on our Board includes his extensive executive leadership and management experience.</w:t>
      </w:r>
    </w:p>
    <w:p>
      <w:pPr>
        <w:spacing w:after="0" w:line="164" w:lineRule="exact"/>
        <w:rPr>
          <w:sz w:val="20"/>
          <w:szCs w:val="20"/>
          <w:color w:val="auto"/>
        </w:rPr>
      </w:pPr>
    </w:p>
    <w:p>
      <w:pPr>
        <w:ind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Richard A. Zordani, </w:t>
      </w:r>
      <w:r>
        <w:rPr>
          <w:rFonts w:ascii="Times New Roman" w:cs="Times New Roman" w:eastAsia="Times New Roman" w:hAnsi="Times New Roman"/>
          <w:sz w:val="18"/>
          <w:szCs w:val="18"/>
          <w:color w:val="auto"/>
        </w:rPr>
        <w:t>a director appointed by the board in September 2020, has been the Director of Shareholder Services at Uline, Inc. (a distributor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shipping, packaging and industrial supplies) since 2013. Prior to joining Uline, Mr. Zordani served as a Director and Vice President for Diversified Financial Management Corp. (Pritzker family office) where he advised on complex legal and tax structures for domestic and foreign entities and trusts from 2003 through 2013 and an Audit Manager for Altschuler, Melvoin &amp; Glasser LLP (now RSM McGladrey) from 1996 through 2003. Mr. Zordani received his undergraduate degree from the University of Illinois at Urbana/Champaign and is a Registered CPA in the state of Illinois. We believe that Mr. Zordani’s qualifications to sit on our Board include his business and financial expertise.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We have adopted a Code of Ethics that applies to all our directors, officers and employees. The Code of Ethics is publicly available on our website at www.galectintherapeutics.com. Amendments to the Code of Ethics and any grant of a waiver from a provision of the Code of Ethics requiring disclosure under applicable SEC rules will be disclosed on our website.</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8" w:name="page39"/>
    <w:bookmarkEnd w:id="3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Policy</w:t>
      </w:r>
    </w:p>
    <w:p>
      <w:pPr>
        <w:spacing w:after="0" w:line="229" w:lineRule="exact"/>
        <w:rPr>
          <w:sz w:val="20"/>
          <w:szCs w:val="20"/>
          <w:color w:val="auto"/>
        </w:rPr>
      </w:pPr>
    </w:p>
    <w:p>
      <w:pPr>
        <w:ind w:right="240" w:firstLine="441"/>
        <w:spacing w:after="0" w:line="266" w:lineRule="auto"/>
        <w:rPr>
          <w:sz w:val="20"/>
          <w:szCs w:val="20"/>
          <w:color w:val="auto"/>
        </w:rPr>
      </w:pPr>
      <w:r>
        <w:rPr>
          <w:rFonts w:ascii="Times New Roman" w:cs="Times New Roman" w:eastAsia="Times New Roman" w:hAnsi="Times New Roman"/>
          <w:sz w:val="18"/>
          <w:szCs w:val="18"/>
          <w:color w:val="auto"/>
        </w:rPr>
        <w:t>At this time, the Company has not adopted a policy regarding the ability of officers, directors and employees to purchase financial instruments (including prepaid variable forward contracts, equity swaps, collars, and exchange funds) or otherwise engage in transactions, that hedge or offset, or are designed to hedge or offset, any decrease in the market value of the Company’s equity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material changes have been made to the procedures by which security holders may recommend nominees to our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The members of this committee are Richard A. Zordani (chair), Kary Eldred and Kevin D. Freeman. The Audit Committee is responsible for oversight of the quality and integrity of the accounting, auditing and reporting practices of Galectin Therapeutics. More specifically, it assists the Board of Directors in fulfilling its oversight responsibilities relating to (i) the quality and integrity of our financial statements, reports and related information provided to stockholders, regulators and others, (ii) our compliance with legal and regulatory requirements, (iii) the qualifications, independence and performance of our independent registered public accounting firm, (iv) the internal control over financial reporting that management and the Board have established, and (v) the audit, accounting and financial reporting processes generally. The Committee is also responsible for review and approval of related-party transactions. The Board has determined that Mr. Zordani is an “audit committee financial expert” within the meaning of SEC rules. The Audit Committee has the authority to obtain advice and assistance from, and receive appropriate funding from the Company for, outside legal, accounting or other advisors as it deems necessary to carry out its duties.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229"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The Board has an active role, as a whole and also at the committee level, in overseeing management of our risks. The Board regularly reviews information regarding our credit, liquidity and operations, as well as the risks associated with each. The Compensation Committee of our Board is responsible for overseeing the management of risks relating to our executive compensation plans and arrangements. The Audit Committee of our Board oversees management of financial risks. The Nominating and Corporate Governance Committee of our Board manages risks associated with the independence of the Board members and potential conflicts of interest. While each committee is responsible for evaluating certain risks and overseeing the management of such risks, the entire Board of Directors is regularly informed through committee reports about such risks.</w:t>
      </w:r>
    </w:p>
    <w:p>
      <w:pPr>
        <w:spacing w:after="0" w:line="187" w:lineRule="exact"/>
        <w:rPr>
          <w:sz w:val="20"/>
          <w:szCs w:val="20"/>
          <w:color w:val="auto"/>
        </w:rPr>
      </w:pPr>
    </w:p>
    <w:p>
      <w:pPr>
        <w:ind w:right="360" w:firstLine="441"/>
        <w:spacing w:after="0" w:line="282" w:lineRule="auto"/>
        <w:rPr>
          <w:sz w:val="20"/>
          <w:szCs w:val="20"/>
          <w:color w:val="auto"/>
        </w:rPr>
      </w:pPr>
      <w:r>
        <w:rPr>
          <w:rFonts w:ascii="Times New Roman" w:cs="Times New Roman" w:eastAsia="Times New Roman" w:hAnsi="Times New Roman"/>
          <w:sz w:val="18"/>
          <w:szCs w:val="18"/>
          <w:color w:val="auto"/>
        </w:rPr>
        <w:t>We believe that any risks arising from our policies and programs are not reasonably likely to have a material adverse effect on the Company. Our programs reflect sound risk management practices including:</w:t>
      </w:r>
    </w:p>
    <w:p>
      <w:pPr>
        <w:spacing w:after="0" w:line="162" w:lineRule="exact"/>
        <w:rPr>
          <w:sz w:val="20"/>
          <w:szCs w:val="20"/>
          <w:color w:val="auto"/>
        </w:rPr>
      </w:pPr>
    </w:p>
    <w:p>
      <w:pPr>
        <w:ind w:left="1420" w:right="220" w:hanging="319"/>
        <w:spacing w:after="0" w:line="282" w:lineRule="auto"/>
        <w:tabs>
          <w:tab w:leader="none" w:pos="1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multiple compensation vehicles that provide a balance of long- and short-term incentives with fixed and variable components; and</w:t>
      </w:r>
    </w:p>
    <w:p>
      <w:pPr>
        <w:spacing w:after="0" w:line="161" w:lineRule="exact"/>
        <w:rPr>
          <w:rFonts w:ascii="Times New Roman" w:cs="Times New Roman" w:eastAsia="Times New Roman" w:hAnsi="Times New Roman"/>
          <w:sz w:val="18"/>
          <w:szCs w:val="18"/>
          <w:color w:val="auto"/>
        </w:rPr>
      </w:pPr>
    </w:p>
    <w:p>
      <w:pPr>
        <w:ind w:left="1420" w:right="80" w:hanging="319"/>
        <w:spacing w:after="0" w:line="266" w:lineRule="auto"/>
        <w:tabs>
          <w:tab w:leader="none" w:pos="1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incentive awards that generally vest over several years, so while the potential compensation payable for equity incentive awards is tied directly to appreciation of our stock price, taking excessive risk for a short term gain is discouraged because it would not maximize the value of equity incentive awards over the long-term.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Joel Lewis</w:t>
      </w:r>
      <w:r>
        <w:rPr>
          <w:rFonts w:ascii="Times New Roman" w:cs="Times New Roman" w:eastAsia="Times New Roman" w:hAnsi="Times New Roman"/>
          <w:sz w:val="18"/>
          <w:szCs w:val="18"/>
          <w:color w:val="auto"/>
        </w:rPr>
        <w:t>, see above under directors.</w:t>
      </w:r>
    </w:p>
    <w:p>
      <w:pPr>
        <w:spacing w:after="0" w:line="225"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Pol F. Boudes, M.D., </w:t>
      </w:r>
      <w:r>
        <w:rPr>
          <w:rFonts w:ascii="Times New Roman" w:cs="Times New Roman" w:eastAsia="Times New Roman" w:hAnsi="Times New Roman"/>
          <w:sz w:val="18"/>
          <w:szCs w:val="18"/>
          <w:color w:val="auto"/>
        </w:rPr>
        <w:t>age 64, became the Company’s Chief Medical Officer on March 2, 2020. Prior to joining the Company, Dr. Boudes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Chief Medical Officer of CymaBay Therapeutics from March 2014 through October 2019, where he worked on CymaBay’s proprietary NASH compound and was instrumental in inventing and launching programs in rare liver diseases. Prior to his time at CymaBay, Dr. Boudes served as the Chief Medical Officer of Amicus Therapeutics, a company focusing on rare lysosomal storage disorders. Following this experience, Dr. Boudes became a Board member of Protalix BioTherapeutics, a company developing plant cell expressed recombinant proteins with improved therapeutic profiles, notably for lysosomal disorders. Before his time working as a Chief Medical Officer, Dr. Boudes held positions of increased responsibilities in clinical development at Bayer HealthCare Pharmaceuticals, Wyeth Research, Hoffman-La Roche and Pasteur Merieux.</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7" w:lineRule="exact"/>
        <w:rPr>
          <w:sz w:val="20"/>
          <w:szCs w:val="20"/>
          <w:color w:val="auto"/>
        </w:rPr>
      </w:pPr>
    </w:p>
    <w:p>
      <w:pPr>
        <w:ind w:right="140" w:firstLine="441"/>
        <w:spacing w:after="0" w:line="255" w:lineRule="auto"/>
        <w:rPr>
          <w:sz w:val="20"/>
          <w:szCs w:val="20"/>
          <w:color w:val="auto"/>
        </w:rPr>
      </w:pPr>
      <w:r>
        <w:rPr>
          <w:rFonts w:ascii="Times New Roman" w:cs="Times New Roman" w:eastAsia="Times New Roman" w:hAnsi="Times New Roman"/>
          <w:sz w:val="18"/>
          <w:szCs w:val="18"/>
          <w:i w:val="1"/>
          <w:iCs w:val="1"/>
          <w:color w:val="auto"/>
        </w:rPr>
        <w:t>Jack W. Callicutt</w:t>
      </w:r>
      <w:r>
        <w:rPr>
          <w:rFonts w:ascii="Times New Roman" w:cs="Times New Roman" w:eastAsia="Times New Roman" w:hAnsi="Times New Roman"/>
          <w:sz w:val="18"/>
          <w:szCs w:val="18"/>
          <w:color w:val="auto"/>
        </w:rPr>
        <w:t>, age 54, became our Chief Financial Officer on July 1, 2013. From August 2012 through June 2012, Mr. Callicutt was the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of REACH Health, Inc., a telemedicine technology company headquartered in Alpharetta, GA. From April 2010 through August 2012, Mr. Callicutt was the Chief Financial Officer of Vystar Corporation, a publicly traded company that holds proprietary technology to remove antigenic proteins from natural rubber latex. Prior to that Mr. Callicutt was Chief Financial Officer of IVOX, Inc., Tikvah Therapeutics and Corautus Genetics, a publicly traded biotechnology company which was developing gene therapy for treatment of cardiovascular disease. Mr. Callicutt previously spent more than fourteen years in public accounting, most recently as a senior manager at Deloitte, where he specialized in technology companies from 1989 to 2003. Mr. Callicutt is a Certified Public Accountant and graduated with honors from Delta State University with a B.B.A. in accounting and computer information systems.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 of the directors, executive officers and significant employees share any familial relationship.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our officers and directors, and persons who beneficially own more than ten percent of our common stock, to file reports of ownership and changes of ownership of such securities with the SEC. All reports were timely filed during the fiscal year ended December 31, 2021.</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DISCUSSION</w:t>
      </w:r>
    </w:p>
    <w:p>
      <w:pPr>
        <w:spacing w:after="0" w:line="229" w:lineRule="exact"/>
        <w:rPr>
          <w:sz w:val="20"/>
          <w:szCs w:val="20"/>
          <w:color w:val="auto"/>
        </w:rPr>
      </w:pPr>
    </w:p>
    <w:p>
      <w:pPr>
        <w:ind w:right="40" w:firstLine="441"/>
        <w:spacing w:after="0" w:line="277" w:lineRule="auto"/>
        <w:rPr>
          <w:sz w:val="20"/>
          <w:szCs w:val="20"/>
          <w:color w:val="auto"/>
        </w:rPr>
      </w:pPr>
      <w:r>
        <w:rPr>
          <w:rFonts w:ascii="Times New Roman" w:cs="Times New Roman" w:eastAsia="Times New Roman" w:hAnsi="Times New Roman"/>
          <w:sz w:val="17"/>
          <w:szCs w:val="17"/>
          <w:color w:val="auto"/>
        </w:rPr>
        <w:t>The Compensation Committee is responsible for creating and reviewing the compensation of the Company’s executive officers, as well as overseeing the Company’s compensation and benefit plans and policies and administering the Company’s equity incentive plans. The following Compensation Philosophy Discussion (“Compensation Discussion”) describes our 2021 executive compensation program and explains the Company’s compensation philosophy, policies, and practices, focusing primarily on the compensation of our named executive officers, or NEOs. This Compensation Discussion is intended to be read in conjunction with the tables that follow, which provide detailed historical compensation information for our following NEOs: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400" w:type="dxa"/>
            <w:vAlign w:val="bottom"/>
          </w:tcPr>
          <w:p>
            <w:pPr>
              <w:ind w:left="250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16"/>
        </w:trPr>
        <w:tc>
          <w:tcPr>
            <w:tcW w:w="5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100" w:type="dxa"/>
            <w:vAlign w:val="bottom"/>
            <w:tcBorders>
              <w:top w:val="single" w:sz="8" w:color="CCEEFF"/>
            </w:tcBorders>
            <w:shd w:val="clear" w:color="auto" w:fill="CCEEFF"/>
          </w:tcPr>
          <w:p>
            <w:pPr>
              <w:spacing w:after="0"/>
              <w:rPr>
                <w:sz w:val="18"/>
                <w:szCs w:val="18"/>
                <w:color w:val="auto"/>
              </w:rPr>
            </w:pPr>
          </w:p>
        </w:tc>
        <w:tc>
          <w:tcPr>
            <w:tcW w:w="54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 F. Boudes, M.D.</w:t>
            </w:r>
          </w:p>
        </w:tc>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Compensation Philosophy</w:t>
            </w:r>
          </w:p>
        </w:tc>
        <w:tc>
          <w:tcPr>
            <w:tcW w:w="5400" w:type="dxa"/>
            <w:vAlign w:val="bottom"/>
          </w:tcPr>
          <w:p>
            <w:pPr>
              <w:spacing w:after="0"/>
              <w:rPr>
                <w:sz w:val="24"/>
                <w:szCs w:val="24"/>
                <w:color w:val="auto"/>
              </w:rPr>
            </w:pPr>
          </w:p>
        </w:tc>
      </w:tr>
    </w:tbl>
    <w:p>
      <w:pPr>
        <w:spacing w:after="0" w:line="198" w:lineRule="exact"/>
        <w:rPr>
          <w:sz w:val="20"/>
          <w:szCs w:val="20"/>
          <w:color w:val="auto"/>
        </w:rPr>
      </w:pPr>
    </w:p>
    <w:p>
      <w:pPr>
        <w:ind w:right="660" w:firstLine="441"/>
        <w:spacing w:after="0" w:line="282" w:lineRule="auto"/>
        <w:rPr>
          <w:sz w:val="20"/>
          <w:szCs w:val="20"/>
          <w:color w:val="auto"/>
        </w:rPr>
      </w:pPr>
      <w:r>
        <w:rPr>
          <w:rFonts w:ascii="Times New Roman" w:cs="Times New Roman" w:eastAsia="Times New Roman" w:hAnsi="Times New Roman"/>
          <w:sz w:val="18"/>
          <w:szCs w:val="18"/>
          <w:color w:val="auto"/>
        </w:rPr>
        <w:t>The Company believes in providing a competitive total compensation package to its executives through a combination of base salary, annual performance bonuses, and long-term equity awards. The executive compensation program is designed to achieve the following objectives:</w:t>
      </w:r>
    </w:p>
    <w:p>
      <w:pPr>
        <w:spacing w:after="0" w:line="162" w:lineRule="exact"/>
        <w:rPr>
          <w:sz w:val="20"/>
          <w:szCs w:val="20"/>
          <w:color w:val="auto"/>
        </w:rPr>
      </w:pPr>
    </w:p>
    <w:p>
      <w:pPr>
        <w:ind w:left="1420" w:hanging="319"/>
        <w:spacing w:after="0"/>
        <w:tabs>
          <w:tab w:leader="none" w:pos="1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competitive compensation that will help attract, retain and reward qualified executives;</w:t>
      </w:r>
    </w:p>
    <w:p>
      <w:pPr>
        <w:spacing w:after="0" w:line="225" w:lineRule="exact"/>
        <w:rPr>
          <w:rFonts w:ascii="Times New Roman" w:cs="Times New Roman" w:eastAsia="Times New Roman" w:hAnsi="Times New Roman"/>
          <w:sz w:val="18"/>
          <w:szCs w:val="18"/>
          <w:color w:val="auto"/>
        </w:rPr>
      </w:pPr>
    </w:p>
    <w:p>
      <w:pPr>
        <w:ind w:left="1420" w:right="940" w:hanging="319"/>
        <w:spacing w:after="0" w:line="282" w:lineRule="auto"/>
        <w:tabs>
          <w:tab w:leader="none" w:pos="1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executives’ interests with our success by making a portion of the executive’s compensation dependent upon corporate performance; and</w:t>
      </w:r>
    </w:p>
    <w:p>
      <w:pPr>
        <w:spacing w:after="0" w:line="161"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executives’ interests with the interests of stockholders by including long-term equity incentives.</w:t>
      </w:r>
    </w:p>
    <w:p>
      <w:pPr>
        <w:spacing w:after="0" w:line="225" w:lineRule="exact"/>
        <w:rPr>
          <w:sz w:val="20"/>
          <w:szCs w:val="20"/>
          <w:color w:val="auto"/>
        </w:rPr>
      </w:pPr>
    </w:p>
    <w:p>
      <w:pPr>
        <w:ind w:right="280" w:firstLine="441"/>
        <w:spacing w:after="0" w:line="258" w:lineRule="auto"/>
        <w:rPr>
          <w:sz w:val="20"/>
          <w:szCs w:val="20"/>
          <w:color w:val="auto"/>
        </w:rPr>
      </w:pPr>
      <w:r>
        <w:rPr>
          <w:rFonts w:ascii="Times New Roman" w:cs="Times New Roman" w:eastAsia="Times New Roman" w:hAnsi="Times New Roman"/>
          <w:sz w:val="18"/>
          <w:szCs w:val="18"/>
          <w:color w:val="auto"/>
        </w:rPr>
        <w:t>The Compensation Committee believes that the Company’s executive compensation program should include annual and long-term components, including cash and equity-based compensation, and should reward consistent performance that meets or exceeds expectations. The Compensation Committee evaluates both performance and compensation to make sure that the compensation provided to executives remains competitive relative to compensation paid by companies of similar size and stage of development operating in the life sciences industry and taking into account the Company’s relative performance and its own strategic objectives.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Review and Design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0" w:name="page41"/>
    <w:bookmarkEnd w:id="4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right="220" w:firstLine="441"/>
        <w:spacing w:after="0" w:line="266" w:lineRule="auto"/>
        <w:rPr>
          <w:sz w:val="20"/>
          <w:szCs w:val="20"/>
          <w:color w:val="auto"/>
        </w:rPr>
      </w:pPr>
      <w:r>
        <w:rPr>
          <w:rFonts w:ascii="Times New Roman" w:cs="Times New Roman" w:eastAsia="Times New Roman" w:hAnsi="Times New Roman"/>
          <w:sz w:val="18"/>
          <w:szCs w:val="18"/>
          <w:color w:val="auto"/>
        </w:rPr>
        <w:t>The Company has historically conducted a review of the aggregate level of its executive compensation, as well as the mix of elements used to compensate its NEOs. The Company has based this review primarily on the experience of the members of the Compensation Committee and our Board, many of whom sit on the boards of directors of, or have previously advised, numerous companies, including companies in the life sciences industry.</w:t>
      </w:r>
    </w:p>
    <w:p>
      <w:pPr>
        <w:spacing w:after="0" w:line="176" w:lineRule="exact"/>
        <w:rPr>
          <w:sz w:val="20"/>
          <w:szCs w:val="20"/>
          <w:color w:val="auto"/>
        </w:rPr>
      </w:pPr>
    </w:p>
    <w:p>
      <w:pPr>
        <w:ind w:right="120" w:firstLine="441"/>
        <w:spacing w:after="0" w:line="258" w:lineRule="auto"/>
        <w:rPr>
          <w:sz w:val="20"/>
          <w:szCs w:val="20"/>
          <w:color w:val="auto"/>
        </w:rPr>
      </w:pPr>
      <w:r>
        <w:rPr>
          <w:rFonts w:ascii="Times New Roman" w:cs="Times New Roman" w:eastAsia="Times New Roman" w:hAnsi="Times New Roman"/>
          <w:sz w:val="18"/>
          <w:szCs w:val="18"/>
          <w:color w:val="auto"/>
        </w:rPr>
        <w:t>At our last “Say-on-Pay vote” held at our 2019 annual meeting of stockholders approximately 86% of our outstanding common stock voting on the matter voted in favor of the compensation of our NEOs, as disclosed in the proxy materials for the 2019 annual meeting. At our 2019 annual meeting, the holders of approximately 78% of our outstanding common stock voting on the matter voted in favor of holding the stockholder advisory vote every three years. As a result of such vote, our Board decided to hold the “Say-on-Pay” advisory vote every three years. Accordingly, the Company’s next “Say-on-Pay” advisory vote on the compensation of our NEOs will be held at our 2022 annual meeting of stockholders.</w:t>
      </w:r>
    </w:p>
    <w:p>
      <w:pPr>
        <w:spacing w:after="0" w:line="183" w:lineRule="exact"/>
        <w:rPr>
          <w:sz w:val="20"/>
          <w:szCs w:val="20"/>
          <w:color w:val="auto"/>
        </w:rPr>
      </w:pPr>
    </w:p>
    <w:p>
      <w:pPr>
        <w:ind w:firstLine="441"/>
        <w:spacing w:after="0" w:line="233" w:lineRule="auto"/>
        <w:rPr>
          <w:sz w:val="20"/>
          <w:szCs w:val="20"/>
          <w:color w:val="auto"/>
        </w:rPr>
      </w:pPr>
      <w:r>
        <w:rPr>
          <w:rFonts w:ascii="Times New Roman" w:cs="Times New Roman" w:eastAsia="Times New Roman" w:hAnsi="Times New Roman"/>
          <w:sz w:val="18"/>
          <w:szCs w:val="18"/>
          <w:color w:val="auto"/>
        </w:rPr>
        <w:t>In 2014 and 2015, the Compensation Committee undertook a review of our compensation policies and practices and retained the compensation consulting firm of Barney &amp; Barney LLC to provide compensation information and analysis with respect to the life science and healthcare industry and with respect to our peer companies within the industry. Barney &amp; Barney LLC reviewed information from industry and other sources, surveys and databases, including publicly-available compensation information of other companies with which we compete, to gauge the competitiveness of our compensation programs. Barney &amp; Barney LLC then reported its findings to the Compensation Committee, with recommendations to bring the Company’s executive compensation closer to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the total compensation of our competitor companies. These findings continued to inform the Compensation Committee’s decisions on compensation in subsequent years, including 2021.</w:t>
      </w:r>
    </w:p>
    <w:p>
      <w:pPr>
        <w:spacing w:after="0" w:line="199" w:lineRule="exact"/>
        <w:rPr>
          <w:sz w:val="20"/>
          <w:szCs w:val="20"/>
          <w:color w:val="auto"/>
        </w:rPr>
      </w:pPr>
    </w:p>
    <w:p>
      <w:pPr>
        <w:ind w:right="40" w:firstLine="441"/>
        <w:spacing w:after="0" w:line="221" w:lineRule="auto"/>
        <w:rPr>
          <w:sz w:val="20"/>
          <w:szCs w:val="20"/>
          <w:color w:val="auto"/>
        </w:rPr>
      </w:pPr>
      <w:r>
        <w:rPr>
          <w:rFonts w:ascii="Times New Roman" w:cs="Times New Roman" w:eastAsia="Times New Roman" w:hAnsi="Times New Roman"/>
          <w:sz w:val="18"/>
          <w:szCs w:val="18"/>
          <w:color w:val="auto"/>
        </w:rPr>
        <w:t>The Compensation Committee may use a compensation consultant in the future and to take into account publicly-available data relating to the compensation practices and policies of other companies within and outside our industry. The Compensation Committee intends to benchmark its executive compensation program to target at least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the total compensation programs of our competitor companies; however, adjusted as deemed to be in the best interest of the Company to assure retention of key employees during the NAVIGATE trial.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Executive Compensation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compensation program for the Company’s NEOs consists principally of three components:</w:t>
      </w:r>
    </w:p>
    <w:p>
      <w:pPr>
        <w:spacing w:after="0" w:line="225" w:lineRule="exact"/>
        <w:rPr>
          <w:sz w:val="20"/>
          <w:szCs w:val="20"/>
          <w:color w:val="auto"/>
        </w:rPr>
      </w:pPr>
    </w:p>
    <w:p>
      <w:pPr>
        <w:ind w:left="1420" w:hanging="319"/>
        <w:spacing w:after="0"/>
        <w:tabs>
          <w:tab w:leader="none" w:pos="1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225"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and retention bonuses;</w:t>
      </w:r>
    </w:p>
    <w:p>
      <w:pPr>
        <w:spacing w:after="0" w:line="225"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compensation in the form of equity-based awards.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Base salary is the only fixed-pay component in our executive compensation program. Base salaries for the NEOs are initially established through arm’s-length negotiation at the time the NEO is hired, taking into account such NEO’s qualifications, experience, prior salary, the scope of his or her responsibilities, and known competitive market compensation paid by other companies for similar positions within the industry. Base salaries are reviewed annually and adjusted from time to time to realign salaries with market levels after taking into account individual responsibilities, performance, and experience. In making decisions regarding salary increases, the Company may also draw upon the experience of members of the Compensation Committee and the Board of Directors, many of whom sit on the boards of directors of, or have previously advised, numerous companies, including companies in the life sciences industry. The Compensation Committee has not previously applied specific formulas to determine increases. This strategy is consistent with the Company’s intent of offering base salaries that are cost-effective while remaining competitive.</w:t>
      </w:r>
    </w:p>
    <w:p>
      <w:pPr>
        <w:spacing w:after="0" w:line="188" w:lineRule="exact"/>
        <w:rPr>
          <w:sz w:val="20"/>
          <w:szCs w:val="20"/>
          <w:color w:val="auto"/>
        </w:rPr>
      </w:pPr>
    </w:p>
    <w:tbl>
      <w:tblPr>
        <w:tblLayout w:type="fixed"/>
        <w:tblInd w:w="880" w:type="dxa"/>
        <w:tblCellMar>
          <w:top w:w="0" w:type="dxa"/>
          <w:left w:w="0" w:type="dxa"/>
          <w:bottom w:w="0" w:type="dxa"/>
          <w:right w:w="0" w:type="dxa"/>
        </w:tblCellMar>
      </w:tblPr>
      <w:tr>
        <w:trPr>
          <w:trHeight w:val="245"/>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1"/>
                <w:szCs w:val="21"/>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2021 Base Salary</w:t>
            </w:r>
          </w:p>
        </w:tc>
        <w:tc>
          <w:tcPr>
            <w:tcW w:w="6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2020 Base Salary</w:t>
            </w:r>
          </w:p>
        </w:tc>
      </w:tr>
      <w:tr>
        <w:trPr>
          <w:trHeight w:val="216"/>
        </w:trPr>
        <w:tc>
          <w:tcPr>
            <w:tcW w:w="6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 (1)(3)</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Pol F. Boudes, M.D..</w:t>
            </w:r>
          </w:p>
        </w:tc>
        <w:tc>
          <w:tcPr>
            <w:tcW w:w="440" w:type="dxa"/>
            <w:vAlign w:val="bottom"/>
            <w:gridSpan w:val="2"/>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455,000</w:t>
            </w:r>
          </w:p>
        </w:tc>
        <w:tc>
          <w:tcPr>
            <w:tcW w:w="120" w:type="dxa"/>
            <w:vAlign w:val="bottom"/>
          </w:tcPr>
          <w:p>
            <w:pPr>
              <w:spacing w:after="0"/>
              <w:rPr>
                <w:sz w:val="18"/>
                <w:szCs w:val="18"/>
                <w:color w:val="auto"/>
              </w:rPr>
            </w:pP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440,500(2)</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440" w:type="dxa"/>
            <w:vAlign w:val="bottom"/>
            <w:gridSpan w:val="2"/>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302,100</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302,100</w:t>
            </w:r>
          </w:p>
        </w:tc>
      </w:tr>
    </w:tbl>
    <w:p>
      <w:pPr>
        <w:spacing w:after="0" w:line="198" w:lineRule="exact"/>
        <w:rPr>
          <w:sz w:val="20"/>
          <w:szCs w:val="20"/>
          <w:color w:val="auto"/>
        </w:rPr>
      </w:pPr>
    </w:p>
    <w:p>
      <w:pPr>
        <w:ind w:left="1420" w:hanging="427"/>
        <w:spacing w:after="0"/>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Lewis became our President and Chief Executive Officer on September 2, 2020.</w:t>
      </w:r>
    </w:p>
    <w:p>
      <w:pPr>
        <w:spacing w:after="0" w:line="225"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Boudes became our Chief Medical Officer on March 3, 2020.</w:t>
      </w:r>
    </w:p>
    <w:p>
      <w:pPr>
        <w:spacing w:after="0" w:line="225" w:lineRule="exact"/>
        <w:rPr>
          <w:rFonts w:ascii="Times New Roman" w:cs="Times New Roman" w:eastAsia="Times New Roman" w:hAnsi="Times New Roman"/>
          <w:sz w:val="18"/>
          <w:szCs w:val="18"/>
          <w:color w:val="auto"/>
        </w:rPr>
      </w:pPr>
    </w:p>
    <w:p>
      <w:pPr>
        <w:ind w:left="1420" w:right="180" w:hanging="427"/>
        <w:spacing w:after="0" w:line="266" w:lineRule="auto"/>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Mr. Lewis’s Employment Agreement and Deferred Stock Unit Agreement, 20% of Mr. Lewis’ base salary will be paid in cash and 80% will be paid in the form of deferred-stock units in accordance with the terms and subject to the provisions of the DSU Agreement.</w:t>
      </w:r>
    </w:p>
    <w:p>
      <w:pPr>
        <w:spacing w:after="0" w:line="3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41" w:name="page42"/>
    <w:bookmarkEnd w:id="4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Bonuses</w:t>
      </w:r>
    </w:p>
    <w:p>
      <w:pPr>
        <w:spacing w:after="0" w:line="229" w:lineRule="exact"/>
        <w:rPr>
          <w:sz w:val="20"/>
          <w:szCs w:val="20"/>
          <w:color w:val="auto"/>
        </w:rPr>
      </w:pPr>
    </w:p>
    <w:p>
      <w:pPr>
        <w:ind w:right="780" w:firstLine="441"/>
        <w:spacing w:after="0" w:line="282" w:lineRule="auto"/>
        <w:rPr>
          <w:sz w:val="20"/>
          <w:szCs w:val="20"/>
          <w:color w:val="auto"/>
        </w:rPr>
      </w:pPr>
      <w:r>
        <w:rPr>
          <w:rFonts w:ascii="Times New Roman" w:cs="Times New Roman" w:eastAsia="Times New Roman" w:hAnsi="Times New Roman"/>
          <w:sz w:val="18"/>
          <w:szCs w:val="18"/>
          <w:color w:val="auto"/>
        </w:rPr>
        <w:t>In addition to the payment of base salaries, the Company believes that annual performance bonuses can play an important role in providing appropriate incentives to its NEOs to achieve the Company’s strategic objectives.</w:t>
      </w:r>
    </w:p>
    <w:p>
      <w:pPr>
        <w:spacing w:after="0" w:line="162" w:lineRule="exact"/>
        <w:rPr>
          <w:sz w:val="20"/>
          <w:szCs w:val="20"/>
          <w:color w:val="auto"/>
        </w:rPr>
      </w:pPr>
    </w:p>
    <w:p>
      <w:pPr>
        <w:ind w:right="140" w:firstLine="441"/>
        <w:spacing w:after="0" w:line="254" w:lineRule="auto"/>
        <w:rPr>
          <w:sz w:val="20"/>
          <w:szCs w:val="20"/>
          <w:color w:val="auto"/>
        </w:rPr>
      </w:pPr>
      <w:r>
        <w:rPr>
          <w:rFonts w:ascii="Times New Roman" w:cs="Times New Roman" w:eastAsia="Times New Roman" w:hAnsi="Times New Roman"/>
          <w:sz w:val="18"/>
          <w:szCs w:val="18"/>
          <w:color w:val="auto"/>
        </w:rPr>
        <w:t>In prior years, performance bonuses were awarded based on the Company’s Employee Short-Term and Long-Term Incentive Program (the “Program”), which was adopted for executives and employees of the Company. The Program is a performance-based program and was adopted in recognition of the importance of aligning executive and employee interests with that of our stockholders. Our Program is designed to reward the efforts of our executives and employees and to be competitive in attracting and retaining them. There are two elements of the Program: (1) a short-term incentive in the form of cash bonuses and (2) a long-term incentive in the form of stock option grants. The cash bonus incentive is targeted to be up to 30% to 50% of the NEO’s base salary as of the end of the applicable year. Half of each NEO’s annual performance bonus is based upon achievement of the Company’s documented performance objectives for the year and the other half is based upon achievement of individual performance objectives set for the year. The 2021 performance bonuses were paid in February 2022.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 Bonus</w:t>
            </w:r>
          </w:p>
        </w:tc>
        <w:tc>
          <w:tcPr>
            <w:tcW w:w="1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Awarded Amount</w:t>
            </w:r>
          </w:p>
        </w:tc>
      </w:tr>
      <w:tr>
        <w:trPr>
          <w:trHeight w:val="245"/>
        </w:trPr>
        <w:tc>
          <w:tcPr>
            <w:tcW w:w="7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As % of Base Salary</w:t>
            </w:r>
          </w:p>
        </w:tc>
        <w:tc>
          <w:tcPr>
            <w:tcW w:w="160" w:type="dxa"/>
            <w:vAlign w:val="bottom"/>
          </w:tcPr>
          <w:p>
            <w:pPr>
              <w:spacing w:after="0"/>
              <w:rPr>
                <w:sz w:val="21"/>
                <w:szCs w:val="21"/>
                <w:color w:val="auto"/>
              </w:rPr>
            </w:pPr>
          </w:p>
        </w:tc>
      </w:tr>
      <w:tr>
        <w:trPr>
          <w:trHeight w:val="216"/>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250,000(1)</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Pol F. Boudes, M.D.</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136,500</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90,630</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bl>
    <w:p>
      <w:pPr>
        <w:spacing w:after="0" w:line="198" w:lineRule="exact"/>
        <w:rPr>
          <w:sz w:val="20"/>
          <w:szCs w:val="20"/>
          <w:color w:val="auto"/>
        </w:rPr>
      </w:pPr>
    </w:p>
    <w:p>
      <w:pPr>
        <w:ind w:right="180" w:firstLine="8"/>
        <w:spacing w:after="0" w:line="282"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Mr. Lewis’s Employment Agreement and Deferred Stock Unit Agreement, 20% of Mr. Lewis’ bonus will be paid in cash and 80% will be paid in the form of deferred-stock units in accordance with the terms and subject to the provisions of the DSU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Compensation</w:t>
      </w:r>
    </w:p>
    <w:p>
      <w:pPr>
        <w:spacing w:after="0" w:line="229" w:lineRule="exact"/>
        <w:rPr>
          <w:sz w:val="20"/>
          <w:szCs w:val="20"/>
          <w:color w:val="auto"/>
        </w:rPr>
      </w:pPr>
    </w:p>
    <w:p>
      <w:pPr>
        <w:ind w:right="260" w:firstLine="441"/>
        <w:spacing w:after="0" w:line="266" w:lineRule="auto"/>
        <w:rPr>
          <w:sz w:val="20"/>
          <w:szCs w:val="20"/>
          <w:color w:val="auto"/>
        </w:rPr>
      </w:pPr>
      <w:r>
        <w:rPr>
          <w:rFonts w:ascii="Times New Roman" w:cs="Times New Roman" w:eastAsia="Times New Roman" w:hAnsi="Times New Roman"/>
          <w:sz w:val="18"/>
          <w:szCs w:val="18"/>
          <w:color w:val="auto"/>
        </w:rPr>
        <w:t>The Company believes that by providing its NEOs the opportunity to increase their ownership of Company stock, the interests of its NEOs will be more closely-aligned with the best interests of the Company’s stockholders and it will encourage long-term performance. The stock awards enable the NEOs to participate in the appreciation in the value of the Company’s stock, while personally participating in the risks of business setbacks.</w:t>
      </w:r>
    </w:p>
    <w:p>
      <w:pPr>
        <w:spacing w:after="0" w:line="176" w:lineRule="exact"/>
        <w:rPr>
          <w:sz w:val="20"/>
          <w:szCs w:val="20"/>
          <w:color w:val="auto"/>
        </w:rPr>
      </w:pPr>
    </w:p>
    <w:p>
      <w:pPr>
        <w:jc w:val="both"/>
        <w:ind w:right="440" w:firstLine="441"/>
        <w:spacing w:after="0" w:line="266" w:lineRule="auto"/>
        <w:rPr>
          <w:sz w:val="20"/>
          <w:szCs w:val="20"/>
          <w:color w:val="auto"/>
        </w:rPr>
      </w:pPr>
      <w:r>
        <w:rPr>
          <w:rFonts w:ascii="Times New Roman" w:cs="Times New Roman" w:eastAsia="Times New Roman" w:hAnsi="Times New Roman"/>
          <w:sz w:val="18"/>
          <w:szCs w:val="18"/>
          <w:color w:val="auto"/>
        </w:rPr>
        <w:t>Under the long-term incentive portion of the Program, the NEOs are granted options based upon achievement of the Company performance and individual performance objectives and rank in the Company. All option grants under the Program through December 2019 were made under the 2009 Incentive Compensation Plan. Grants made after January 1, 2020, were made pursuant to the 2019 Omnibus Equity Incentive Plan.</w:t>
      </w:r>
    </w:p>
    <w:p>
      <w:pPr>
        <w:spacing w:after="0" w:line="176"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On March 25, 2021, the NEOs were awarded the options noted below based on 2020 performance. For the performance options, 25% vest on each of September 30, 2021, March 31, 2022, September 30, 2022 and March 31, 2023. The exercise price of the options is set at the closing price of our stock as of the grant date. The NEOs also were awarded longer term option grants that vest 100% when the Company has received the interim results of the NAVIGATE clinical trial and makes a public announcement that it has received the interim results.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5"/>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1"/>
                <w:szCs w:val="21"/>
                <w:color w:val="auto"/>
              </w:rPr>
            </w:pPr>
          </w:p>
        </w:tc>
        <w:tc>
          <w:tcPr>
            <w:tcW w:w="408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Underlying Options</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6"/>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100" w:type="dxa"/>
            <w:vAlign w:val="bottom"/>
            <w:shd w:val="clear" w:color="auto" w:fill="CCEEFF"/>
          </w:tcPr>
          <w:p>
            <w:pPr>
              <w:spacing w:after="0"/>
              <w:rPr>
                <w:sz w:val="18"/>
                <w:szCs w:val="18"/>
                <w:color w:val="auto"/>
              </w:rPr>
            </w:pPr>
          </w:p>
        </w:tc>
        <w:tc>
          <w:tcPr>
            <w:tcW w:w="3980" w:type="dxa"/>
            <w:vAlign w:val="bottom"/>
            <w:tcBorders>
              <w:top w:val="single" w:sz="8" w:color="auto"/>
            </w:tcBorders>
            <w:shd w:val="clear" w:color="auto" w:fill="CCEEFF"/>
          </w:tcPr>
          <w:p>
            <w:pPr>
              <w:ind w:left="3260"/>
              <w:spacing w:after="0"/>
              <w:rPr>
                <w:sz w:val="20"/>
                <w:szCs w:val="20"/>
                <w:color w:val="auto"/>
              </w:rPr>
            </w:pPr>
            <w:r>
              <w:rPr>
                <w:rFonts w:ascii="Times New Roman" w:cs="Times New Roman" w:eastAsia="Times New Roman" w:hAnsi="Times New Roman"/>
                <w:sz w:val="18"/>
                <w:szCs w:val="18"/>
                <w:color w:val="auto"/>
                <w:w w:val="95"/>
              </w:rPr>
              <w:t>3/25/2021</w:t>
            </w:r>
          </w:p>
        </w:tc>
        <w:tc>
          <w:tcPr>
            <w:tcW w:w="100" w:type="dxa"/>
            <w:vAlign w:val="bottom"/>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2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Joel Lewis</w:t>
            </w:r>
          </w:p>
        </w:tc>
        <w:tc>
          <w:tcPr>
            <w:tcW w:w="4180" w:type="dxa"/>
            <w:vAlign w:val="bottom"/>
            <w:gridSpan w:val="3"/>
          </w:tcPr>
          <w:p>
            <w:pPr>
              <w:ind w:left="3360"/>
              <w:spacing w:after="0"/>
              <w:rPr>
                <w:sz w:val="20"/>
                <w:szCs w:val="20"/>
                <w:color w:val="auto"/>
              </w:rPr>
            </w:pPr>
            <w:r>
              <w:rPr>
                <w:rFonts w:ascii="Times New Roman" w:cs="Times New Roman" w:eastAsia="Times New Roman" w:hAnsi="Times New Roman"/>
                <w:sz w:val="18"/>
                <w:szCs w:val="18"/>
                <w:color w:val="auto"/>
              </w:rPr>
              <w:t>3/25/2021</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140,000</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 Boudes, M.D.</w:t>
            </w:r>
          </w:p>
        </w:tc>
        <w:tc>
          <w:tcPr>
            <w:tcW w:w="4180" w:type="dxa"/>
            <w:vAlign w:val="bottom"/>
            <w:gridSpan w:val="3"/>
            <w:shd w:val="clear" w:color="auto" w:fill="CCEEFF"/>
          </w:tcPr>
          <w:p>
            <w:pPr>
              <w:ind w:left="3360"/>
              <w:spacing w:after="0"/>
              <w:rPr>
                <w:sz w:val="20"/>
                <w:szCs w:val="20"/>
                <w:color w:val="auto"/>
              </w:rPr>
            </w:pPr>
            <w:r>
              <w:rPr>
                <w:rFonts w:ascii="Times New Roman" w:cs="Times New Roman" w:eastAsia="Times New Roman" w:hAnsi="Times New Roman"/>
                <w:sz w:val="18"/>
                <w:szCs w:val="18"/>
                <w:color w:val="auto"/>
              </w:rPr>
              <w:t>3/25/2021</w:t>
            </w: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50,000</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Pol Boudes, M.D.</w:t>
            </w:r>
          </w:p>
        </w:tc>
        <w:tc>
          <w:tcPr>
            <w:tcW w:w="4180" w:type="dxa"/>
            <w:vAlign w:val="bottom"/>
            <w:gridSpan w:val="3"/>
          </w:tcPr>
          <w:p>
            <w:pPr>
              <w:ind w:left="3360"/>
              <w:spacing w:after="0"/>
              <w:rPr>
                <w:sz w:val="20"/>
                <w:szCs w:val="20"/>
                <w:color w:val="auto"/>
              </w:rPr>
            </w:pPr>
            <w:r>
              <w:rPr>
                <w:rFonts w:ascii="Times New Roman" w:cs="Times New Roman" w:eastAsia="Times New Roman" w:hAnsi="Times New Roman"/>
                <w:sz w:val="18"/>
                <w:szCs w:val="18"/>
                <w:color w:val="auto"/>
              </w:rPr>
              <w:t>3/25/2021</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100,000</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4180" w:type="dxa"/>
            <w:vAlign w:val="bottom"/>
            <w:gridSpan w:val="3"/>
            <w:shd w:val="clear" w:color="auto" w:fill="CCEEFF"/>
          </w:tcPr>
          <w:p>
            <w:pPr>
              <w:ind w:left="3360"/>
              <w:spacing w:after="0"/>
              <w:rPr>
                <w:sz w:val="20"/>
                <w:szCs w:val="20"/>
                <w:color w:val="auto"/>
              </w:rPr>
            </w:pPr>
            <w:r>
              <w:rPr>
                <w:rFonts w:ascii="Times New Roman" w:cs="Times New Roman" w:eastAsia="Times New Roman" w:hAnsi="Times New Roman"/>
                <w:sz w:val="18"/>
                <w:szCs w:val="18"/>
                <w:color w:val="auto"/>
              </w:rPr>
              <w:t>3/25/2021</w:t>
            </w: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50,000</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4180" w:type="dxa"/>
            <w:vAlign w:val="bottom"/>
            <w:gridSpan w:val="3"/>
          </w:tcPr>
          <w:p>
            <w:pPr>
              <w:ind w:left="3360"/>
              <w:spacing w:after="0"/>
              <w:rPr>
                <w:sz w:val="20"/>
                <w:szCs w:val="20"/>
                <w:color w:val="auto"/>
              </w:rPr>
            </w:pPr>
            <w:r>
              <w:rPr>
                <w:rFonts w:ascii="Times New Roman" w:cs="Times New Roman" w:eastAsia="Times New Roman" w:hAnsi="Times New Roman"/>
                <w:sz w:val="18"/>
                <w:szCs w:val="18"/>
                <w:color w:val="auto"/>
              </w:rPr>
              <w:t>3/25/2021</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100,000</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Terms of Employment Contracts of Named Executive Officers</w:t>
      </w:r>
    </w:p>
    <w:p>
      <w:pPr>
        <w:spacing w:after="0" w:line="229" w:lineRule="exact"/>
        <w:rPr>
          <w:sz w:val="20"/>
          <w:szCs w:val="20"/>
          <w:color w:val="auto"/>
        </w:rPr>
      </w:pPr>
    </w:p>
    <w:p>
      <w:pPr>
        <w:jc w:val="both"/>
        <w:ind w:right="200" w:firstLine="441"/>
        <w:spacing w:after="0" w:line="266" w:lineRule="auto"/>
        <w:rPr>
          <w:sz w:val="20"/>
          <w:szCs w:val="20"/>
          <w:color w:val="auto"/>
        </w:rPr>
      </w:pPr>
      <w:r>
        <w:rPr>
          <w:rFonts w:ascii="Times New Roman" w:cs="Times New Roman" w:eastAsia="Times New Roman" w:hAnsi="Times New Roman"/>
          <w:sz w:val="18"/>
          <w:szCs w:val="18"/>
          <w:color w:val="auto"/>
        </w:rPr>
        <w:t>Set forth below are descriptions of the principal terms of the employment agreements for each of our NEOs. Each employment agreement provides for post-termination restrictive covenants and payments due upon termination of employment or change in control of the Company, which is provided in further detail under the section entitled “Potential Payments Upon Termination or Change in Control.”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Joel Lewis, Chief Executive Officer</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connection with the appointment of Mr. Lewis, the Company and Mr. Lewis entered into an employment agreement, dated August 31, 2020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and a Deferred Stock Unit Agreement, dated August 31, 2020 (the “</w:t>
      </w:r>
      <w:r>
        <w:rPr>
          <w:rFonts w:ascii="Times New Roman" w:cs="Times New Roman" w:eastAsia="Times New Roman" w:hAnsi="Times New Roman"/>
          <w:sz w:val="18"/>
          <w:szCs w:val="18"/>
          <w:u w:val="single" w:color="auto"/>
          <w:color w:val="auto"/>
        </w:rPr>
        <w:t>DSU Agreement</w:t>
      </w:r>
      <w:r>
        <w:rPr>
          <w:rFonts w:ascii="Times New Roman" w:cs="Times New Roman" w:eastAsia="Times New Roman" w:hAnsi="Times New Roman"/>
          <w:sz w:val="18"/>
          <w:szCs w:val="18"/>
          <w:color w:val="auto"/>
        </w:rPr>
        <w:t>”). The Employment Agreement has an initial term of two years and automatically renews for additional one-year terms thereafter, unless either Mr. Lewis or the Company elects not to renew. Mr. Lewis will serve as Chief Executive Officer of the Company effective as of September 2, 2020 (the “</w:t>
      </w:r>
      <w:r>
        <w:rPr>
          <w:rFonts w:ascii="Times New Roman" w:cs="Times New Roman" w:eastAsia="Times New Roman" w:hAnsi="Times New Roman"/>
          <w:sz w:val="18"/>
          <w:szCs w:val="18"/>
          <w:u w:val="single" w:color="auto"/>
          <w:color w:val="auto"/>
        </w:rPr>
        <w:t>Start Date</w:t>
      </w:r>
      <w:r>
        <w:rPr>
          <w:rFonts w:ascii="Times New Roman" w:cs="Times New Roman" w:eastAsia="Times New Roman" w:hAnsi="Times New Roman"/>
          <w:sz w:val="18"/>
          <w:szCs w:val="18"/>
          <w:color w:val="auto"/>
        </w:rPr>
        <w:t>”), and will be paid an annual base salary of $500,000. Under the terms of the Employment Agreement, 20% of his base salary will be paid in cash, and 80% will be paid in the form of deferred-stock-units (“</w:t>
      </w:r>
      <w:r>
        <w:rPr>
          <w:rFonts w:ascii="Times New Roman" w:cs="Times New Roman" w:eastAsia="Times New Roman" w:hAnsi="Times New Roman"/>
          <w:sz w:val="18"/>
          <w:szCs w:val="18"/>
          <w:u w:val="single" w:color="auto"/>
          <w:color w:val="auto"/>
        </w:rPr>
        <w:t>DSUs</w:t>
      </w:r>
      <w:r>
        <w:rPr>
          <w:rFonts w:ascii="Times New Roman" w:cs="Times New Roman" w:eastAsia="Times New Roman" w:hAnsi="Times New Roman"/>
          <w:sz w:val="18"/>
          <w:szCs w:val="18"/>
          <w:color w:val="auto"/>
        </w:rPr>
        <w:t>”) in accordance with the terms and subject to the provisions set forth in the DSU Agreement. In addition, Mr. Lewis is entitled to participate in the Company’s performance bonus plan with a potential of up to 50% of his annual base salary, which will also be paid 20% in cash and 80% in DSU’s. Further, Mr. Lewis received on the date of the agreement an initial grant of options to purchase 250,000 shares of the Company’s common stock, par value $0.001 per share, which options shall vest one-twelfth on a quarterly basis for twelve consecutive quarters, such that the options shall be fully vested twelve quarters following the date of grant (the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The options under the Award shall be issued pursuant to the Company’s 2019 Omnibus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Pursuant to the Employment Agreement, Mr. Lewis is also eligible to receive healthcare benefits as may be provided from time to time by the Company to its employees generally, to participate in the Company’s 401(k) plan and to receive paid time off annually in accordance with the Company’s policies in effect from time to time. Finally, pursuant to the Employment Agreement, the Company will be required to furnish a lump sum cash payment to Mr. Lewis upon a termination of Mr. Lewis without “Cause” or upon Mr. Lewis’ resignation for “Good Reason” as such terms are defined in the Employment Agreement or in the event the Company gives notice of non-renewal on or before September 30, 2023. The Employment Agreement includes customary intellectual property, assignment, and other representations by Mr. Lewis.</w:t>
      </w:r>
    </w:p>
    <w:p>
      <w:pPr>
        <w:spacing w:after="0" w:line="195"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Pursuant to the DSU Agreement, 80% of Mr. Lewis’ base salary under the Employment Agreement shall be payable in DSUs, which DSUs credited to Mr. Lewis as of any date shall be fully vested and nonforfeitable at all times. The Company shall issue the shares underlying the outstanding whole number of DSUs credited to Mr. Lewis as follows: twenty five percent shall be issued on March 1, 2023, twenty five percent shall be issued on September 1, 2023 and fifty percent shall be issued on March 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 F. Boudes, M.D., Chief Medical Officer</w:t>
      </w:r>
    </w:p>
    <w:p>
      <w:pPr>
        <w:spacing w:after="0" w:line="22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On February 19, 2020, the Company entered into an Employment Agreement with Dr. Boudes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which governs the terms of Dr. Boudes’ employment in his position as the Company’s Chief Medical Officer. Dr. Boudes will serve as the Chief Medical Officer of the Company during an initial term that commences on March 2, 2020 (the “</w:t>
      </w:r>
      <w:r>
        <w:rPr>
          <w:rFonts w:ascii="Times New Roman" w:cs="Times New Roman" w:eastAsia="Times New Roman" w:hAnsi="Times New Roman"/>
          <w:sz w:val="18"/>
          <w:szCs w:val="18"/>
          <w:u w:val="single" w:color="auto"/>
          <w:color w:val="auto"/>
        </w:rPr>
        <w:t>Commencement Date</w:t>
      </w:r>
      <w:r>
        <w:rPr>
          <w:rFonts w:ascii="Times New Roman" w:cs="Times New Roman" w:eastAsia="Times New Roman" w:hAnsi="Times New Roman"/>
          <w:sz w:val="18"/>
          <w:szCs w:val="18"/>
          <w:color w:val="auto"/>
        </w:rPr>
        <w:t>”) and expires on February 28, 2021 (the “</w:t>
      </w:r>
      <w:r>
        <w:rPr>
          <w:rFonts w:ascii="Times New Roman" w:cs="Times New Roman" w:eastAsia="Times New Roman" w:hAnsi="Times New Roman"/>
          <w:sz w:val="18"/>
          <w:szCs w:val="18"/>
          <w:u w:val="single" w:color="auto"/>
          <w:color w:val="auto"/>
        </w:rPr>
        <w:t>Initial Term</w:t>
      </w:r>
      <w:r>
        <w:rPr>
          <w:rFonts w:ascii="Times New Roman" w:cs="Times New Roman" w:eastAsia="Times New Roman" w:hAnsi="Times New Roman"/>
          <w:sz w:val="18"/>
          <w:szCs w:val="18"/>
          <w:color w:val="auto"/>
        </w:rPr>
        <w:t>”). Following the Initial Term, the term of the Agreement automatically renews for successive twelve (12) month terms unless either party provides the other party with notice of non-renewal at least sixty (60) days prior to the expiration of the then-current term. Under the Agreement, the Company has agreed to pay Dr. Boudes a base salary of $444,500 per year (the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Provided that certain performance objectives are met, Dr. Boudes will also be entitled to receive an annual performance bonus equal to thirty percent (30%) of the Base Salary (the “</w:t>
      </w:r>
      <w:r>
        <w:rPr>
          <w:rFonts w:ascii="Times New Roman" w:cs="Times New Roman" w:eastAsia="Times New Roman" w:hAnsi="Times New Roman"/>
          <w:sz w:val="18"/>
          <w:szCs w:val="18"/>
          <w:u w:val="single" w:color="auto"/>
          <w:color w:val="auto"/>
        </w:rPr>
        <w:t>Performance Bonus</w:t>
      </w:r>
      <w:r>
        <w:rPr>
          <w:rFonts w:ascii="Times New Roman" w:cs="Times New Roman" w:eastAsia="Times New Roman" w:hAnsi="Times New Roman"/>
          <w:sz w:val="18"/>
          <w:szCs w:val="18"/>
          <w:color w:val="auto"/>
        </w:rPr>
        <w:t>”). Subject to certain restrictions described in the Agreement, Dr. Boudes will receive a $100,000 signing bonus pursuant to the Agreement. Dr. Boudes will also be granted options to purchase 300,000 shares (the “</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of the Company’s common stock pursuant to the Company’s 2019 Omnibus Equity Incentive Plan. The Options vest as follows: twenty percent (20%) of the Options shall vest upon one (1) year of employment, twenty percent (20%) of the Options shall vest upon two (2) years of employment, twenty percent (20%) of the Options shall vest upon three (3) years of employment, and the remaining forty percent (40%) of the Options shall vest upon four (4) years of employment.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3" w:name="page44"/>
    <w:bookmarkEnd w:id="4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Jack W. Callicutt, Chief Financial Officer</w:t>
      </w:r>
    </w:p>
    <w:p>
      <w:pPr>
        <w:spacing w:after="0" w:line="227"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entered into an employment agreement with Mr. Callicutt dated July 1, 2013 (the “Callicutt Employment Agreement”), in conjunction with Mr. Callicutt’s appointment as our Chief Financial Officer. Pursuant to the terms of the Callicutt Employment Agreement, Mr. Callicutt received an initial base salary of $175,000 and was eligible to receive a performance bonus equal to 20% of his base salary. Effective March 31, 2015, Mr. Callicutt’s annual base salary was increased to $240,000, and his annual base salary was increased again to $260,000 in February 2016. In June 2018, Mr. Callicutt’s annual base salary increased to $285,000. He also received a signing bonus of $10,000. In addition to his cash compensation, the Company awarded Mr. Callicutt a grant of options to purchase 200,000 shares of the Company’s Common Stock at an exercise price equal to the closing price of the Company’s Common Stock on July 1, 2013, with 25,000 shares vesting on December 31, 2013, 50,000 shares vesting on December 31, 2014, 50,000 shares vesting on December 31, 2015 and 75,000 shares vesting on December 31, 2016. The options were granted pursuant to the 2009 Incentive Compensation Plan and expire ten years after the date of grant.</w:t>
      </w:r>
    </w:p>
    <w:p>
      <w:pPr>
        <w:spacing w:after="0" w:line="18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On August 11, 2017, we entered into an amendment to the Callicutt Employment Agreement with Mr. Callicutt (the “Amendment”). Pursuant to the Amendment, (i) Mr. Callicutt’s target bonus opportunity was increased to 30% of his base salary and (ii) an error in the severance provision of the Callicutt Employment Agreement was corrected. Prior to the Amendment, the Callicutt Employment Agreement did not provide for any severance if Mr. Callicutt’s employment was terminated by the Company “without cause,” or by Mr. Callicutt for “good reason” after the date that was 24 months after the Commencement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 &amp; Perquisites</w:t>
      </w:r>
    </w:p>
    <w:p>
      <w:pPr>
        <w:spacing w:after="0" w:line="22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From time to time, the Company has provided the NEOs with employee benefits and perquisites that our Board believes are reasonable. Our NEOs are eligible to participate in the same broad-based employee benefit plans that are offered to our other employees, such as health insurance, disability insurance, life insurance and a 401(k) plan. These benefits are provided as part of the basic conditions of employment for all of our employees, and therefore providing them to our NEOs does not represent a significant incremental cost to us. The Company does not view employee benefits and perquisites as a significant element of its comprehensive compensation structure, but does believe they can be useful in attracting, motivating, and retaining the executive talent for which the Company competes. The Company believes that these additional benefits may assist the NEOs in performing their duties and provide time efficiencies for the NEOs in appropriate circumstances, and the Company may consider providing additional employee benefits and perquisites in the future. All future practices regarding employee benefits and perquisites will be approved and subject to periodic review by the Compensation Committee.</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4" w:name="page45"/>
    <w:bookmarkEnd w:id="4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compensation paid to our NEOs for the fiscal years ended December 31,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20" w:type="dxa"/>
            <w:vAlign w:val="bottom"/>
          </w:tcPr>
          <w:p>
            <w:pPr>
              <w:spacing w:after="0"/>
              <w:rPr>
                <w:sz w:val="21"/>
                <w:szCs w:val="21"/>
                <w:color w:val="auto"/>
              </w:rPr>
            </w:pP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(1)</w:t>
            </w:r>
          </w:p>
        </w:tc>
        <w:tc>
          <w:tcPr>
            <w:tcW w:w="200" w:type="dxa"/>
            <w:vAlign w:val="bottom"/>
          </w:tcPr>
          <w:p>
            <w:pPr>
              <w:spacing w:after="0"/>
              <w:rPr>
                <w:sz w:val="21"/>
                <w:szCs w:val="21"/>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198"/>
        </w:trPr>
        <w:tc>
          <w:tcPr>
            <w:tcW w:w="32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Joel Lewis, Chief Executive Officer &amp;</w:t>
            </w:r>
          </w:p>
        </w:tc>
        <w:tc>
          <w:tcPr>
            <w:tcW w:w="12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President</w:t>
            </w:r>
          </w:p>
        </w:tc>
        <w:tc>
          <w:tcPr>
            <w:tcW w:w="1380" w:type="dxa"/>
            <w:vAlign w:val="bottom"/>
            <w:gridSpan w:val="3"/>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8"/>
              </w:rPr>
              <w:t>2021(2)</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500,000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250,000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329,177</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88,444(3)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1,167,621</w:t>
            </w:r>
          </w:p>
        </w:tc>
      </w:tr>
      <w:tr>
        <w:trPr>
          <w:trHeight w:val="216"/>
        </w:trPr>
        <w:tc>
          <w:tcPr>
            <w:tcW w:w="3200" w:type="dxa"/>
            <w:vAlign w:val="bottom"/>
          </w:tcPr>
          <w:p>
            <w:pPr>
              <w:spacing w:after="0"/>
              <w:rPr>
                <w:sz w:val="18"/>
                <w:szCs w:val="18"/>
                <w:color w:val="auto"/>
              </w:rPr>
            </w:pPr>
          </w:p>
        </w:tc>
        <w:tc>
          <w:tcPr>
            <w:tcW w:w="138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8"/>
              </w:rPr>
              <w:t>2020(4)</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164,773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75,000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486,125</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27,660(5)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753,558</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 F. Boudes, M.D., Chief Medical Officer</w:t>
            </w:r>
          </w:p>
        </w:tc>
        <w:tc>
          <w:tcPr>
            <w:tcW w:w="1380" w:type="dxa"/>
            <w:vAlign w:val="bottom"/>
            <w:gridSpan w:val="3"/>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8"/>
              </w:rPr>
              <w:t>2021(6)</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452,583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136,500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235,126</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99,474(7)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923,683</w:t>
            </w:r>
          </w:p>
        </w:tc>
      </w:tr>
      <w:tr>
        <w:trPr>
          <w:trHeight w:val="216"/>
        </w:trPr>
        <w:tc>
          <w:tcPr>
            <w:tcW w:w="3200" w:type="dxa"/>
            <w:vAlign w:val="bottom"/>
          </w:tcPr>
          <w:p>
            <w:pPr>
              <w:spacing w:after="0"/>
              <w:rPr>
                <w:sz w:val="18"/>
                <w:szCs w:val="18"/>
                <w:color w:val="auto"/>
              </w:rPr>
            </w:pPr>
          </w:p>
        </w:tc>
        <w:tc>
          <w:tcPr>
            <w:tcW w:w="138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8"/>
              </w:rPr>
              <w:t>2020(8)</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367,083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210,000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419,460</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85,938(9)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1,082,481</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1380" w:type="dxa"/>
            <w:vAlign w:val="bottom"/>
            <w:gridSpan w:val="3"/>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2021(10)</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302,100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90,630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235,126</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78,062(11)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705,918</w:t>
            </w:r>
          </w:p>
        </w:tc>
      </w:tr>
      <w:tr>
        <w:trPr>
          <w:trHeight w:val="234"/>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c>
          <w:tcPr>
            <w:tcW w:w="138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2020(12)</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300,675</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236,050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110,190</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73,457(13)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720,372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142303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75" w:lineRule="exact"/>
        <w:rPr>
          <w:sz w:val="20"/>
          <w:szCs w:val="20"/>
          <w:color w:val="auto"/>
        </w:rPr>
      </w:pPr>
    </w:p>
    <w:p>
      <w:pPr>
        <w:ind w:left="440" w:right="60" w:hanging="432"/>
        <w:spacing w:after="0" w:line="255" w:lineRule="auto"/>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of option awards made during 2021 and 2020 computed in accordance with the Stock Compensation Topic of the FASB ASC, as modified of supplemented. Fair value was calculated using the Black-Scholes options pricing model. For a description of the assumptions used to determine these amounts, see Note 7 of the Notes to the Consolidated Financial Statements in our Annual Reports on Form 10-K (or Form 10-K/A, as applicable) for the fiscal years ended December 31, 2021 and 2020.</w:t>
      </w:r>
    </w:p>
    <w:p>
      <w:pPr>
        <w:spacing w:after="0" w:line="2" w:lineRule="exact"/>
        <w:rPr>
          <w:rFonts w:ascii="Times New Roman" w:cs="Times New Roman" w:eastAsia="Times New Roman" w:hAnsi="Times New Roman"/>
          <w:sz w:val="18"/>
          <w:szCs w:val="18"/>
          <w:color w:val="auto"/>
        </w:rPr>
      </w:pPr>
    </w:p>
    <w:p>
      <w:pPr>
        <w:ind w:left="440" w:right="280" w:hanging="432"/>
        <w:spacing w:after="0" w:line="250" w:lineRule="auto"/>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Lewis’s performance bonus for 2021 was approved in January 2022. Pursuant to his employment agreement 20% of his salary and bonus are paid in cash and 80% are in deferred stock units.</w:t>
      </w:r>
    </w:p>
    <w:p>
      <w:pPr>
        <w:ind w:left="440" w:hanging="432"/>
        <w:spacing w:after="0"/>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$76,844 for health and other insurance and $11,600 for 401(k) plan contributions.</w:t>
      </w:r>
    </w:p>
    <w:p>
      <w:pPr>
        <w:spacing w:after="0" w:line="9" w:lineRule="exact"/>
        <w:rPr>
          <w:rFonts w:ascii="Times New Roman" w:cs="Times New Roman" w:eastAsia="Times New Roman" w:hAnsi="Times New Roman"/>
          <w:sz w:val="18"/>
          <w:szCs w:val="18"/>
          <w:color w:val="auto"/>
        </w:rPr>
      </w:pPr>
    </w:p>
    <w:p>
      <w:pPr>
        <w:ind w:left="440" w:right="360" w:hanging="432"/>
        <w:spacing w:after="0" w:line="250" w:lineRule="auto"/>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Lewis became our Chief Executive Officer and President effective September 2, 2020, and his performance bonus was prorated for 2020 and paid in March 2021. Pursuant to his employment agreement, 20% his salary and bonus are paid in cash and 80% are in deferred stock units.</w:t>
      </w:r>
    </w:p>
    <w:p>
      <w:pPr>
        <w:ind w:left="440" w:hanging="432"/>
        <w:spacing w:after="0"/>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$25,419 for health and other insurance and $2,341 for 401(k) plan contributions.</w:t>
      </w:r>
    </w:p>
    <w:p>
      <w:pPr>
        <w:spacing w:after="0" w:line="9"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Boudes’ performance bonus for 2021 was paid in February 2022.</w:t>
      </w:r>
    </w:p>
    <w:p>
      <w:pPr>
        <w:spacing w:after="0" w:line="9"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$87,874 for health and other insurance and $11,600 for 401(k) plan contributions.</w:t>
      </w:r>
    </w:p>
    <w:p>
      <w:pPr>
        <w:spacing w:after="0" w:line="9" w:lineRule="exact"/>
        <w:rPr>
          <w:rFonts w:ascii="Times New Roman" w:cs="Times New Roman" w:eastAsia="Times New Roman" w:hAnsi="Times New Roman"/>
          <w:sz w:val="18"/>
          <w:szCs w:val="18"/>
          <w:color w:val="auto"/>
        </w:rPr>
      </w:pPr>
    </w:p>
    <w:p>
      <w:pPr>
        <w:ind w:left="440" w:right="160" w:hanging="432"/>
        <w:spacing w:after="0" w:line="250" w:lineRule="auto"/>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Boudes became our Chief Medical Officer effective March 2, 2020. He was paid a $100,000 bonus upon joining the Company. His performance bonus of $110,000 was prorated for 2020 and paid in March 2021.</w:t>
      </w:r>
    </w:p>
    <w:p>
      <w:pPr>
        <w:ind w:left="440" w:hanging="432"/>
        <w:spacing w:after="0"/>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$74,538 for health and other insurance and $11,400 for 401(k) plan contributions.</w:t>
      </w:r>
    </w:p>
    <w:p>
      <w:pPr>
        <w:spacing w:after="0" w:line="9"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Callicutt’s performance bonus for 2021 was paid in February 2022.</w:t>
      </w:r>
    </w:p>
    <w:p>
      <w:pPr>
        <w:spacing w:after="0" w:line="9"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$66,462 for health and other insurance and $11,600 for 401(k) plan contributions.</w:t>
      </w:r>
    </w:p>
    <w:p>
      <w:pPr>
        <w:spacing w:after="0" w:line="9" w:lineRule="exact"/>
        <w:rPr>
          <w:rFonts w:ascii="Times New Roman" w:cs="Times New Roman" w:eastAsia="Times New Roman" w:hAnsi="Times New Roman"/>
          <w:sz w:val="18"/>
          <w:szCs w:val="18"/>
          <w:color w:val="auto"/>
        </w:rPr>
      </w:pPr>
    </w:p>
    <w:p>
      <w:pPr>
        <w:ind w:left="440" w:right="300" w:hanging="432"/>
        <w:spacing w:after="0" w:line="250" w:lineRule="auto"/>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Callicutt’s bonus amount in 2020 consisted of $75,525 retention bonuses paid in July 2020 and January 2021 and $85,000 performance bonus earned in 2020 which was paid in March 2021.</w:t>
      </w:r>
    </w:p>
    <w:p>
      <w:pPr>
        <w:ind w:left="440" w:hanging="432"/>
        <w:spacing w:after="0"/>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$62,057 for health and other insurance and $11,400 for 401(k) plan contributions.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5" w:name="page46"/>
    <w:bookmarkEnd w:id="4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2021</w:t>
      </w:r>
    </w:p>
    <w:p>
      <w:pPr>
        <w:spacing w:after="0" w:line="229"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all outstanding equity awards held by the NEOs at December 31, 2021. The exercise price of the options is set at the closing price of our stock at the date prior to or as of the date of grant. Outstanding options have been approved by our Compensation Committee and our Board.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9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1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80" w:type="dxa"/>
            <w:vAlign w:val="bottom"/>
          </w:tcPr>
          <w:p>
            <w:pPr>
              <w:spacing w:after="0"/>
              <w:rPr>
                <w:sz w:val="16"/>
                <w:szCs w:val="16"/>
                <w:color w:val="auto"/>
              </w:rPr>
            </w:pP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Incentive</w:t>
            </w: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Plan</w:t>
            </w: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Plan</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Awards:</w:t>
            </w: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Market</w:t>
            </w: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or Payout</w:t>
            </w: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Value of</w:t>
            </w: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Plan</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Unearned</w:t>
            </w: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Units or</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Units or</w:t>
            </w: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or Units</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or Units</w:t>
            </w: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of Stock</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That</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Rights</w:t>
            </w: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Unexercised</w:t>
            </w:r>
          </w:p>
        </w:tc>
        <w:tc>
          <w:tcPr>
            <w:tcW w:w="6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That</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That</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That</w:t>
            </w: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60" w:type="dxa"/>
            <w:vAlign w:val="bottom"/>
          </w:tcPr>
          <w:p>
            <w:pPr>
              <w:spacing w:after="0"/>
              <w:rPr>
                <w:sz w:val="18"/>
                <w:szCs w:val="18"/>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8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Have Not</w:t>
            </w: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60" w:type="dxa"/>
            <w:vAlign w:val="bottom"/>
          </w:tcPr>
          <w:p>
            <w:pPr>
              <w:spacing w:after="0"/>
              <w:rPr>
                <w:sz w:val="18"/>
                <w:szCs w:val="18"/>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8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Vested</w:t>
            </w:r>
          </w:p>
        </w:tc>
      </w:tr>
      <w:tr>
        <w:trPr>
          <w:trHeight w:val="245"/>
        </w:trPr>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0" w:type="dxa"/>
            <w:vAlign w:val="bottom"/>
          </w:tcPr>
          <w:p>
            <w:pPr>
              <w:spacing w:after="0"/>
              <w:rPr>
                <w:sz w:val="21"/>
                <w:szCs w:val="21"/>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38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200" w:type="dxa"/>
            <w:vAlign w:val="bottom"/>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60" w:type="dxa"/>
            <w:vAlign w:val="bottom"/>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80" w:type="dxa"/>
            <w:vAlign w:val="bottom"/>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80" w:type="dxa"/>
            <w:vAlign w:val="bottom"/>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60" w:type="dxa"/>
            <w:vAlign w:val="bottom"/>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6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1"/>
                <w:szCs w:val="21"/>
                <w:color w:val="auto"/>
              </w:rPr>
            </w:pPr>
          </w:p>
        </w:tc>
      </w:tr>
      <w:tr>
        <w:trPr>
          <w:trHeight w:val="216"/>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54,250(1)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12/14/2027</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35,000(2)</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4.72</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01/16/2029</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40,000(3)</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2.86</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01/09/2030</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104,166(4)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145,834(4)</w:t>
            </w:r>
          </w:p>
        </w:tc>
        <w:tc>
          <w:tcPr>
            <w:tcW w:w="96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2.65</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08/31/2030</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17,500(5)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52,500(5)</w:t>
            </w:r>
          </w:p>
        </w:tc>
        <w:tc>
          <w:tcPr>
            <w:tcW w:w="9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03/25/2031</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140,000(6)</w:t>
            </w:r>
          </w:p>
        </w:tc>
        <w:tc>
          <w:tcPr>
            <w:tcW w:w="96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2.11</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03/25/2031</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 F. Boudes, M.D.</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60,000(7)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240,000(7)</w:t>
            </w:r>
          </w:p>
        </w:tc>
        <w:tc>
          <w:tcPr>
            <w:tcW w:w="9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03/12/2030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12,500(5)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37,500(5)</w:t>
            </w:r>
          </w:p>
        </w:tc>
        <w:tc>
          <w:tcPr>
            <w:tcW w:w="96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2.11</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03/25/2031</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100,000(6)</w:t>
            </w:r>
          </w:p>
        </w:tc>
        <w:tc>
          <w:tcPr>
            <w:tcW w:w="9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03/25/2031</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26,000(8)</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13.38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01/21/2024</w:t>
            </w:r>
          </w:p>
        </w:tc>
        <w:tc>
          <w:tcPr>
            <w:tcW w:w="80" w:type="dxa"/>
            <w:vAlign w:val="bottom"/>
          </w:tcPr>
          <w:p>
            <w:pPr>
              <w:spacing w:after="0"/>
              <w:rPr>
                <w:sz w:val="18"/>
                <w:szCs w:val="18"/>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8,706(9)</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01/20/2026</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90,000(10)</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5.87</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01/15/2028</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90,000(11)</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4.16</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05/22/2028</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50,000(12)</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4.72</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01/16/2029</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50,000(13)</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2.86</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01/09/2030</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12,500(5)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37,500(5)</w:t>
            </w:r>
          </w:p>
        </w:tc>
        <w:tc>
          <w:tcPr>
            <w:tcW w:w="96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2.11</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03/25/2031</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100,000(6)</w:t>
            </w:r>
          </w:p>
        </w:tc>
        <w:tc>
          <w:tcPr>
            <w:tcW w:w="9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03/25/2031</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42303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94" w:lineRule="exact"/>
        <w:rPr>
          <w:sz w:val="20"/>
          <w:szCs w:val="20"/>
          <w:color w:val="auto"/>
        </w:rPr>
      </w:pPr>
    </w:p>
    <w:p>
      <w:pPr>
        <w:ind w:left="440" w:hanging="432"/>
        <w:spacing w:after="0"/>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options vested in full on December 14, 2018.</w:t>
      </w:r>
    </w:p>
    <w:p>
      <w:pPr>
        <w:spacing w:after="0" w:line="27"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options vested in full on January 16, 2020.</w:t>
      </w:r>
    </w:p>
    <w:p>
      <w:pPr>
        <w:spacing w:after="0" w:line="9"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options vested in full on December 31, 2020.</w:t>
      </w:r>
    </w:p>
    <w:p>
      <w:pPr>
        <w:spacing w:after="0" w:line="9"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One-twelfth of the total options vest quarterly from August 31, 2020, which was the grant date.</w:t>
      </w:r>
    </w:p>
    <w:p>
      <w:pPr>
        <w:spacing w:after="0" w:line="9"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vested on September 30, 2021, 25% vest on March 31, 2022, 25% vest on September 30, 2022, 25% vest on March 31, 2023.</w:t>
      </w:r>
    </w:p>
    <w:p>
      <w:pPr>
        <w:spacing w:after="0" w:line="9" w:lineRule="exact"/>
        <w:rPr>
          <w:rFonts w:ascii="Times New Roman" w:cs="Times New Roman" w:eastAsia="Times New Roman" w:hAnsi="Times New Roman"/>
          <w:sz w:val="18"/>
          <w:szCs w:val="18"/>
          <w:color w:val="auto"/>
        </w:rPr>
      </w:pPr>
    </w:p>
    <w:p>
      <w:pPr>
        <w:ind w:left="440" w:hanging="432"/>
        <w:spacing w:after="0" w:line="250" w:lineRule="auto"/>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options vest when the Company has received the interim results of the NAVIGATE clinical trial and makes a public announcement that it has received the interim results.</w:t>
      </w:r>
    </w:p>
    <w:p>
      <w:pPr>
        <w:ind w:left="440" w:hanging="432"/>
        <w:spacing w:after="0"/>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the options vest on each of March 2, 2021, March 2, 2022, and March 2023 and 40% of the options vest on March 2, 2024.</w:t>
      </w:r>
    </w:p>
    <w:p>
      <w:pPr>
        <w:spacing w:after="0" w:line="9"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vested on January 21, 2014, the grant date with the remainder vested ratably on a monthly basis over a three-year period.</w:t>
      </w:r>
    </w:p>
    <w:p>
      <w:pPr>
        <w:spacing w:after="0" w:line="9"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vested on January 29, 2015, the grant date with the remainder vested ratably on a monthly basis over a three-year period.</w:t>
      </w:r>
    </w:p>
    <w:p>
      <w:pPr>
        <w:spacing w:after="0" w:line="9"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vested on January 15, 2018 (grant date), 25% vested on June 30, 2018, and 50% vested on December 31, 2018.</w:t>
      </w:r>
    </w:p>
    <w:p>
      <w:pPr>
        <w:spacing w:after="0" w:line="9"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vested on June 30, 2018, 25% vested on September 30, 2018, and 50% vested on December 31, 2018.</w:t>
      </w:r>
    </w:p>
    <w:p>
      <w:pPr>
        <w:spacing w:after="0" w:line="9" w:lineRule="exact"/>
        <w:rPr>
          <w:rFonts w:ascii="Times New Roman" w:cs="Times New Roman" w:eastAsia="Times New Roman" w:hAnsi="Times New Roman"/>
          <w:sz w:val="18"/>
          <w:szCs w:val="18"/>
          <w:color w:val="auto"/>
        </w:rPr>
      </w:pPr>
    </w:p>
    <w:p>
      <w:pPr>
        <w:ind w:left="440" w:right="340" w:hanging="432"/>
        <w:spacing w:after="0" w:line="250" w:lineRule="auto"/>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vested on June 30, 2019, 25% vested on December 31, 2019, 25% vested on June 30, 2020, and 25% vested on December 31, 2020.</w:t>
      </w:r>
    </w:p>
    <w:p>
      <w:pPr>
        <w:ind w:left="440" w:right="340" w:hanging="432"/>
        <w:spacing w:after="0" w:line="260" w:lineRule="auto"/>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vested on June 30, 2020, 25% vested on December 31, 2020, 25% vested on June 30, 2021, and 25% vested on December 31, 2021.</w:t>
      </w:r>
    </w:p>
    <w:p>
      <w:pPr>
        <w:sectPr>
          <w:pgSz w:w="11900" w:h="16838" w:orient="portrait"/>
          <w:cols w:equalWidth="0" w:num="1">
            <w:col w:w="11240"/>
          </w:cols>
          <w:pgMar w:left="320" w:top="116" w:right="339" w:bottom="1440" w:gutter="0" w:footer="0" w:header="0"/>
        </w:sect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6" w:name="page47"/>
    <w:bookmarkEnd w:id="4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2009 Incentive Compensation Plan</w:t>
      </w:r>
    </w:p>
    <w:p>
      <w:pPr>
        <w:spacing w:after="0" w:line="229" w:lineRule="exact"/>
        <w:rPr>
          <w:sz w:val="20"/>
          <w:szCs w:val="20"/>
          <w:color w:val="auto"/>
        </w:rPr>
      </w:pPr>
    </w:p>
    <w:p>
      <w:pPr>
        <w:jc w:val="both"/>
        <w:ind w:right="340" w:firstLine="441"/>
        <w:spacing w:after="0" w:line="266" w:lineRule="auto"/>
        <w:rPr>
          <w:sz w:val="20"/>
          <w:szCs w:val="20"/>
          <w:color w:val="auto"/>
        </w:rPr>
      </w:pPr>
      <w:r>
        <w:rPr>
          <w:rFonts w:ascii="Times New Roman" w:cs="Times New Roman" w:eastAsia="Times New Roman" w:hAnsi="Times New Roman"/>
          <w:sz w:val="18"/>
          <w:szCs w:val="18"/>
          <w:color w:val="auto"/>
        </w:rPr>
        <w:t>The options granted under our 2009 Incentive Compensation Plan, the options will become immediately vested and exercisable upon a change of control. Upon termination of employment for cause, all outstanding options immediately terminate. Options remain exercisable for one year following termination due to the executive’s death or disability or retirement, or for twelve months after termination for any other reason other than for cause.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Under the 2009 Incentive Compensation Plan, change of control is defined as:</w:t>
      </w:r>
    </w:p>
    <w:p>
      <w:pPr>
        <w:spacing w:after="0" w:line="225" w:lineRule="exact"/>
        <w:rPr>
          <w:sz w:val="20"/>
          <w:szCs w:val="20"/>
          <w:color w:val="auto"/>
        </w:rPr>
      </w:pPr>
    </w:p>
    <w:p>
      <w:pPr>
        <w:ind w:left="980" w:right="620" w:hanging="432"/>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beneficial ownership of 50% or more of either the value of then outstanding equity securities of the Company or the combined voting power of our securities, except for any acquisition directly from us, any acquisition by us or any person that owns a controlling interest in the Company, or any acquisition by any of our employee benefit plans;</w:t>
      </w:r>
    </w:p>
    <w:p>
      <w:pPr>
        <w:spacing w:after="0" w:line="175" w:lineRule="exact"/>
        <w:rPr>
          <w:rFonts w:ascii="Times New Roman" w:cs="Times New Roman" w:eastAsia="Times New Roman" w:hAnsi="Times New Roman"/>
          <w:sz w:val="18"/>
          <w:szCs w:val="18"/>
          <w:color w:val="auto"/>
        </w:rPr>
      </w:pPr>
    </w:p>
    <w:p>
      <w:pPr>
        <w:ind w:left="980" w:right="300" w:hanging="432"/>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three (3) consecutive years, a majority of the Board is no longer comprised of individuals who, as of the beginning of that period, constituted our Board and individuals whose nomination for election was approved by the Board;</w:t>
      </w:r>
    </w:p>
    <w:p>
      <w:pPr>
        <w:spacing w:after="0" w:line="161" w:lineRule="exact"/>
        <w:rPr>
          <w:rFonts w:ascii="Times New Roman" w:cs="Times New Roman" w:eastAsia="Times New Roman" w:hAnsi="Times New Roman"/>
          <w:sz w:val="18"/>
          <w:szCs w:val="18"/>
          <w:color w:val="auto"/>
        </w:rPr>
      </w:pPr>
    </w:p>
    <w:p>
      <w:pPr>
        <w:ind w:left="980" w:hanging="432"/>
        <w:spacing w:after="0" w:line="254"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reorganization, merger, statutory share exchange or consolidation or similar transaction, a sale or other disposition of all or substantially all of the assets of the Company, or the acquisition of assets or equity of another entity by the Company, in each case unless (i) substantially all of the owners, respectively, of our outstanding shares of common stock or the combined voting power of our securities immediately before the transaction beneficially own more than 50% of, respectively, the common stock and the combined voting power of the securities of the resulting corporation, in substantially the same proportions as their ownership immediately prior to the transaction, (ii) no person owns 50% of, respectively, the common stock and the combined voting power of the securities of the resulting corporation, unless such ownership existed prior to the transaction and (iii) at least a majority of the members of the board of directors of the resulting entity were members of the Board of Directors of the Company at the time of the execution of the initial agreement or of the action of the Board providing for such transaction ; or</w:t>
      </w:r>
    </w:p>
    <w:p>
      <w:pPr>
        <w:spacing w:after="0" w:line="188"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stockholders of a complete liquidation or dissolution of the Company.</w:t>
      </w:r>
    </w:p>
    <w:p>
      <w:pPr>
        <w:spacing w:after="0" w:line="225"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“Disability” is defined as a permanent and total disability (within the meaning of Code Section 22(e)), as determined by a medical doctor satisfactory to the Compensation Committee.</w:t>
      </w:r>
    </w:p>
    <w:p>
      <w:pPr>
        <w:spacing w:after="0" w:line="162" w:lineRule="exact"/>
        <w:rPr>
          <w:sz w:val="20"/>
          <w:szCs w:val="20"/>
          <w:color w:val="auto"/>
        </w:rPr>
      </w:pPr>
    </w:p>
    <w:p>
      <w:pPr>
        <w:ind w:right="80" w:firstLine="441"/>
        <w:spacing w:after="0" w:line="277" w:lineRule="auto"/>
        <w:rPr>
          <w:sz w:val="20"/>
          <w:szCs w:val="20"/>
          <w:color w:val="auto"/>
        </w:rPr>
      </w:pPr>
      <w:r>
        <w:rPr>
          <w:rFonts w:ascii="Times New Roman" w:cs="Times New Roman" w:eastAsia="Times New Roman" w:hAnsi="Times New Roman"/>
          <w:sz w:val="17"/>
          <w:szCs w:val="17"/>
          <w:color w:val="auto"/>
        </w:rPr>
        <w:t>“Cause” means the failure by the executive to perform, in a reasonable manner, his or her duties as assigned by the Company, (ii) any violation or breach by the executive of his or her employment, consulting or other similar agreement with the Company, if any, (iii) any violation or breach by the executive of any non-competition, non-solicitation, non-disclosure and/or other similar agreement with the Company, (iv) any act by the executive of dishonesty or bad faith with respect to the Company, (v) use of alcohol, drugs or other similar substances in a manner that adversely affects the executive’s work performance, or (vi) the commission by the executive of any act, misdemeanor, or crime reflecting unfavorably upon the executive or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Omnibus Equity Incentive Plan</w:t>
      </w:r>
    </w:p>
    <w:p>
      <w:pPr>
        <w:spacing w:after="0" w:line="229" w:lineRule="exact"/>
        <w:rPr>
          <w:sz w:val="20"/>
          <w:szCs w:val="20"/>
          <w:color w:val="auto"/>
        </w:rPr>
      </w:pPr>
    </w:p>
    <w:p>
      <w:pPr>
        <w:ind w:right="300" w:firstLine="441"/>
        <w:spacing w:after="0" w:line="253" w:lineRule="auto"/>
        <w:rPr>
          <w:sz w:val="20"/>
          <w:szCs w:val="20"/>
          <w:color w:val="auto"/>
        </w:rPr>
      </w:pPr>
      <w:r>
        <w:rPr>
          <w:rFonts w:ascii="Times New Roman" w:cs="Times New Roman" w:eastAsia="Times New Roman" w:hAnsi="Times New Roman"/>
          <w:sz w:val="18"/>
          <w:szCs w:val="18"/>
          <w:color w:val="auto"/>
        </w:rPr>
        <w:t>Under the 2019 Omnibus Equity Incentive Plan, if there is a merger or consolidation of the Company with or into another corporation or a sale of substantially all of the Company’s stock (a “Corporate Transaction”), and the outstanding awards are not assumed by surviving company (or its parent company) or replaced with economically equivalent awards granted by the surviving company (or its parent company), the Company will cancel any outstanding awards that are not vested and nonforfeitable as of the consummation of such Corporate Transaction (unless the Company accelerates the vesting of any such awards) and with respect to any vested and nonforfeitable awards, the Company may either (i) allow all grantees to exercise options and SARs within a reasonable period prior to the consummation of the Corporate Transaction and cancel any outstanding options or SARs that remain unexercised upon consummation of the Corporate Transaction, or (ii) cancel any or all of such outstanding awards (including options and SARs) in exchange for a payment (in cash, or in securities or other property) in an amount equal to the amount that the grantee would have received (net of the exercise price with respect to any options or SARs) if the vested awards were settled or distributed or such vested options and SARs were exercised immediately prior to the consummation of the Corporate Transaction. If an exercise price of the option or SAR exceeds the fair market value of our Common Stock and the option or SAR is not assumed or replaced by the surviving company (or its parent company), such options and SARs will be cancelled without any payment to the grantee.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7" w:name="page48"/>
    <w:bookmarkEnd w:id="4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Change-in-Control</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Joel Lewis:</w:t>
      </w:r>
    </w:p>
    <w:p>
      <w:pPr>
        <w:spacing w:after="0" w:line="227" w:lineRule="exact"/>
        <w:rPr>
          <w:sz w:val="20"/>
          <w:szCs w:val="20"/>
          <w:color w:val="auto"/>
        </w:rPr>
      </w:pPr>
    </w:p>
    <w:p>
      <w:pPr>
        <w:jc w:val="both"/>
        <w:ind w:right="240" w:firstLine="441"/>
        <w:spacing w:after="0" w:line="266" w:lineRule="auto"/>
        <w:rPr>
          <w:sz w:val="20"/>
          <w:szCs w:val="20"/>
          <w:color w:val="auto"/>
        </w:rPr>
      </w:pPr>
      <w:r>
        <w:rPr>
          <w:rFonts w:ascii="Times New Roman" w:cs="Times New Roman" w:eastAsia="Times New Roman" w:hAnsi="Times New Roman"/>
          <w:sz w:val="18"/>
          <w:szCs w:val="18"/>
          <w:color w:val="auto"/>
        </w:rPr>
        <w:t>Under Mr. Lewis’ Employment Agreement, the Company is required to furnish a lump sum cash payment to Mr. Lewis upon a termination of Mr. Lewis without “Cause” or upon Mr. Lewis’ resignation for “Good Reason” as such terms are defined in the Employment Agreement or in the event the Company gives notice of non-renewal on or before September 30, 2023.</w:t>
      </w:r>
    </w:p>
    <w:p>
      <w:pPr>
        <w:spacing w:after="0" w:line="176"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Under the Deferred Stock Unit Agreement, if a Change in Control of the Company occurs prior to the date on which Mr. Lewis is scheduled to receive shares and cash in an installment payment or in a lump sum (a “Settlement Date”), Mr. Lewis’ account will be credited with the consideration payable in such Change in Control with respect to the shares subject to the DSUs then credited to Mr. Lewis’ Account immediately prior to such Change in Control. If Mr. Lewis’ employment with the Company continues after a Change in Control, Mr. Lewis’ account will be credited with the cash value of the portion of his base salary and annual performance bonus that would have been credited in the form of DSUs but for the Change in Control. The portion of Mr. Lewis’ Account denominated in cash pursuant to the preceding sentence (i.e., the amount attributable to base salary and annual performance bonuses credited to Mr. Lewis’ Account after the Change in Control) shall be credited with interest at three (3%) percent compounded annually. For avoidance of doubt, a Change in Control shall not result in acceleration of the settlement of Mr. Lewis’ Account and the payment of all amounts or other property credited to Mr. Lewis’ Account in connection with the Change in Control shall be paid or delivered to Mr. Lewis on as soon as reasonably practicable after the Settlement Date.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Pol Boudes: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Under the Employment Agreement with Dr. Boudes, if (i) Dr. Boudes terminates the Agreement for Good Reason (as defined in the Agreement) or</w:t>
      </w:r>
    </w:p>
    <w:p>
      <w:pPr>
        <w:spacing w:after="0" w:line="27" w:lineRule="exact"/>
        <w:rPr>
          <w:sz w:val="20"/>
          <w:szCs w:val="20"/>
          <w:color w:val="auto"/>
        </w:rPr>
      </w:pPr>
    </w:p>
    <w:p>
      <w:pPr>
        <w:ind w:firstLine="8"/>
        <w:spacing w:after="0" w:line="252" w:lineRule="auto"/>
        <w:tabs>
          <w:tab w:leader="none" w:pos="2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terminates the Agreement without Cause (as defined in the Agreement), then the Company shall pay to Dr. Boudes: (1) the Base Salary accrued through the date of termination, (2)(A) if termination occurs within twelve (12) months of the Commencement Date, an amount equal to three (3) months of the Base Salary, or (B) if such termination occurs after the twelve-month anniversary of the Commencement Date, but prior to the eighteen-month anniversary of the Commencement Date, an amount equal to six (6) months of the Base Salary or (C) if termination occurs after the eighteen-month anniversary of the Commencement Date, but prior to the twenty four-month anniversary of the Commencement Date, an amount equal to nine (9) months of Base Salary or (D) if termination occurs after the twenty four-month anniversary of the Commencement Date, an amount equal to twelve (12) months of the Base Salary, (3) reimbursement of unreimbursed expenses and (4) payment of a portion of the Performance Bonus.</w:t>
      </w:r>
    </w:p>
    <w:p>
      <w:pPr>
        <w:spacing w:after="0" w:line="188" w:lineRule="exact"/>
        <w:rPr>
          <w:sz w:val="20"/>
          <w:szCs w:val="20"/>
          <w:color w:val="auto"/>
        </w:rPr>
      </w:pPr>
    </w:p>
    <w:p>
      <w:pPr>
        <w:ind w:right="60" w:firstLine="441"/>
        <w:spacing w:after="0" w:line="256" w:lineRule="auto"/>
        <w:rPr>
          <w:sz w:val="20"/>
          <w:szCs w:val="20"/>
          <w:color w:val="auto"/>
        </w:rPr>
      </w:pPr>
      <w:r>
        <w:rPr>
          <w:rFonts w:ascii="Times New Roman" w:cs="Times New Roman" w:eastAsia="Times New Roman" w:hAnsi="Times New Roman"/>
          <w:sz w:val="18"/>
          <w:szCs w:val="18"/>
          <w:color w:val="auto"/>
        </w:rPr>
        <w:t>If, within the period ending twelve (12) months after the date of a Change of Control, Dr. Boudes’ employment with the Company is (i) terminated without Cause or (ii) terminated for Good Reason by Dr. Boudes, the Company shall pay to Dr. Boudes (A) the Base Salary accrued through the date of termination, to the extent not theretofore paid, (B) reimbursement of any unreimbursed expenses, (C) a pro-rated amount of the Performance Bonus assuming payout at maximum performance and (D) an amount equal to twelve (12) months of Base Salary, payable in a lump sum no later than thirty (30) days following such termination. Upon any such Change of Control, Dr. Boudes’ unvested Options shall be one hundred percent (100%) vested, but shall otherwise continue to be governed by the terms and conditions of the Plan and the applicable stock option agreement.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Jack Callicutt:</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48" w:name="page49"/>
    <w:bookmarkEnd w:id="4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Mr. Callicutt’s Employment Agreement provides that if, within the period ending twelve (12) months after the date of a Change of Control, Mr. Callicutt’s employment with the Company is (i) without Cause by the Company (or by the acquiring or successor business entity following a Change of Control), or (ii) terminated for Good Reason by Mr. Callicutt, the Company shall pay to Mr. Callicutt (A) the Base Salary accrued through the date of termination, to the extent not theretofore paid, (B) reimbursement of any unreimbursed expenses, (C) a portion of the amount of the Performance Bonus (as defined in the Employment Agreement) equal to the maximum amount of the Performance Bonus multiplied by a fraction, (X) the numerator of which shall be the number of days elapsed from the beginning of the calendar year in which such termination occurs and (Y) the denominator of which shall be the total number of days in the calendar year in which such termination occurs (being 365 in a full year and 184 in 2013) and (D) an amount equal to twelve</w:t>
      </w:r>
    </w:p>
    <w:p>
      <w:pPr>
        <w:spacing w:after="0" w:line="3" w:lineRule="exact"/>
        <w:rPr>
          <w:sz w:val="20"/>
          <w:szCs w:val="20"/>
          <w:color w:val="auto"/>
        </w:rPr>
      </w:pPr>
    </w:p>
    <w:p>
      <w:pPr>
        <w:ind w:right="120" w:firstLine="8"/>
        <w:spacing w:after="0" w:line="251" w:lineRule="auto"/>
        <w:tabs>
          <w:tab w:leader="none" w:pos="3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of Mr. Callicutt’s Base Salary, payable in a lump sum no later than thirty (30) days following such termination. Upon any such Change of Control, Mr. Callicutt’s unvested options to purchase shares of the Company’s common stock shall be one hundred percent (100%) vested, but shall otherwise continue to be governed by the terms and conditions of the Stock Option Agreement. However, if, in connection with a transaction that technically meets, or may meet, the definition of Change of Control (as defined in the Employment Agreement), Mr. Callicutt’s employment by the Company or a successor to the Company is terminated, but Mr. Callicutt is immediately re-hired as an employee of a successor to the Company or surviving company in such a transaction in a comparable position, with the same or greater total annual cash compensation, including bonus potential, and with an employment agreement containing substantially equivalent provisions as this Agreement with respect to termination of the Mr. Callicutt and severance, no benefits shall be payable under the Change of Control provision of the Employment Agreement.</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9" w:name="page50"/>
    <w:bookmarkEnd w:id="4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details the total compensation earned by our non-employee directors during the year ended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or Paid in</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Cash ($)</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(1)</w:t>
            </w:r>
          </w:p>
        </w:tc>
        <w:tc>
          <w:tcPr>
            <w:tcW w:w="2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(2)</w:t>
            </w:r>
          </w:p>
        </w:tc>
        <w:tc>
          <w:tcPr>
            <w:tcW w:w="220" w:type="dxa"/>
            <w:vAlign w:val="bottom"/>
          </w:tcPr>
          <w:p>
            <w:pPr>
              <w:spacing w:after="0"/>
              <w:rPr>
                <w:sz w:val="21"/>
                <w:szCs w:val="21"/>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(3)</w:t>
            </w:r>
          </w:p>
        </w:tc>
        <w:tc>
          <w:tcPr>
            <w:tcW w:w="220" w:type="dxa"/>
            <w:vAlign w:val="bottom"/>
          </w:tcPr>
          <w:p>
            <w:pPr>
              <w:spacing w:after="0"/>
              <w:rPr>
                <w:sz w:val="21"/>
                <w:szCs w:val="21"/>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 F. Amelio, Ph.D.</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171,800</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218,800</w:t>
            </w:r>
          </w:p>
        </w:tc>
        <w:tc>
          <w:tcPr>
            <w:tcW w:w="10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James C. Czirr</w:t>
            </w: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38,500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171,800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210,300</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Kary Eldred</w:t>
            </w:r>
          </w:p>
        </w:tc>
        <w:tc>
          <w:tcPr>
            <w:tcW w:w="1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42,500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171,800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214,300</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Kevin D. Freeman</w:t>
            </w: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51,000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171,800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222,800</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 S. Omenn, M.D., Ph.D.</w:t>
            </w:r>
          </w:p>
        </w:tc>
        <w:tc>
          <w:tcPr>
            <w:tcW w:w="1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45,000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171,800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216,800</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Marc Rubin, M.D.</w:t>
            </w: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38,500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171,800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210,300</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Elissa J. Schwartz, Ph.D.</w:t>
            </w:r>
          </w:p>
        </w:tc>
        <w:tc>
          <w:tcPr>
            <w:tcW w:w="1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35,000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171,800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206,800</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Harold H. Shlevin, Ph.D.</w:t>
            </w: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35,000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171,800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206,800</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Uihlein</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35,000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171,800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206,800</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Richard A. Zordani</w:t>
            </w: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50,000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171,800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142303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75" w:lineRule="exact"/>
        <w:rPr>
          <w:sz w:val="20"/>
          <w:szCs w:val="20"/>
          <w:color w:val="auto"/>
        </w:rPr>
      </w:pPr>
    </w:p>
    <w:p>
      <w:pPr>
        <w:ind w:left="440" w:hanging="432"/>
        <w:spacing w:after="0"/>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Uihlein elected to receive restricted stock in lieu of cash retainer for their service. The restricted shares vested in full on December 31, 2021</w:t>
      </w:r>
    </w:p>
    <w:p>
      <w:pPr>
        <w:spacing w:after="0" w:line="27" w:lineRule="exact"/>
        <w:rPr>
          <w:rFonts w:ascii="Times New Roman" w:cs="Times New Roman" w:eastAsia="Times New Roman" w:hAnsi="Times New Roman"/>
          <w:sz w:val="18"/>
          <w:szCs w:val="18"/>
          <w:color w:val="auto"/>
        </w:rPr>
      </w:pPr>
    </w:p>
    <w:p>
      <w:pPr>
        <w:ind w:left="440" w:right="120" w:hanging="432"/>
        <w:spacing w:after="0" w:line="250" w:lineRule="auto"/>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option awards based upon the Black Scholes valuation model made in 2021. Two option grants were made on March 25, 2021. Each non-employee director received one grant of 40,000 options which will vest in full on March 31, 2022. Each non-employee director also received one grant of 70,000 options which will vest 100% when the Company has received the interim results of the NAVIGATE clinical trial and makes a public announcement that it has received the interim results. For a description of the assumptions used to determine these amounts, see Note 9 to the Notes to the Consolidated Financial Statements herein our Annual Report on Form 10-K for the fiscal year ended December 31, 2021.</w:t>
      </w:r>
    </w:p>
    <w:p>
      <w:pPr>
        <w:spacing w:after="0" w:line="2"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travel expense reimbursements.</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 Subject</w:t>
            </w: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to Option</w:t>
            </w: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Awards Held as of</w:t>
            </w: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6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 F. Amelio, Ph.D.</w:t>
            </w:r>
          </w:p>
        </w:tc>
        <w:tc>
          <w:tcPr>
            <w:tcW w:w="80" w:type="dxa"/>
            <w:vAlign w:val="bottom"/>
            <w:shd w:val="clear" w:color="auto" w:fill="CCEEFF"/>
          </w:tcPr>
          <w:p>
            <w:pPr>
              <w:spacing w:after="0"/>
              <w:rPr>
                <w:sz w:val="18"/>
                <w:szCs w:val="18"/>
                <w:color w:val="auto"/>
              </w:rPr>
            </w:pPr>
          </w:p>
        </w:tc>
        <w:tc>
          <w:tcPr>
            <w:tcW w:w="1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James C. Czirr</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365,125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Kary Eldred</w:t>
            </w:r>
          </w:p>
        </w:tc>
        <w:tc>
          <w:tcPr>
            <w:tcW w:w="18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211,875</w:t>
            </w: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Kevin D. Freeman</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289,839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 S. Omenn, M.D., Ph.D.</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Marc Rubin, M.D.</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214,565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Elissa J. Schwartz, Ph.D.</w:t>
            </w:r>
          </w:p>
        </w:tc>
        <w:tc>
          <w:tcPr>
            <w:tcW w:w="18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110,000</w:t>
            </w: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Harold H. Shlevin, Ph.D.</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503,000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Uihlein</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176,362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Richard A. Zordani</w:t>
            </w:r>
          </w:p>
        </w:tc>
        <w:tc>
          <w:tcPr>
            <w:tcW w:w="18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110,000</w:t>
            </w:r>
          </w:p>
        </w:tc>
      </w:tr>
      <w:tr>
        <w:trPr>
          <w:trHeight w:val="223"/>
        </w:trPr>
        <w:tc>
          <w:tcPr>
            <w:tcW w:w="20" w:type="dxa"/>
            <w:vAlign w:val="bottom"/>
          </w:tcPr>
          <w:p>
            <w:pPr>
              <w:spacing w:after="0"/>
              <w:rPr>
                <w:sz w:val="19"/>
                <w:szCs w:val="19"/>
                <w:color w:val="auto"/>
              </w:rPr>
            </w:pPr>
          </w:p>
        </w:tc>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gridSpan w:val="2"/>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2,454,516</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left="440" w:right="220"/>
        <w:spacing w:after="0" w:line="266" w:lineRule="auto"/>
        <w:rPr>
          <w:sz w:val="20"/>
          <w:szCs w:val="20"/>
          <w:color w:val="auto"/>
        </w:rPr>
      </w:pPr>
      <w:r>
        <w:rPr>
          <w:rFonts w:ascii="Times New Roman" w:cs="Times New Roman" w:eastAsia="Times New Roman" w:hAnsi="Times New Roman"/>
          <w:sz w:val="18"/>
          <w:szCs w:val="18"/>
          <w:color w:val="auto"/>
        </w:rPr>
        <w:t>For a more detailed description of the assumptions used for purposes of determining grant date fair value, see Note 9 to the Consolidated Financial Statements and “Management’s Discussion and Analysis of Financial Condition and Results of Operations — Critical Accounting Policies and Estimates — Stock-Based Compensation” included herein the Form 10-K for the 2021 fiscal year.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also reimburse our directors for reasonable travel and other related expenses.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0" w:name="page51"/>
    <w:bookmarkEnd w:id="5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the Company’s cash compensation program for directors, non-employee directors of the Company will receive an annual cash retainer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$35,000. Each Nominating and Corporate Governance Committee member will receive an additional cash retainer of $3,500; each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member will receive an additional cash retainer of $5,000; and each Audit Committee member will receive an additional cash retainer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 In addition to the annual fee and committee membership retainers, the Nominating and Corporate Governance Committee Chairman will receive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cash retainer of $3,500; the Compensation Committee Chairman will receive an annual cash retainer of $5,000; and the Audit Committee 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receive an annual cash retainer of $7,500. Additionally, in December 2016, the Board approved cash retainers of $3,500 to be paid to each member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Board’s investor relation/public relations committee.</w:t>
      </w:r>
    </w:p>
    <w:p>
      <w:pPr>
        <w:spacing w:after="0" w:line="20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right="180" w:firstLine="441"/>
        <w:spacing w:after="0" w:line="258" w:lineRule="auto"/>
        <w:rPr>
          <w:sz w:val="20"/>
          <w:szCs w:val="20"/>
          <w:color w:val="auto"/>
        </w:rPr>
      </w:pPr>
      <w:r>
        <w:rPr>
          <w:rFonts w:ascii="Times New Roman" w:cs="Times New Roman" w:eastAsia="Times New Roman" w:hAnsi="Times New Roman"/>
          <w:sz w:val="18"/>
          <w:szCs w:val="18"/>
          <w:color w:val="auto"/>
        </w:rPr>
        <w:t>The following table sets forth, as of February 28, 2022, certain information concerning the beneficial ownership of our common stock and Series A Preferred Stock by (i) each person known by us to own beneficially five percent (5%) or more of the outstanding shares of each class, (ii) each of our directors and named executive officers, and (iii) all of our executive officers and directors as a group. The table also sets forth, in its final column, the combined voting power of the voting securities on all matters presented to the stockholders for their approval at the Annual Meeting, except for such separate class votes as are required by law.</w:t>
      </w:r>
    </w:p>
    <w:p>
      <w:pPr>
        <w:spacing w:after="0" w:line="183" w:lineRule="exact"/>
        <w:rPr>
          <w:sz w:val="20"/>
          <w:szCs w:val="20"/>
          <w:color w:val="auto"/>
        </w:rPr>
      </w:pPr>
    </w:p>
    <w:p>
      <w:pPr>
        <w:ind w:right="120" w:firstLine="441"/>
        <w:spacing w:after="0" w:line="255" w:lineRule="auto"/>
        <w:rPr>
          <w:sz w:val="20"/>
          <w:szCs w:val="20"/>
          <w:color w:val="auto"/>
        </w:rPr>
      </w:pPr>
      <w:r>
        <w:rPr>
          <w:rFonts w:ascii="Times New Roman" w:cs="Times New Roman" w:eastAsia="Times New Roman" w:hAnsi="Times New Roman"/>
          <w:sz w:val="18"/>
          <w:szCs w:val="18"/>
          <w:color w:val="auto"/>
        </w:rPr>
        <w:t>The number of shares beneficially owned by each 5% stockholder, director or executive officer is determined under the rules of the Securities and Exchange Commission, or SEC, and the information is not necessarily indicative of beneficial ownership for any other purpose. Under those rules, beneficial ownership includes any shares as to which the individual or entity has sole or shared voting power or investment power and also any shares that the individual or entity has the right to acquire within 60 days after February 28, 2022 through the exercise of any stock option, warrant or other right, or the conversion of any security. Unless otherwise indicated, each person or entity has sole voting and investment power (or shares such power with his or her spouse) with respect to the shares set forth in the following table. The inclusion in the table below of any shares deemed beneficially owned does not constitute an admission of beneficial ownership of those shares.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Series A</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Series A</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560" w:type="dxa"/>
            <w:vAlign w:val="bottom"/>
          </w:tcPr>
          <w:p>
            <w:pPr>
              <w:spacing w:after="0"/>
              <w:rPr>
                <w:sz w:val="18"/>
                <w:szCs w:val="18"/>
                <w:color w:val="auto"/>
              </w:rPr>
            </w:pPr>
          </w:p>
        </w:tc>
      </w:tr>
      <w:tr>
        <w:trPr>
          <w:trHeight w:val="245"/>
        </w:trPr>
        <w:tc>
          <w:tcPr>
            <w:tcW w:w="580" w:type="dxa"/>
            <w:vAlign w:val="bottom"/>
          </w:tcPr>
          <w:p>
            <w:pPr>
              <w:spacing w:after="0"/>
              <w:rPr>
                <w:sz w:val="21"/>
                <w:szCs w:val="21"/>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Address (1)</w:t>
            </w:r>
          </w:p>
        </w:tc>
        <w:tc>
          <w:tcPr>
            <w:tcW w:w="80" w:type="dxa"/>
            <w:vAlign w:val="bottom"/>
          </w:tcPr>
          <w:p>
            <w:pPr>
              <w:spacing w:after="0"/>
              <w:rPr>
                <w:sz w:val="21"/>
                <w:szCs w:val="21"/>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Owned (2)</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 (3)</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Stock (4)</w:t>
            </w:r>
          </w:p>
        </w:tc>
        <w:tc>
          <w:tcPr>
            <w:tcW w:w="560" w:type="dxa"/>
            <w:vAlign w:val="bottom"/>
          </w:tcPr>
          <w:p>
            <w:pPr>
              <w:spacing w:after="0"/>
              <w:rPr>
                <w:sz w:val="21"/>
                <w:szCs w:val="21"/>
                <w:color w:val="auto"/>
              </w:rPr>
            </w:pPr>
          </w:p>
        </w:tc>
      </w:tr>
      <w:tr>
        <w:trPr>
          <w:trHeight w:val="216"/>
        </w:trPr>
        <w:tc>
          <w:tcPr>
            <w:tcW w:w="580" w:type="dxa"/>
            <w:vAlign w:val="bottom"/>
          </w:tcPr>
          <w:p>
            <w:pPr>
              <w:spacing w:after="0"/>
              <w:rPr>
                <w:sz w:val="18"/>
                <w:szCs w:val="18"/>
                <w:color w:val="auto"/>
              </w:rPr>
            </w:pPr>
          </w:p>
        </w:tc>
        <w:tc>
          <w:tcPr>
            <w:tcW w:w="4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C. Czirr</w:t>
            </w:r>
          </w:p>
        </w:tc>
        <w:tc>
          <w:tcPr>
            <w:tcW w:w="1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12,994,601(5)</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100,000</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10X Fund, L.P. (8)</w:t>
            </w: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11,911,193(6)</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Smith (9)</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175,000</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Early Equities LLC (9)</w:t>
            </w:r>
          </w:p>
        </w:tc>
        <w:tc>
          <w:tcPr>
            <w:tcW w:w="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100,000(7)</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E. Uihlein (11)</w:t>
            </w:r>
          </w:p>
        </w:tc>
        <w:tc>
          <w:tcPr>
            <w:tcW w:w="1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16,576,495(12)</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24.4%</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C. Czirr</w:t>
            </w:r>
          </w:p>
        </w:tc>
        <w:tc>
          <w:tcPr>
            <w:tcW w:w="1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12,994,601(5)</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100,000</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Gilbert F. Amelio, Ph.D.</w:t>
            </w: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175,614</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Freeman</w:t>
            </w:r>
          </w:p>
        </w:tc>
        <w:tc>
          <w:tcPr>
            <w:tcW w:w="1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955,734(10)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Joel Lewis</w:t>
            </w: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757,047</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 S. Omenn, M.D., Ph.D.</w:t>
            </w:r>
          </w:p>
        </w:tc>
        <w:tc>
          <w:tcPr>
            <w:tcW w:w="15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300,990</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50,000</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Marc Rubin, M.D.</w:t>
            </w: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158,146</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E. Uihlein</w:t>
            </w:r>
          </w:p>
        </w:tc>
        <w:tc>
          <w:tcPr>
            <w:tcW w:w="1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16,576,495(12)</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24.4%</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Richard A. Zordani</w:t>
            </w: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60,353</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r>
      <w:tr>
        <w:trPr>
          <w:trHeight w:val="552"/>
        </w:trPr>
        <w:tc>
          <w:tcPr>
            <w:tcW w:w="5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320" w:type="dxa"/>
            <w:vAlign w:val="bottom"/>
            <w:gridSpan w:val="2"/>
          </w:tcPr>
          <w:p>
            <w:pPr>
              <w:jc w:val="right"/>
              <w:ind w:right="730"/>
              <w:spacing w:after="0"/>
              <w:rPr>
                <w:sz w:val="20"/>
                <w:szCs w:val="20"/>
                <w:color w:val="auto"/>
              </w:rPr>
            </w:pPr>
            <w:r>
              <w:rPr>
                <w:rFonts w:ascii="Times New Roman" w:cs="Times New Roman" w:eastAsia="Times New Roman" w:hAnsi="Times New Roman"/>
                <w:sz w:val="14"/>
                <w:szCs w:val="14"/>
                <w:color w:val="auto"/>
              </w:rPr>
              <w:t>48</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4"/>
        </w:trPr>
        <w:tc>
          <w:tcPr>
            <w:tcW w:w="580" w:type="dxa"/>
            <w:vAlign w:val="bottom"/>
            <w:tcBorders>
              <w:bottom w:val="single" w:sz="8" w:color="auto"/>
            </w:tcBorders>
          </w:tcPr>
          <w:p>
            <w:pPr>
              <w:spacing w:after="0"/>
              <w:rPr>
                <w:sz w:val="3"/>
                <w:szCs w:val="3"/>
                <w:color w:val="auto"/>
              </w:rPr>
            </w:pPr>
          </w:p>
        </w:tc>
        <w:tc>
          <w:tcPr>
            <w:tcW w:w="4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51" w:name="page52"/>
    <w:bookmarkEnd w:id="5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Series A</w:t>
            </w:r>
          </w:p>
        </w:tc>
      </w:t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Preferred</w:t>
            </w:r>
          </w:p>
        </w:tc>
      </w:tr>
      <w:tr>
        <w:trPr>
          <w:trHeight w:val="245"/>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Address (1)</w:t>
            </w:r>
          </w:p>
        </w:tc>
        <w:tc>
          <w:tcPr>
            <w:tcW w:w="100" w:type="dxa"/>
            <w:vAlign w:val="bottom"/>
          </w:tcPr>
          <w:p>
            <w:pPr>
              <w:spacing w:after="0"/>
              <w:rPr>
                <w:sz w:val="21"/>
                <w:szCs w:val="21"/>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Owned (2)</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 (3)</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 (4)</w:t>
            </w:r>
          </w:p>
        </w:tc>
      </w:tr>
      <w:tr>
        <w:trPr>
          <w:trHeight w:val="216"/>
        </w:trPr>
        <w:tc>
          <w:tcPr>
            <w:tcW w:w="4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Elissa J. Schwartz, Ph.D.</w:t>
            </w:r>
          </w:p>
        </w:tc>
        <w:tc>
          <w:tcPr>
            <w:tcW w:w="1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41,000</w:t>
            </w:r>
          </w:p>
        </w:tc>
        <w:tc>
          <w:tcPr>
            <w:tcW w:w="4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Kary Eldred</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951,575(13)</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Harold H. Shlevin, Ph.D.</w:t>
            </w:r>
          </w:p>
        </w:tc>
        <w:tc>
          <w:tcPr>
            <w:tcW w:w="15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441,706</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Pol F. Boudes</w:t>
            </w:r>
          </w:p>
        </w:tc>
        <w:tc>
          <w:tcPr>
            <w:tcW w:w="15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145,000</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15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343,905</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 group (13 persons)</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33,902,166(14)</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150,000</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142303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27" w:lineRule="exact"/>
        <w:rPr>
          <w:sz w:val="20"/>
          <w:szCs w:val="20"/>
          <w:color w:val="auto"/>
        </w:rPr>
      </w:pPr>
    </w:p>
    <w:p>
      <w:pPr>
        <w:ind w:left="440" w:right="520" w:hanging="432"/>
        <w:spacing w:after="0" w:line="250" w:lineRule="auto"/>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the address for each named person is c/o Galectin Therapeutics Inc., 4960 Peachtree Industrial Blvd., Suite 240, Norcross, GA 30071.</w:t>
      </w:r>
    </w:p>
    <w:p>
      <w:pPr>
        <w:ind w:left="440" w:right="260" w:hanging="432"/>
        <w:spacing w:after="0" w:line="260" w:lineRule="auto"/>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following number of shares of our common stock issuable upon exercise of outstanding stock options granted to our named executive officers and directors that are exercisable within 60 days after February 28, 2022.</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Options Exercisable</w:t>
            </w:r>
          </w:p>
        </w:tc>
        <w:tc>
          <w:tcPr>
            <w:tcW w:w="100" w:type="dxa"/>
            <w:vAlign w:val="bottom"/>
          </w:tcPr>
          <w:p>
            <w:pPr>
              <w:spacing w:after="0"/>
              <w:rPr>
                <w:sz w:val="18"/>
                <w:szCs w:val="18"/>
                <w:color w:val="auto"/>
              </w:rPr>
            </w:pPr>
          </w:p>
        </w:tc>
      </w:tr>
      <w:tr>
        <w:trPr>
          <w:trHeight w:val="245"/>
        </w:trPr>
        <w:tc>
          <w:tcPr>
            <w:tcW w:w="7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Nominees and Named Executive Officers</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Within 60 Days</w:t>
            </w:r>
          </w:p>
        </w:tc>
        <w:tc>
          <w:tcPr>
            <w:tcW w:w="1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C. Czirr</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295,125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Gilbert F. Amelio, Ph.D.</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Rubin, M.D.</w:t>
            </w:r>
          </w:p>
        </w:tc>
        <w:tc>
          <w:tcPr>
            <w:tcW w:w="1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144,565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Gilbert S. Omenn, M.D., Ph.D</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218,750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Freeman</w:t>
            </w:r>
          </w:p>
        </w:tc>
        <w:tc>
          <w:tcPr>
            <w:tcW w:w="1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219,839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Kary Eldred</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141,875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1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289,249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Richard E. Uihlein.</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106,362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Harold Shlevin, Ph.D.</w:t>
            </w:r>
          </w:p>
        </w:tc>
        <w:tc>
          <w:tcPr>
            <w:tcW w:w="1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Richard A. Zordani</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Elissa J. Schwartz, Ph.D.</w:t>
            </w:r>
          </w:p>
        </w:tc>
        <w:tc>
          <w:tcPr>
            <w:tcW w:w="1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Pol F. Boudes, M.D.</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Callicutt</w:t>
            </w:r>
          </w:p>
        </w:tc>
        <w:tc>
          <w:tcPr>
            <w:tcW w:w="260" w:type="dxa"/>
            <w:vAlign w:val="bottom"/>
            <w:tcBorders>
              <w:bottom w:val="single" w:sz="8" w:color="CCEEFF"/>
            </w:tcBorders>
            <w:gridSpan w:val="2"/>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339,706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w:t>
            </w:r>
          </w:p>
        </w:tc>
        <w:tc>
          <w:tcPr>
            <w:tcW w:w="260" w:type="dxa"/>
            <w:vAlign w:val="bottom"/>
            <w:gridSpan w:val="2"/>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2,528,471</w:t>
            </w:r>
          </w:p>
        </w:tc>
        <w:tc>
          <w:tcPr>
            <w:tcW w:w="100" w:type="dxa"/>
            <w:vAlign w:val="bottom"/>
          </w:tcPr>
          <w:p>
            <w:pPr>
              <w:spacing w:after="0"/>
              <w:rPr>
                <w:sz w:val="19"/>
                <w:szCs w:val="19"/>
                <w:color w:val="auto"/>
              </w:rPr>
            </w:pPr>
          </w:p>
        </w:tc>
      </w:tr>
    </w:tbl>
    <w:p>
      <w:pPr>
        <w:spacing w:after="0" w:line="198" w:lineRule="exact"/>
        <w:rPr>
          <w:sz w:val="20"/>
          <w:szCs w:val="20"/>
          <w:color w:val="auto"/>
        </w:rPr>
      </w:pPr>
    </w:p>
    <w:p>
      <w:pPr>
        <w:ind w:left="440" w:right="20" w:hanging="432"/>
        <w:spacing w:after="0" w:line="272" w:lineRule="auto"/>
        <w:tabs>
          <w:tab w:leader="none" w:pos="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named person and group included in this table, percentage ownership of our common stock is calculated by dividing the number of shares of our common stock beneficially owned by such person or group by the sum of (i) 59,357,893 shares of our common stock outstanding as of February 28, 2022 and (ii) the number of shares of our common stock that such person has the right to acquire within 60 days after February 28, 2022.</w:t>
      </w:r>
    </w:p>
    <w:p>
      <w:pPr>
        <w:spacing w:after="0" w:line="1" w:lineRule="exact"/>
        <w:rPr>
          <w:rFonts w:ascii="Times New Roman" w:cs="Times New Roman" w:eastAsia="Times New Roman" w:hAnsi="Times New Roman"/>
          <w:sz w:val="17"/>
          <w:szCs w:val="17"/>
          <w:color w:val="auto"/>
        </w:rPr>
      </w:pPr>
    </w:p>
    <w:p>
      <w:pPr>
        <w:ind w:left="440" w:hanging="432"/>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1,302,500 shares of Series A preferred stock outstanding as of February 28, 2022.</w:t>
      </w:r>
    </w:p>
    <w:p>
      <w:pPr>
        <w:spacing w:after="0" w:line="9" w:lineRule="exact"/>
        <w:rPr>
          <w:rFonts w:ascii="Times New Roman" w:cs="Times New Roman" w:eastAsia="Times New Roman" w:hAnsi="Times New Roman"/>
          <w:sz w:val="18"/>
          <w:szCs w:val="18"/>
          <w:color w:val="auto"/>
        </w:rPr>
      </w:pPr>
    </w:p>
    <w:p>
      <w:pPr>
        <w:ind w:left="440" w:hanging="432"/>
        <w:spacing w:after="0" w:line="250" w:lineRule="auto"/>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6,178,940 shares of common shares, and (ii) 5,732,253 common shares issuable upon exercise of warrants as to which Mr. Czirr, in his capacity as a managing member of 10X Capital Management Fund, LLC, a Florida limited liability company and general partner of 10X Fund (referred to herein as 10X Management) has shared voting and investment power, and disclaims beneficial ownership, also includes 771,616 shares of common stock owned directly by Mr. Czirr, 295,125 shares issuable upon the exercise of vested stock options owned by Mr. Czirr, and 16,667 shares of our common stock issuable upon conversion of Series A preferred stock owned by Mr. Czirr.</w:t>
      </w:r>
    </w:p>
    <w:p>
      <w:pPr>
        <w:spacing w:after="0" w:line="1"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6,178,940 shares of common shares, and (ii) 5,732,253 common shares issuable upon exercise of warrants</w:t>
      </w:r>
    </w:p>
    <w:p>
      <w:pPr>
        <w:spacing w:after="0" w:line="9" w:lineRule="exact"/>
        <w:rPr>
          <w:rFonts w:ascii="Times New Roman" w:cs="Times New Roman" w:eastAsia="Times New Roman" w:hAnsi="Times New Roman"/>
          <w:sz w:val="18"/>
          <w:szCs w:val="18"/>
          <w:color w:val="auto"/>
        </w:rPr>
      </w:pPr>
    </w:p>
    <w:p>
      <w:pPr>
        <w:ind w:left="440" w:right="100" w:hanging="432"/>
        <w:spacing w:after="0" w:line="250" w:lineRule="auto"/>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Smith is the manager of Early Equities LLC, a Connecticut limited liability company, and may be deemed to have voting and investment control over, but disclaims beneficial ownership of, the shares of Series A preferred stock.</w:t>
      </w:r>
    </w:p>
    <w:p>
      <w:pPr>
        <w:ind w:left="440" w:hanging="432"/>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c/o 10X Capital Management, LLC at Investment Law Group attn: Bob Mottern 545 Dutch Valley Road NE, Suite A, Atlanta, GA 30324.</w:t>
      </w:r>
    </w:p>
    <w:p>
      <w:pPr>
        <w:spacing w:after="0" w:line="9"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c/o David Smith 34 Shorehaven Road E., Norwalk, CT 06855.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2" w:name="page53"/>
    <w:bookmarkEnd w:id="5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left="440" w:right="100" w:hanging="432"/>
        <w:spacing w:after="0" w:line="257" w:lineRule="auto"/>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565,994 shares of the Company’s common stock managed by Cross Consulting and Services, LLC, a Texas limited liability company, d/b/a Freeman Global Investment Counsel. Mr. Freeman, in his capacity as CEO of Freeman Global Investment Counsel, has voting and investment control over, but disclaims beneficial ownership of, these shares.</w:t>
      </w:r>
    </w:p>
    <w:p>
      <w:pPr>
        <w:spacing w:after="0" w:line="1"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c/o Uline Corporation, 12575 Uline Drive, Pleasant Prairie, WI 53158</w:t>
      </w:r>
    </w:p>
    <w:p>
      <w:pPr>
        <w:spacing w:after="0" w:line="9" w:lineRule="exact"/>
        <w:rPr>
          <w:rFonts w:ascii="Times New Roman" w:cs="Times New Roman" w:eastAsia="Times New Roman" w:hAnsi="Times New Roman"/>
          <w:sz w:val="18"/>
          <w:szCs w:val="18"/>
          <w:color w:val="auto"/>
        </w:rPr>
      </w:pPr>
    </w:p>
    <w:p>
      <w:pPr>
        <w:ind w:left="440" w:right="220" w:hanging="432"/>
        <w:spacing w:after="0" w:line="250" w:lineRule="auto"/>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7,942,869 shares of common stock, (ii) 3,136,384 common shares issuable upon the exercise of common stock purchase warrants, (iii) 106,362 common shares issuable upon the exercise of common stock options, (iv) 83,334 common shares issuable upon conversion of Series C preferred non-voting stock and (iv) 5,307,546 common shares issuable upon conversion of convertible notes payable.</w:t>
      </w:r>
    </w:p>
    <w:p>
      <w:pPr>
        <w:spacing w:after="0" w:line="1" w:lineRule="exact"/>
        <w:rPr>
          <w:rFonts w:ascii="Times New Roman" w:cs="Times New Roman" w:eastAsia="Times New Roman" w:hAnsi="Times New Roman"/>
          <w:sz w:val="18"/>
          <w:szCs w:val="18"/>
          <w:color w:val="auto"/>
        </w:rPr>
      </w:pPr>
    </w:p>
    <w:p>
      <w:pPr>
        <w:ind w:left="440" w:right="20" w:hanging="432"/>
        <w:spacing w:after="0" w:line="250" w:lineRule="auto"/>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44,915 shares of common stock, 16,869 common stock purchase warrants, and 141,875 common stock options personally owned by Mr. Eldred and 431,527 shares of common stock and 311,964 common stock purchase warrants owned by two private foundations over which Mr. Eldred shares management control, and 4,425 shares of Common Stock held in a trust for a minor child; however, Mr. Eldred disclaims beneficial ownership of the shares and warrants owned by such private foundations and trust.</w:t>
      </w:r>
    </w:p>
    <w:p>
      <w:pPr>
        <w:spacing w:after="0" w:line="1" w:lineRule="exact"/>
        <w:rPr>
          <w:rFonts w:ascii="Times New Roman" w:cs="Times New Roman" w:eastAsia="Times New Roman" w:hAnsi="Times New Roman"/>
          <w:sz w:val="18"/>
          <w:szCs w:val="18"/>
          <w:color w:val="auto"/>
        </w:rPr>
      </w:pPr>
    </w:p>
    <w:p>
      <w:pPr>
        <w:ind w:left="440" w:right="120" w:hanging="432"/>
        <w:spacing w:after="0" w:line="253" w:lineRule="auto"/>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5,732,253 common shares issuable upon exercise of warrants and common shares acquired upon exercise of warrants or issued as stock dividends on the Series B preferred stock net of shares sold or distributed to 10X Fund limited partners, as to which Mr. Czirr has voting and investment control but are counted one time for purposes of this total. For additional information about the beneficial ownership of our capital stock by Mr. Czirr, see note 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300" w:firstLine="441"/>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2021 about the securities issued, or authorized for future issuance, under our equity compensation plans, consisting of our 2001 Stock Incentive Plan, our 2003 Non-Employee Director Stock Incentive Plan, our 2009 Incentive Compensation Plan and our 2019 Omnibus Equity Incentive Plan at December 31, 2021.</w:t>
      </w:r>
    </w:p>
    <w:p>
      <w:pPr>
        <w:spacing w:after="0" w:line="17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 available for</w:t>
            </w:r>
          </w:p>
        </w:tc>
      </w:tr>
      <w:tr>
        <w:trPr>
          <w:trHeight w:val="216"/>
        </w:trPr>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future issuance under</w:t>
            </w:r>
          </w:p>
        </w:tc>
      </w:tr>
      <w:tr>
        <w:trPr>
          <w:trHeight w:val="216"/>
        </w:trPr>
        <w:tc>
          <w:tcPr>
            <w:tcW w:w="4880" w:type="dxa"/>
            <w:vAlign w:val="bottom"/>
          </w:tcPr>
          <w:p>
            <w:pPr>
              <w:spacing w:after="0"/>
              <w:rPr>
                <w:sz w:val="18"/>
                <w:szCs w:val="18"/>
                <w:color w:val="auto"/>
              </w:rPr>
            </w:pPr>
          </w:p>
        </w:tc>
        <w:tc>
          <w:tcPr>
            <w:tcW w:w="18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equity compensation</w:t>
            </w:r>
          </w:p>
        </w:tc>
      </w:tr>
      <w:tr>
        <w:trPr>
          <w:trHeight w:val="216"/>
        </w:trPr>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15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plans (excluding</w:t>
            </w:r>
          </w:p>
        </w:tc>
      </w:tr>
      <w:tr>
        <w:trPr>
          <w:trHeight w:val="216"/>
        </w:trPr>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securities reflected in</w:t>
            </w:r>
          </w:p>
        </w:tc>
      </w:tr>
      <w:tr>
        <w:trPr>
          <w:trHeight w:val="245"/>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00" w:type="dxa"/>
            <w:vAlign w:val="bottom"/>
          </w:tcPr>
          <w:p>
            <w:pPr>
              <w:spacing w:after="0"/>
              <w:rPr>
                <w:sz w:val="21"/>
                <w:szCs w:val="21"/>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outstanding options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column (a))</w:t>
            </w:r>
          </w:p>
        </w:tc>
      </w:tr>
      <w:tr>
        <w:trPr>
          <w:trHeight w:val="216"/>
        </w:trPr>
        <w:tc>
          <w:tcPr>
            <w:tcW w:w="4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00" w:type="dxa"/>
            <w:vAlign w:val="bottom"/>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4,895,561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80" w:type="dxa"/>
            <w:vAlign w:val="bottom"/>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3,266,179</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9"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Except as set forth below, since the beginning of fiscal year 2021, we did not participate in any transactions in which any of the Company Nominees, Series B Directors or Series B Nominees, executive officers, any beneficial owner of more than 5% of our common stock, nor any of their immediate family members, had a direct or indirect material interest.</w:t>
      </w:r>
    </w:p>
    <w:p>
      <w:pPr>
        <w:spacing w:after="0" w:line="176" w:lineRule="exact"/>
        <w:rPr>
          <w:sz w:val="20"/>
          <w:szCs w:val="20"/>
          <w:color w:val="auto"/>
        </w:rPr>
      </w:pPr>
    </w:p>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Our Audit Committee Charter requires that members of the Audit Committee, all of whom are independent directors, conduct an appropriate review of, and be responsible for the oversight of, all related party transactions on an ongoing basis. Except as set forth below, there were no related party transactions during the fiscal year ended December 31, 2021.</w:t>
      </w:r>
    </w:p>
    <w:p>
      <w:pPr>
        <w:spacing w:after="0" w:line="176"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The Company entered into three separate $10 million convertible notes payable with Richard E. Uihlein, a director and shareholder, pursuant to agreements in April, September and December 2021. Additional details of the convertible notes payable are included in Footnote 5 to the financial statements in this Form 10-K. In connection with the issuance of the last of the three convertible notes in December 2021, the Company terminated its then existing $10 million Line of Credit arrangement with Richard E. Uihlein.</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3" w:name="page54"/>
    <w:bookmarkEnd w:id="5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right="400" w:firstLine="441"/>
        <w:spacing w:after="0" w:line="282" w:lineRule="auto"/>
        <w:rPr>
          <w:sz w:val="20"/>
          <w:szCs w:val="20"/>
          <w:color w:val="auto"/>
        </w:rPr>
      </w:pPr>
      <w:r>
        <w:rPr>
          <w:rFonts w:ascii="Times New Roman" w:cs="Times New Roman" w:eastAsia="Times New Roman" w:hAnsi="Times New Roman"/>
          <w:sz w:val="18"/>
          <w:szCs w:val="18"/>
          <w:color w:val="auto"/>
        </w:rPr>
        <w:t>None of our executive officers or directors serves as a member of the board of directors or compensation committee of any entity that has one or more of its executive officers serving as a member of our Board of Directors or Compensation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Determination of Director Independence</w:t>
      </w:r>
    </w:p>
    <w:p>
      <w:pPr>
        <w:spacing w:after="0" w:line="229" w:lineRule="exact"/>
        <w:rPr>
          <w:sz w:val="20"/>
          <w:szCs w:val="20"/>
          <w:color w:val="auto"/>
        </w:rPr>
      </w:pPr>
    </w:p>
    <w:p>
      <w:pPr>
        <w:ind w:right="60" w:firstLine="441"/>
        <w:spacing w:after="0" w:line="253" w:lineRule="auto"/>
        <w:rPr>
          <w:sz w:val="20"/>
          <w:szCs w:val="20"/>
          <w:color w:val="auto"/>
        </w:rPr>
      </w:pPr>
      <w:r>
        <w:rPr>
          <w:rFonts w:ascii="Times New Roman" w:cs="Times New Roman" w:eastAsia="Times New Roman" w:hAnsi="Times New Roman"/>
          <w:sz w:val="18"/>
          <w:szCs w:val="18"/>
          <w:color w:val="auto"/>
        </w:rPr>
        <w:t>Our board of directors has reviewed the materiality of any relationship that each of our directors has with the Company, either directly or indirectly. Based upon this review, our board has determined that all of our directors other than Mr. Lewis and Dr. Shlevin are “independent directors” as defined by The NASDAQ Stock Market. Our board of directors also determined that Drs. Amelio, Rubin, and Mr. Freeman, who comprise our nominating and governance committee, all satisfy the independence standards for such committees established by the SEC and the NASDAQ Marketplace Rules, as applicable. With respect to our audit committee, our board of directors has determined that Messrs. Zordani, Freeman and Eldred satisfy the independence standards for such committee established by Rule 10A-3 under the Exchange Act, the SEC and the NASDAQ Marketplace Rules, as applicable. Furthermore, the Nominating and Corporate Governance Committee, with concurrence by the Board, has determined that Mr. Zordani is an “audit committee financial expert” within the meaning of SEC rules. With respect to our compensation committee, our board of directors has determined that Drs. Omenn, Amelio and Mr. Freeman satisfy the independence standards for such committee established by Rule 10C-1 under the Exchange Act, the SEC and the NASDAQ Marketplace Rules, as applicable.</w:t>
      </w:r>
    </w:p>
    <w:p>
      <w:pPr>
        <w:spacing w:after="0" w:line="194"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In making such determinations, the board of directors considered the relationships that each such non-employee director or director nominee has with our company and all other facts and circumstances the board of directors deemed relevant in determining their independence, including the beneficial ownership of our capital stock by each non-employee director. In considering the independence of our directors, our board of directors considered the association of each such non-employee director has with us and all other facts and circumstances our board of directors deemed relevant in determining independence.</w:t>
      </w:r>
    </w:p>
    <w:p>
      <w:pPr>
        <w:spacing w:after="0" w:line="17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has appointed Cherry Bekaert LLP as our independent auditors for the fiscal year ending December 31, 2021.</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28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FEES PAID TO CHERRY BEKAERT LLP</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Fiscal Year</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00" w:type="dxa"/>
            <w:vAlign w:val="bottom"/>
          </w:tcPr>
          <w:p>
            <w:pPr>
              <w:spacing w:after="0"/>
              <w:rPr>
                <w:sz w:val="24"/>
                <w:szCs w:val="24"/>
                <w:color w:val="auto"/>
              </w:rPr>
            </w:pPr>
          </w:p>
        </w:tc>
      </w:tr>
      <w:tr>
        <w:trPr>
          <w:trHeight w:val="245"/>
        </w:trPr>
        <w:tc>
          <w:tcPr>
            <w:tcW w:w="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 (2)</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4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2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4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184,775</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166,323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6" w:lineRule="exact"/>
        <w:rPr>
          <w:sz w:val="20"/>
          <w:szCs w:val="20"/>
          <w:color w:val="auto"/>
        </w:rPr>
      </w:pPr>
    </w:p>
    <w:p>
      <w:pPr>
        <w:ind w:left="440" w:hanging="432"/>
        <w:spacing w:after="0" w:line="258" w:lineRule="auto"/>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These are fees for professional services for the audit of our annual financial statements dated December 31, 2021 and 2020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Annual Reports on Form 10-K for fiscal years then ended, and review of financial statements included in our Quarterly Reports on Form 10-Q for each fiscal quarter during the 2021 and 2020 fiscal years.</w:t>
      </w:r>
    </w:p>
    <w:p>
      <w:pPr>
        <w:ind w:left="440" w:right="20" w:hanging="432"/>
        <w:spacing w:after="0" w:line="277" w:lineRule="auto"/>
        <w:tabs>
          <w:tab w:leader="none" w:pos="4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Audit-Related Fees</w:t>
      </w:r>
      <w:r>
        <w:rPr>
          <w:rFonts w:ascii="Times New Roman" w:cs="Times New Roman" w:eastAsia="Times New Roman" w:hAnsi="Times New Roman"/>
          <w:sz w:val="17"/>
          <w:szCs w:val="17"/>
          <w:color w:val="auto"/>
        </w:rPr>
        <w:t>. These are fees for assurance and related services that are reasonably related to the performance of the audit or review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financial statements, including financial disclosures made in our equity finance documentation and registration statements filed with the SEC that incorporate financial statements and the auditors’ report thereon and reviewed with our Audit Committee on financial accounting/reporting standards.</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4" w:name="page55"/>
    <w:bookmarkEnd w:id="5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Audit Committee has considered whether the provision of non-core audit services to Galectin Therapeutics by Cherry Bekaert LLP is compatible with maintaining independence.</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Pre-Approval Policy and Procedures</w:t>
      </w:r>
    </w:p>
    <w:p>
      <w:pPr>
        <w:spacing w:after="0" w:line="227"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The Audit Committee of our Board of Directors has adopted policies and procedures which set forth the manner in which the Committee will review and approve all services to be provided by the independent auditor before the auditor is retained to provide such services. The policy requires Audit Committee pre-approval of the terms and fees of the annual audit services engagement, as well as any changes in terms and fees resulting from changes in audit scope or other items. The Audit Committee also pre-approves, on an annual basis, other audit services, and audit-related and tax services set forth in the policy, subject to estimated fee levels, on a project basis and aggregate annual basis, which have been pre-approved by the Committee.</w:t>
      </w:r>
    </w:p>
    <w:p>
      <w:pPr>
        <w:spacing w:after="0" w:line="183" w:lineRule="exact"/>
        <w:rPr>
          <w:sz w:val="20"/>
          <w:szCs w:val="20"/>
          <w:color w:val="auto"/>
        </w:rPr>
      </w:pPr>
    </w:p>
    <w:p>
      <w:pPr>
        <w:ind w:right="420" w:firstLine="441"/>
        <w:spacing w:after="0" w:line="266" w:lineRule="auto"/>
        <w:rPr>
          <w:sz w:val="20"/>
          <w:szCs w:val="20"/>
          <w:color w:val="auto"/>
        </w:rPr>
      </w:pPr>
      <w:r>
        <w:rPr>
          <w:rFonts w:ascii="Times New Roman" w:cs="Times New Roman" w:eastAsia="Times New Roman" w:hAnsi="Times New Roman"/>
          <w:sz w:val="18"/>
          <w:szCs w:val="18"/>
          <w:color w:val="auto"/>
        </w:rPr>
        <w:t>All other services performed by the auditor that are not prohibited non-audit services under SEC or other regulatory authority rules must be separately pre-approved by the Audit Committee. Amounts in excess of pre-approved limits for audit services, audit-related services and tax services require separate pre-approval of the Audit Committee.</w:t>
      </w:r>
    </w:p>
    <w:p>
      <w:pPr>
        <w:spacing w:after="0" w:line="176" w:lineRule="exact"/>
        <w:rPr>
          <w:sz w:val="20"/>
          <w:szCs w:val="20"/>
          <w:color w:val="auto"/>
        </w:rPr>
      </w:pPr>
    </w:p>
    <w:p>
      <w:pPr>
        <w:ind w:right="360" w:firstLine="441"/>
        <w:spacing w:after="0" w:line="282" w:lineRule="auto"/>
        <w:rPr>
          <w:sz w:val="20"/>
          <w:szCs w:val="20"/>
          <w:color w:val="auto"/>
        </w:rPr>
      </w:pPr>
      <w:r>
        <w:rPr>
          <w:rFonts w:ascii="Times New Roman" w:cs="Times New Roman" w:eastAsia="Times New Roman" w:hAnsi="Times New Roman"/>
          <w:sz w:val="18"/>
          <w:szCs w:val="18"/>
          <w:color w:val="auto"/>
        </w:rPr>
        <w:t>Our Chief Financial Officer reports quarterly to the Audit Committee on the status of pre-approved services, including projected fees. All of the services reflected in the above table were approved by the Audit Committee.</w:t>
      </w:r>
    </w:p>
    <w:p>
      <w:pPr>
        <w:spacing w:after="0" w:line="3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6" w:right="419" w:bottom="1440" w:gutter="0" w:footer="0" w:header="0"/>
        </w:sectPr>
      </w:pPr>
    </w:p>
    <w:bookmarkStart w:id="55" w:name="page56"/>
    <w:bookmarkEnd w:id="5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1. Consolidated Financial Statement Schedules</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Consolidated Financial Statements are filed as part of this report.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2. Consolidated Financial Statement Schedules</w:t>
      </w:r>
    </w:p>
    <w:p>
      <w:pPr>
        <w:spacing w:after="0" w:line="225" w:lineRule="exact"/>
        <w:rPr>
          <w:sz w:val="20"/>
          <w:szCs w:val="20"/>
          <w:color w:val="auto"/>
        </w:rPr>
      </w:pPr>
    </w:p>
    <w:p>
      <w:pPr>
        <w:ind w:left="1440" w:right="300"/>
        <w:spacing w:after="0" w:line="282" w:lineRule="auto"/>
        <w:rPr>
          <w:sz w:val="20"/>
          <w:szCs w:val="20"/>
          <w:color w:val="auto"/>
        </w:rPr>
      </w:pPr>
      <w:r>
        <w:rPr>
          <w:rFonts w:ascii="Times New Roman" w:cs="Times New Roman" w:eastAsia="Times New Roman" w:hAnsi="Times New Roman"/>
          <w:sz w:val="18"/>
          <w:szCs w:val="18"/>
          <w:color w:val="auto"/>
        </w:rPr>
        <w:t>All schedules are omitted because of the absence of conditions under which they are required or because the required information is included in the Consolidated Financial Statements or notes thereto.</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3.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8"/>
        </w:trPr>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10"/>
          </w:tcPr>
          <w:p>
            <w:pPr>
              <w:ind w:left="410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216"/>
        </w:trPr>
        <w:tc>
          <w:tcPr>
            <w:tcW w:w="11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jc w:val="right"/>
              <w:ind w:right="810"/>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9860" w:type="dxa"/>
            <w:vAlign w:val="bottom"/>
            <w:tcBorders>
              <w:bottom w:val="single" w:sz="8" w:color="0000EE"/>
            </w:tcBorders>
            <w:gridSpan w:val="7"/>
            <w:shd w:val="clear" w:color="auto" w:fill="CCEEFF"/>
          </w:tcPr>
          <w:p>
            <w:pPr>
              <w:spacing w:after="0" w:line="17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Amended and Restated Articles of Incorporation of Galectin Therapeutics Inc., as amended (Incorporated by reference to the Company’s</w:t>
              </w:r>
            </w:hyperlink>
          </w:p>
        </w:tc>
        <w:tc>
          <w:tcPr>
            <w:tcW w:w="240" w:type="dxa"/>
            <w:vAlign w:val="bottom"/>
            <w:tcBorders>
              <w:bottom w:val="single" w:sz="8" w:color="CCEEFF"/>
            </w:tcBorders>
            <w:gridSpan w:val="3"/>
            <w:shd w:val="clear" w:color="auto" w:fill="CCEEFF"/>
          </w:tcPr>
          <w:p>
            <w:pPr>
              <w:spacing w:after="0"/>
              <w:rPr>
                <w:sz w:val="15"/>
                <w:szCs w:val="15"/>
                <w:color w:val="auto"/>
              </w:rPr>
            </w:pP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Current Report on Form 8-K filed with the Commission on May 30, 2012.)</w:t>
              </w:r>
            </w:hyperlink>
          </w:p>
        </w:tc>
      </w:tr>
      <w:tr>
        <w:trPr>
          <w:trHeight w:val="216"/>
        </w:trPr>
        <w:tc>
          <w:tcPr>
            <w:tcW w:w="1140" w:type="dxa"/>
            <w:vAlign w:val="bottom"/>
            <w:tcBorders>
              <w:top w:val="single" w:sz="8" w:color="CCEEFF"/>
            </w:tcBorders>
          </w:tcPr>
          <w:p>
            <w:pPr>
              <w:spacing w:after="0"/>
              <w:rPr>
                <w:sz w:val="18"/>
                <w:szCs w:val="18"/>
                <w:color w:val="auto"/>
              </w:rPr>
            </w:pPr>
          </w:p>
        </w:tc>
        <w:tc>
          <w:tcPr>
            <w:tcW w:w="45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176"/>
        </w:trPr>
        <w:tc>
          <w:tcPr>
            <w:tcW w:w="1140" w:type="dxa"/>
            <w:vAlign w:val="bottom"/>
            <w:shd w:val="clear" w:color="auto" w:fill="CCEEFF"/>
          </w:tcPr>
          <w:p>
            <w:pPr>
              <w:jc w:val="right"/>
              <w:ind w:right="810"/>
              <w:spacing w:after="0" w:line="176" w:lineRule="exact"/>
              <w:rPr>
                <w:sz w:val="20"/>
                <w:szCs w:val="20"/>
                <w:color w:val="auto"/>
              </w:rPr>
            </w:pPr>
            <w:r>
              <w:rPr>
                <w:rFonts w:ascii="Times New Roman" w:cs="Times New Roman" w:eastAsia="Times New Roman" w:hAnsi="Times New Roman"/>
                <w:sz w:val="18"/>
                <w:szCs w:val="18"/>
                <w:color w:val="auto"/>
                <w:w w:val="97"/>
              </w:rPr>
              <w:t>3.2</w:t>
            </w:r>
          </w:p>
        </w:tc>
        <w:tc>
          <w:tcPr>
            <w:tcW w:w="10100" w:type="dxa"/>
            <w:vAlign w:val="bottom"/>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Amended and Restated Bylaws of Galectin Therapeutics Inc., as amended (Incorporated by reference to the Company’s Current Report on</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9960" w:type="dxa"/>
            <w:vAlign w:val="bottom"/>
            <w:tcBorders>
              <w:top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Form 8-K filed with the Commission on September 27, 2016.)</w:t>
              </w:r>
            </w:hyperlink>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450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jc w:val="right"/>
              <w:ind w:right="810"/>
              <w:spacing w:after="0" w:line="176" w:lineRule="exact"/>
              <w:rPr>
                <w:sz w:val="20"/>
                <w:szCs w:val="20"/>
                <w:color w:val="auto"/>
              </w:rPr>
            </w:pPr>
            <w:r>
              <w:rPr>
                <w:rFonts w:ascii="Times New Roman" w:cs="Times New Roman" w:eastAsia="Times New Roman" w:hAnsi="Times New Roman"/>
                <w:sz w:val="18"/>
                <w:szCs w:val="18"/>
                <w:color w:val="auto"/>
                <w:w w:val="97"/>
              </w:rPr>
              <w:t>3.3</w:t>
            </w:r>
          </w:p>
        </w:tc>
        <w:tc>
          <w:tcPr>
            <w:tcW w:w="10100" w:type="dxa"/>
            <w:vAlign w:val="bottom"/>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Certificate of Designation of Preferences, Rights and Limitations of Series A 12% Convertible Preferred Stock of Pro Pharmaceuticals,</w:t>
              </w:r>
            </w:hyperlink>
          </w:p>
        </w:tc>
      </w:tr>
      <w:tr>
        <w:trPr>
          <w:trHeight w:val="20"/>
        </w:trPr>
        <w:tc>
          <w:tcPr>
            <w:tcW w:w="1140" w:type="dxa"/>
            <w:vAlign w:val="bottom"/>
            <w:shd w:val="clear" w:color="auto" w:fill="CCEEFF"/>
          </w:tcPr>
          <w:p>
            <w:pPr>
              <w:spacing w:after="0" w:line="20" w:lineRule="exact"/>
              <w:rPr>
                <w:sz w:val="1"/>
                <w:szCs w:val="1"/>
                <w:color w:val="auto"/>
              </w:rPr>
            </w:pPr>
          </w:p>
        </w:tc>
        <w:tc>
          <w:tcPr>
            <w:tcW w:w="498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34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Inc., as filed with the Secretary of State of the State of Nevada on October 5, 2007. (Incorporated by reference to the Company’s Current</w:t>
              </w:r>
            </w:hyperlink>
          </w:p>
        </w:tc>
      </w:tr>
      <w:tr>
        <w:trPr>
          <w:trHeight w:val="216"/>
        </w:trPr>
        <w:tc>
          <w:tcPr>
            <w:tcW w:w="1140" w:type="dxa"/>
            <w:vAlign w:val="bottom"/>
            <w:tcBorders>
              <w:top w:val="single" w:sz="8" w:color="CCEEFF"/>
            </w:tcBorders>
            <w:shd w:val="clear" w:color="auto" w:fill="CCEEFF"/>
          </w:tcPr>
          <w:p>
            <w:pPr>
              <w:spacing w:after="0"/>
              <w:rPr>
                <w:sz w:val="18"/>
                <w:szCs w:val="18"/>
                <w:color w:val="auto"/>
              </w:rPr>
            </w:pPr>
          </w:p>
        </w:tc>
        <w:tc>
          <w:tcPr>
            <w:tcW w:w="9840" w:type="dxa"/>
            <w:vAlign w:val="bottom"/>
            <w:tcBorders>
              <w:top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Report on Form 8-K filed with the Commission on October 9, 2007.)</w:t>
              </w:r>
            </w:hyperlink>
          </w:p>
        </w:tc>
        <w:tc>
          <w:tcPr>
            <w:tcW w:w="260" w:type="dxa"/>
            <w:vAlign w:val="bottom"/>
            <w:tcBorders>
              <w:top w:val="single" w:sz="8" w:color="CCEEFF"/>
            </w:tcBorders>
            <w:gridSpan w:val="4"/>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45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jc w:val="right"/>
              <w:ind w:right="810"/>
              <w:spacing w:after="0" w:line="176" w:lineRule="exact"/>
              <w:rPr>
                <w:sz w:val="20"/>
                <w:szCs w:val="20"/>
                <w:color w:val="auto"/>
              </w:rPr>
            </w:pPr>
            <w:r>
              <w:rPr>
                <w:rFonts w:ascii="Times New Roman" w:cs="Times New Roman" w:eastAsia="Times New Roman" w:hAnsi="Times New Roman"/>
                <w:sz w:val="18"/>
                <w:szCs w:val="18"/>
                <w:color w:val="auto"/>
                <w:w w:val="97"/>
              </w:rPr>
              <w:t>3.4</w:t>
            </w:r>
          </w:p>
        </w:tc>
        <w:tc>
          <w:tcPr>
            <w:tcW w:w="9740" w:type="dxa"/>
            <w:vAlign w:val="bottom"/>
            <w:tcBorders>
              <w:bottom w:val="single" w:sz="8" w:color="0000EE"/>
              <w:right w:val="single" w:sz="8" w:color="CCEEFF"/>
            </w:tcBorders>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First Amendment to Certificate of Designation of Preferences, Rights and Limitations of Series A 12% Convertible Preferred Stock of</w:t>
              </w:r>
            </w:hyperlink>
          </w:p>
        </w:tc>
        <w:tc>
          <w:tcPr>
            <w:tcW w:w="360" w:type="dxa"/>
            <w:vAlign w:val="bottom"/>
            <w:tcBorders>
              <w:bottom w:val="single" w:sz="8" w:color="CCEEFF"/>
            </w:tcBorders>
            <w:gridSpan w:val="5"/>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Galectin Therapeutics, Inc., as filed with the Secretary of State of the State of Nevada on May 15, 2017. (Incorporated by reference to the</w:t>
              </w:r>
            </w:hyperlink>
          </w:p>
        </w:tc>
      </w:tr>
      <w:tr>
        <w:trPr>
          <w:trHeight w:val="216"/>
        </w:trPr>
        <w:tc>
          <w:tcPr>
            <w:tcW w:w="1140" w:type="dxa"/>
            <w:vAlign w:val="bottom"/>
            <w:tcBorders>
              <w:top w:val="single" w:sz="8" w:color="CCEEFF"/>
            </w:tcBorders>
            <w:shd w:val="clear" w:color="auto" w:fill="CCEEFF"/>
          </w:tcPr>
          <w:p>
            <w:pPr>
              <w:spacing w:after="0"/>
              <w:rPr>
                <w:sz w:val="18"/>
                <w:szCs w:val="18"/>
                <w:color w:val="auto"/>
              </w:rPr>
            </w:pPr>
          </w:p>
        </w:tc>
        <w:tc>
          <w:tcPr>
            <w:tcW w:w="9900" w:type="dxa"/>
            <w:vAlign w:val="bottom"/>
            <w:tcBorders>
              <w:top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Company’s Current Report on Form 8-K filed with the Commission on May 19, 2017.)</w:t>
              </w:r>
            </w:hyperlink>
          </w:p>
        </w:tc>
        <w:tc>
          <w:tcPr>
            <w:tcW w:w="200" w:type="dxa"/>
            <w:vAlign w:val="bottom"/>
            <w:tcBorders>
              <w:top w:val="single" w:sz="8" w:color="CCEEFF"/>
            </w:tcBorders>
            <w:gridSpan w:val="2"/>
            <w:shd w:val="clear" w:color="auto" w:fill="CCEEFF"/>
          </w:tcPr>
          <w:p>
            <w:pPr>
              <w:spacing w:after="0"/>
              <w:rPr>
                <w:sz w:val="18"/>
                <w:szCs w:val="18"/>
                <w:color w:val="auto"/>
              </w:rPr>
            </w:pPr>
          </w:p>
        </w:tc>
      </w:tr>
      <w:tr>
        <w:trPr>
          <w:trHeight w:val="571"/>
        </w:trPr>
        <w:tc>
          <w:tcPr>
            <w:tcW w:w="1140" w:type="dxa"/>
            <w:vAlign w:val="bottom"/>
            <w:tcBorders>
              <w:top w:val="single" w:sz="8" w:color="CCEEFF"/>
            </w:tcBorders>
          </w:tcPr>
          <w:p>
            <w:pPr>
              <w:spacing w:after="0"/>
              <w:rPr>
                <w:sz w:val="24"/>
                <w:szCs w:val="24"/>
                <w:color w:val="auto"/>
              </w:rPr>
            </w:pPr>
          </w:p>
        </w:tc>
        <w:tc>
          <w:tcPr>
            <w:tcW w:w="4980" w:type="dxa"/>
            <w:vAlign w:val="bottom"/>
            <w:tcBorders>
              <w:top w:val="single" w:sz="8" w:color="0000EE"/>
            </w:tcBorders>
            <w:gridSpan w:val="2"/>
          </w:tcPr>
          <w:p>
            <w:pPr>
              <w:ind w:left="4420"/>
              <w:spacing w:after="0"/>
              <w:rPr>
                <w:sz w:val="20"/>
                <w:szCs w:val="20"/>
                <w:color w:val="auto"/>
              </w:rPr>
            </w:pPr>
            <w:r>
              <w:rPr>
                <w:rFonts w:ascii="Times New Roman" w:cs="Times New Roman" w:eastAsia="Times New Roman" w:hAnsi="Times New Roman"/>
                <w:sz w:val="14"/>
                <w:szCs w:val="14"/>
                <w:color w:val="auto"/>
              </w:rPr>
              <w:t>53</w:t>
            </w:r>
          </w:p>
        </w:tc>
        <w:tc>
          <w:tcPr>
            <w:tcW w:w="42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34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r>
        <w:trPr>
          <w:trHeight w:val="44"/>
        </w:trPr>
        <w:tc>
          <w:tcPr>
            <w:tcW w:w="1140" w:type="dxa"/>
            <w:vAlign w:val="bottom"/>
            <w:tcBorders>
              <w:bottom w:val="single" w:sz="8" w:color="auto"/>
            </w:tcBorders>
          </w:tcPr>
          <w:p>
            <w:pPr>
              <w:spacing w:after="0"/>
              <w:rPr>
                <w:sz w:val="3"/>
                <w:szCs w:val="3"/>
                <w:color w:val="auto"/>
              </w:rPr>
            </w:pPr>
          </w:p>
        </w:tc>
        <w:tc>
          <w:tcPr>
            <w:tcW w:w="45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27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3"/>
        </w:trPr>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8"/>
        </w:trPr>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700" w:type="dxa"/>
            <w:vAlign w:val="bottom"/>
          </w:tcPr>
          <w:p>
            <w:pPr>
              <w:spacing w:after="0"/>
              <w:rPr>
                <w:sz w:val="20"/>
                <w:szCs w:val="20"/>
                <w:color w:val="auto"/>
              </w:rPr>
            </w:pPr>
          </w:p>
        </w:tc>
        <w:tc>
          <w:tcPr>
            <w:tcW w:w="7400" w:type="dxa"/>
            <w:vAlign w:val="bottom"/>
            <w:gridSpan w:val="13"/>
          </w:tcPr>
          <w:p>
            <w:pPr>
              <w:ind w:left="140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76"/>
        </w:trPr>
        <w:tc>
          <w:tcPr>
            <w:tcW w:w="3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820" w:type="dxa"/>
            <w:vAlign w:val="bottom"/>
            <w:tcBorders>
              <w:bottom w:val="single" w:sz="8" w:color="CCEEFF"/>
            </w:tcBorders>
            <w:shd w:val="clear" w:color="auto" w:fill="CCEEFF"/>
          </w:tcPr>
          <w:p>
            <w:pPr>
              <w:spacing w:after="0"/>
              <w:rPr>
                <w:sz w:val="15"/>
                <w:szCs w:val="15"/>
                <w:color w:val="auto"/>
              </w:rPr>
            </w:pPr>
          </w:p>
        </w:tc>
        <w:tc>
          <w:tcPr>
            <w:tcW w:w="9260" w:type="dxa"/>
            <w:vAlign w:val="bottom"/>
            <w:tcBorders>
              <w:bottom w:val="single" w:sz="8" w:color="0000EE"/>
            </w:tcBorders>
            <w:gridSpan w:val="8"/>
            <w:shd w:val="clear" w:color="auto" w:fill="CCEEFF"/>
          </w:tcPr>
          <w:p>
            <w:pPr>
              <w:spacing w:after="0" w:line="17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Certificate of Designation of Preferences, Rights and Limitation of Series C Super Dividend Convertible Preferred Stock of Pro-</w:t>
              </w:r>
            </w:hyperlink>
          </w:p>
        </w:tc>
        <w:tc>
          <w:tcPr>
            <w:tcW w:w="840" w:type="dxa"/>
            <w:vAlign w:val="bottom"/>
            <w:tcBorders>
              <w:bottom w:val="single" w:sz="8" w:color="CCEEFF"/>
            </w:tcBorders>
            <w:gridSpan w:val="6"/>
            <w:shd w:val="clear" w:color="auto" w:fill="CCEEFF"/>
          </w:tcPr>
          <w:p>
            <w:pPr>
              <w:spacing w:after="0"/>
              <w:rPr>
                <w:sz w:val="15"/>
                <w:szCs w:val="15"/>
                <w:color w:val="auto"/>
              </w:rPr>
            </w:pPr>
          </w:p>
        </w:tc>
      </w:tr>
      <w:tr>
        <w:trPr>
          <w:trHeight w:val="196"/>
        </w:trPr>
        <w:tc>
          <w:tcPr>
            <w:tcW w:w="3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9960" w:type="dxa"/>
            <w:vAlign w:val="bottom"/>
            <w:tcBorders>
              <w:bottom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Pharmaceuticals, Inc., as filed with the Secretary of State of Nevada on December 30, 2010. (Incorporated by reference to the Company’s</w:t>
              </w:r>
            </w:hyperlink>
          </w:p>
        </w:tc>
        <w:tc>
          <w:tcPr>
            <w:tcW w:w="140" w:type="dxa"/>
            <w:vAlign w:val="bottom"/>
            <w:tcBorders>
              <w:bottom w:val="single" w:sz="8" w:color="CCEEFF"/>
            </w:tcBorders>
            <w:gridSpan w:val="2"/>
            <w:shd w:val="clear" w:color="auto" w:fill="CCEEFF"/>
          </w:tcPr>
          <w:p>
            <w:pPr>
              <w:spacing w:after="0"/>
              <w:rPr>
                <w:sz w:val="17"/>
                <w:szCs w:val="17"/>
                <w:color w:val="auto"/>
              </w:rPr>
            </w:pPr>
          </w:p>
        </w:tc>
      </w:tr>
      <w:tr>
        <w:trPr>
          <w:trHeight w:val="217"/>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Current Report on Form 8-K as filed with the Commission on January 6, 2011.)</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70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5"/>
        </w:trPr>
        <w:tc>
          <w:tcPr>
            <w:tcW w:w="3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820" w:type="dxa"/>
            <w:vAlign w:val="bottom"/>
            <w:tcBorders>
              <w:bottom w:val="single" w:sz="8" w:color="CCEEFF"/>
            </w:tcBorders>
            <w:shd w:val="clear" w:color="auto" w:fill="CCEEFF"/>
          </w:tcPr>
          <w:p>
            <w:pPr>
              <w:spacing w:after="0"/>
              <w:rPr>
                <w:sz w:val="15"/>
                <w:szCs w:val="15"/>
                <w:color w:val="auto"/>
              </w:rPr>
            </w:pPr>
          </w:p>
        </w:tc>
        <w:tc>
          <w:tcPr>
            <w:tcW w:w="996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Certificate of Change as filed with the Nevada Secretary of State on March 1, 2012. (Incorporated by reference to the Company’s Current</w:t>
              </w:r>
            </w:hyperlink>
          </w:p>
        </w:tc>
        <w:tc>
          <w:tcPr>
            <w:tcW w:w="140" w:type="dxa"/>
            <w:vAlign w:val="bottom"/>
            <w:tcBorders>
              <w:bottom w:val="single" w:sz="8" w:color="CCEEFF"/>
            </w:tcBorders>
            <w:gridSpan w:val="2"/>
            <w:shd w:val="clear" w:color="auto" w:fill="CCEEFF"/>
          </w:tcPr>
          <w:p>
            <w:pPr>
              <w:spacing w:after="0"/>
              <w:rPr>
                <w:sz w:val="15"/>
                <w:szCs w:val="15"/>
                <w:color w:val="auto"/>
              </w:rPr>
            </w:pPr>
          </w:p>
        </w:tc>
      </w:tr>
      <w:tr>
        <w:trPr>
          <w:trHeight w:val="217"/>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Report on Form 8-K as filed with the Commission on March 23, 2012.)</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70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6"/>
        </w:trPr>
        <w:tc>
          <w:tcPr>
            <w:tcW w:w="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820" w:type="dxa"/>
            <w:vAlign w:val="bottom"/>
            <w:shd w:val="clear" w:color="auto" w:fill="CCEEFF"/>
          </w:tcPr>
          <w:p>
            <w:pPr>
              <w:spacing w:after="0"/>
              <w:rPr>
                <w:sz w:val="15"/>
                <w:szCs w:val="15"/>
                <w:color w:val="auto"/>
              </w:rPr>
            </w:pPr>
          </w:p>
        </w:tc>
        <w:tc>
          <w:tcPr>
            <w:tcW w:w="101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Form of Common Stock Purchase Warrant (Incorporated by reference to the Company’s Current Report on Form 8-K as filed with the</w:t>
              </w:r>
            </w:hyperlink>
          </w:p>
        </w:tc>
      </w:tr>
      <w:tr>
        <w:trPr>
          <w:trHeight w:val="217"/>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660" w:type="dxa"/>
            <w:vAlign w:val="bottom"/>
            <w:tcBorders>
              <w:top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Commission on December 29, 2016.)</w:t>
              </w:r>
            </w:hyperlink>
          </w:p>
        </w:tc>
        <w:tc>
          <w:tcPr>
            <w:tcW w:w="440" w:type="dxa"/>
            <w:vAlign w:val="bottom"/>
            <w:tcBorders>
              <w:top w:val="single" w:sz="8" w:color="CCEEFF"/>
            </w:tcBorders>
            <w:gridSpan w:val="5"/>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700" w:type="dxa"/>
            <w:vAlign w:val="bottom"/>
            <w:tcBorders>
              <w:top w:val="single" w:sz="8" w:color="0000EE"/>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5"/>
        </w:trPr>
        <w:tc>
          <w:tcPr>
            <w:tcW w:w="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820" w:type="dxa"/>
            <w:vAlign w:val="bottom"/>
            <w:shd w:val="clear" w:color="auto" w:fill="CCEEFF"/>
          </w:tcPr>
          <w:p>
            <w:pPr>
              <w:spacing w:after="0"/>
              <w:rPr>
                <w:sz w:val="15"/>
                <w:szCs w:val="15"/>
                <w:color w:val="auto"/>
              </w:rPr>
            </w:pPr>
          </w:p>
        </w:tc>
        <w:tc>
          <w:tcPr>
            <w:tcW w:w="101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Form of Common Stock Purchase Warrant issued to Richard E. Uihlein (Incorporated by reference to the Company’s Current Report on</w:t>
              </w:r>
            </w:hyperlink>
          </w:p>
        </w:tc>
      </w:tr>
      <w:tr>
        <w:trPr>
          <w:trHeight w:val="217"/>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780" w:type="dxa"/>
            <w:vAlign w:val="bottom"/>
            <w:tcBorders>
              <w:top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Form 8-K as filed with the Commission on December 19, 2017.)</w:t>
              </w:r>
            </w:hyperlink>
          </w:p>
        </w:tc>
        <w:tc>
          <w:tcPr>
            <w:tcW w:w="320" w:type="dxa"/>
            <w:vAlign w:val="bottom"/>
            <w:tcBorders>
              <w:top w:val="single" w:sz="8" w:color="CCEEFF"/>
            </w:tcBorders>
            <w:gridSpan w:val="4"/>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70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6"/>
        </w:trPr>
        <w:tc>
          <w:tcPr>
            <w:tcW w:w="3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820" w:type="dxa"/>
            <w:vAlign w:val="bottom"/>
            <w:tcBorders>
              <w:bottom w:val="single" w:sz="8" w:color="CCEEFF"/>
            </w:tcBorders>
            <w:shd w:val="clear" w:color="auto" w:fill="CCEEFF"/>
          </w:tcPr>
          <w:p>
            <w:pPr>
              <w:spacing w:after="0"/>
              <w:rPr>
                <w:sz w:val="15"/>
                <w:szCs w:val="15"/>
                <w:color w:val="auto"/>
              </w:rPr>
            </w:pPr>
          </w:p>
        </w:tc>
        <w:tc>
          <w:tcPr>
            <w:tcW w:w="986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First Amendment to Common Stock Purchase Warrant, dated December 20, 2018, by and between Richard E. Uihlein and the Company</w:t>
              </w:r>
            </w:hyperlink>
          </w:p>
        </w:tc>
        <w:tc>
          <w:tcPr>
            <w:tcW w:w="240" w:type="dxa"/>
            <w:vAlign w:val="bottom"/>
            <w:tcBorders>
              <w:bottom w:val="single" w:sz="8" w:color="CCEEFF"/>
            </w:tcBorders>
            <w:gridSpan w:val="3"/>
            <w:shd w:val="clear" w:color="auto" w:fill="CCEEFF"/>
          </w:tcPr>
          <w:p>
            <w:pPr>
              <w:spacing w:after="0"/>
              <w:rPr>
                <w:sz w:val="15"/>
                <w:szCs w:val="15"/>
                <w:color w:val="auto"/>
              </w:rPr>
            </w:pPr>
          </w:p>
        </w:tc>
      </w:tr>
      <w:tr>
        <w:trPr>
          <w:trHeight w:val="217"/>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(Incorporated by reference to the Company’s Current Report on Form 8-K as filed with the Commission on January 3, 2019.)</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70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5"/>
        </w:trPr>
        <w:tc>
          <w:tcPr>
            <w:tcW w:w="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820" w:type="dxa"/>
            <w:vAlign w:val="bottom"/>
            <w:shd w:val="clear" w:color="auto" w:fill="CCEEFF"/>
          </w:tcPr>
          <w:p>
            <w:pPr>
              <w:spacing w:after="0"/>
              <w:rPr>
                <w:sz w:val="15"/>
                <w:szCs w:val="15"/>
                <w:color w:val="auto"/>
              </w:rPr>
            </w:pPr>
          </w:p>
        </w:tc>
        <w:tc>
          <w:tcPr>
            <w:tcW w:w="101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Second Amendment to Common Stock Purchase Warrant, dated January 11, 2019, by and between Richard E. Uihlein and the Company</w:t>
              </w:r>
            </w:hyperlink>
          </w:p>
        </w:tc>
      </w:tr>
      <w:tr>
        <w:trPr>
          <w:trHeight w:val="217"/>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860" w:type="dxa"/>
            <w:vAlign w:val="bottom"/>
            <w:tcBorders>
              <w:top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(Incorporated by reference to the Company’s Current Report on Form 8-K as filed with the Commission on January 15, 2019.)</w:t>
              </w:r>
            </w:hyperlink>
          </w:p>
        </w:tc>
        <w:tc>
          <w:tcPr>
            <w:tcW w:w="240" w:type="dxa"/>
            <w:vAlign w:val="bottom"/>
            <w:tcBorders>
              <w:top w:val="single" w:sz="8" w:color="CCEEFF"/>
            </w:tcBorders>
            <w:gridSpan w:val="3"/>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70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6"/>
        </w:trPr>
        <w:tc>
          <w:tcPr>
            <w:tcW w:w="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820" w:type="dxa"/>
            <w:vAlign w:val="bottom"/>
            <w:shd w:val="clear" w:color="auto" w:fill="CCEEFF"/>
          </w:tcPr>
          <w:p>
            <w:pPr>
              <w:spacing w:after="0"/>
              <w:rPr>
                <w:sz w:val="15"/>
                <w:szCs w:val="15"/>
                <w:color w:val="auto"/>
              </w:rPr>
            </w:pPr>
          </w:p>
        </w:tc>
        <w:tc>
          <w:tcPr>
            <w:tcW w:w="101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Form of Amended and Restated Class B Common Stock Purchase Warrant (Incorporated by reference to the Company’s Current Report on</w:t>
              </w:r>
            </w:hyperlink>
          </w:p>
        </w:tc>
      </w:tr>
      <w:tr>
        <w:trPr>
          <w:trHeight w:val="217"/>
        </w:trPr>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4480" w:type="dxa"/>
            <w:vAlign w:val="bottom"/>
            <w:tcBorders>
              <w:top w:val="single" w:sz="8" w:color="0000EE"/>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Form 8-K as filed with the Commission on January 15, 2019.)</w:t>
              </w:r>
            </w:hyperlink>
          </w:p>
        </w:tc>
        <w:tc>
          <w:tcPr>
            <w:tcW w:w="5580" w:type="dxa"/>
            <w:vAlign w:val="bottom"/>
            <w:tcBorders>
              <w:top w:val="single" w:sz="8" w:color="0000EE"/>
              <w:bottom w:val="single" w:sz="8" w:color="CCEEFF"/>
            </w:tcBorders>
            <w:gridSpan w:val="11"/>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571"/>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60" w:type="dxa"/>
            <w:vAlign w:val="bottom"/>
            <w:gridSpan w:val="3"/>
          </w:tcPr>
          <w:p>
            <w:pPr>
              <w:ind w:left="4420"/>
              <w:spacing w:after="0"/>
              <w:rPr>
                <w:sz w:val="20"/>
                <w:szCs w:val="20"/>
                <w:color w:val="auto"/>
              </w:rPr>
            </w:pPr>
            <w:r>
              <w:rPr>
                <w:rFonts w:ascii="Times New Roman" w:cs="Times New Roman" w:eastAsia="Times New Roman" w:hAnsi="Times New Roman"/>
                <w:sz w:val="14"/>
                <w:szCs w:val="14"/>
                <w:color w:val="auto"/>
              </w:rPr>
              <w:t>54</w:t>
            </w: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
        </w:trPr>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2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3"/>
        </w:trPr>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500" w:type="dxa"/>
            <w:vAlign w:val="bottom"/>
            <w:gridSpan w:val="5"/>
          </w:tcPr>
          <w:p>
            <w:pPr>
              <w:ind w:left="150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3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820" w:type="dxa"/>
            <w:vAlign w:val="bottom"/>
            <w:tcBorders>
              <w:bottom w:val="single" w:sz="8" w:color="CCEEFF"/>
            </w:tcBorders>
            <w:shd w:val="clear" w:color="auto" w:fill="CCEEFF"/>
          </w:tcPr>
          <w:p>
            <w:pPr>
              <w:spacing w:after="0"/>
              <w:rPr>
                <w:sz w:val="15"/>
                <w:szCs w:val="15"/>
                <w:color w:val="auto"/>
              </w:rPr>
            </w:pPr>
          </w:p>
        </w:tc>
        <w:tc>
          <w:tcPr>
            <w:tcW w:w="10080" w:type="dxa"/>
            <w:vAlign w:val="bottom"/>
            <w:tcBorders>
              <w:bottom w:val="single" w:sz="8" w:color="0000EE"/>
            </w:tcBorders>
            <w:gridSpan w:val="6"/>
            <w:shd w:val="clear" w:color="auto" w:fill="CCEEFF"/>
          </w:tcPr>
          <w:p>
            <w:pPr>
              <w:spacing w:after="0" w:line="17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Form of Amended and Restated 10X Fund Class B Common Stock Purchase Warrant (Incorporated by reference to the Company’s Current</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216"/>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7"/>
            <w:shd w:val="clear" w:color="auto" w:fill="CCEEFF"/>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Report on Form 8-K as filed with the Commission on January 15, 2019.)</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40" w:type="dxa"/>
            <w:vAlign w:val="bottom"/>
            <w:tcBorders>
              <w:top w:val="single" w:sz="8" w:color="0000EE"/>
            </w:tcBorders>
          </w:tcPr>
          <w:p>
            <w:pPr>
              <w:spacing w:after="0"/>
              <w:rPr>
                <w:sz w:val="18"/>
                <w:szCs w:val="18"/>
                <w:color w:val="auto"/>
              </w:rPr>
            </w:pPr>
          </w:p>
        </w:tc>
        <w:tc>
          <w:tcPr>
            <w:tcW w:w="4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820" w:type="dxa"/>
            <w:vAlign w:val="bottom"/>
            <w:shd w:val="clear" w:color="auto" w:fill="CCEEFF"/>
          </w:tcPr>
          <w:p>
            <w:pPr>
              <w:spacing w:after="0"/>
              <w:rPr>
                <w:sz w:val="15"/>
                <w:szCs w:val="15"/>
                <w:color w:val="auto"/>
              </w:rPr>
            </w:pPr>
          </w:p>
        </w:tc>
        <w:tc>
          <w:tcPr>
            <w:tcW w:w="1010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Form of Common Stock Purchase Warrant (Incorporated by reference to the Company’s Registration Statement on Form S-3 as filed with</w:t>
              </w:r>
            </w:hyperlink>
          </w:p>
        </w:tc>
      </w:tr>
      <w:tr>
        <w:trPr>
          <w:trHeight w:val="217"/>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920" w:type="dxa"/>
            <w:vAlign w:val="bottom"/>
            <w:tcBorders>
              <w:top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the Commission on March 6, 2019.)</w:t>
              </w:r>
            </w:hyperlink>
          </w:p>
        </w:tc>
        <w:tc>
          <w:tcPr>
            <w:tcW w:w="18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4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3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820" w:type="dxa"/>
            <w:vAlign w:val="bottom"/>
            <w:tcBorders>
              <w:bottom w:val="single" w:sz="8" w:color="CCEEFF"/>
            </w:tcBorders>
            <w:shd w:val="clear" w:color="auto" w:fill="CCEEFF"/>
          </w:tcPr>
          <w:p>
            <w:pPr>
              <w:spacing w:after="0"/>
              <w:rPr>
                <w:sz w:val="15"/>
                <w:szCs w:val="15"/>
                <w:color w:val="auto"/>
              </w:rPr>
            </w:pPr>
          </w:p>
        </w:tc>
        <w:tc>
          <w:tcPr>
            <w:tcW w:w="9780" w:type="dxa"/>
            <w:vAlign w:val="bottom"/>
            <w:tcBorders>
              <w:bottom w:val="single" w:sz="8" w:color="0000EE"/>
            </w:tcBorders>
            <w:gridSpan w:val="4"/>
            <w:shd w:val="clear" w:color="auto" w:fill="CCEEFF"/>
          </w:tcPr>
          <w:p>
            <w:pPr>
              <w:spacing w:after="0" w:line="17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Form of Warrant Agency Agreement (Incorporated by reference to the Company’s Registration Statement on Form S-3 as filed with the</w:t>
              </w:r>
            </w:hyperlink>
          </w:p>
        </w:tc>
        <w:tc>
          <w:tcPr>
            <w:tcW w:w="320" w:type="dxa"/>
            <w:vAlign w:val="bottom"/>
            <w:tcBorders>
              <w:bottom w:val="single" w:sz="8" w:color="CCEEFF"/>
            </w:tcBorders>
            <w:gridSpan w:val="3"/>
            <w:shd w:val="clear" w:color="auto" w:fill="CCEEFF"/>
          </w:tcPr>
          <w:p>
            <w:pPr>
              <w:spacing w:after="0"/>
              <w:rPr>
                <w:sz w:val="15"/>
                <w:szCs w:val="15"/>
                <w:color w:val="auto"/>
              </w:rPr>
            </w:pPr>
          </w:p>
        </w:tc>
      </w:tr>
      <w:tr>
        <w:trPr>
          <w:trHeight w:val="216"/>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7"/>
            <w:shd w:val="clear" w:color="auto" w:fill="CCEEFF"/>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Commission on March 6, 2019.)</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4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5"/>
              </w:rPr>
              <w:t>4.9*</w:t>
            </w:r>
          </w:p>
        </w:tc>
        <w:tc>
          <w:tcPr>
            <w:tcW w:w="820" w:type="dxa"/>
            <w:vAlign w:val="bottom"/>
            <w:shd w:val="clear" w:color="auto" w:fill="CCEEFF"/>
          </w:tcPr>
          <w:p>
            <w:pPr>
              <w:spacing w:after="0"/>
              <w:rPr>
                <w:sz w:val="15"/>
                <w:szCs w:val="15"/>
                <w:color w:val="auto"/>
              </w:rPr>
            </w:pPr>
          </w:p>
        </w:tc>
        <w:tc>
          <w:tcPr>
            <w:tcW w:w="1010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Form of Common Stock Purchase Warrant (Incorporated by reference to the Company’s Registration Statement on Form S-3 as filed with</w:t>
              </w:r>
            </w:hyperlink>
          </w:p>
        </w:tc>
      </w:tr>
      <w:tr>
        <w:trPr>
          <w:trHeight w:val="196"/>
        </w:trPr>
        <w:tc>
          <w:tcPr>
            <w:tcW w:w="3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9920" w:type="dxa"/>
            <w:vAlign w:val="bottom"/>
            <w:tcBorders>
              <w:top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the Commission on March 6, 2019.)</w:t>
              </w:r>
            </w:hyperlink>
          </w:p>
        </w:tc>
        <w:tc>
          <w:tcPr>
            <w:tcW w:w="180" w:type="dxa"/>
            <w:vAlign w:val="bottom"/>
            <w:tcBorders>
              <w:top w:val="single" w:sz="8" w:color="CCEEFF"/>
            </w:tcBorders>
            <w:gridSpan w:val="2"/>
            <w:shd w:val="clear" w:color="auto" w:fill="CCEEFF"/>
          </w:tcPr>
          <w:p>
            <w:pPr>
              <w:spacing w:after="0"/>
              <w:rPr>
                <w:sz w:val="17"/>
                <w:szCs w:val="17"/>
                <w:color w:val="auto"/>
              </w:rPr>
            </w:pPr>
          </w:p>
        </w:tc>
      </w:tr>
      <w:tr>
        <w:trPr>
          <w:trHeight w:val="21"/>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4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4.10</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br w:type="column"/>
      </w:r>
    </w:p>
    <w:p>
      <w:pPr>
        <w:ind w:right="200"/>
        <w:spacing w:after="0" w:line="282" w:lineRule="auto"/>
        <w:rPr>
          <w:rFonts w:ascii="Times New Roman" w:cs="Times New Roman" w:eastAsia="Times New Roman" w:hAnsi="Times New Roman"/>
          <w:sz w:val="18"/>
          <w:szCs w:val="18"/>
          <w:u w:val="single" w:color="auto"/>
          <w:color w:val="0000EE"/>
        </w:rPr>
      </w:pPr>
      <w:hyperlink r:id="rId85">
        <w:r>
          <w:rPr>
            <w:rFonts w:ascii="Times New Roman" w:cs="Times New Roman" w:eastAsia="Times New Roman" w:hAnsi="Times New Roman"/>
            <w:sz w:val="18"/>
            <w:szCs w:val="18"/>
            <w:u w:val="single" w:color="auto"/>
            <w:color w:val="0000EE"/>
          </w:rPr>
          <w:t>Description of Registrant’s securities (Incorporated by reference to exhibit 4.20 the Company’s Annual Report on Form 10-K for the year</w:t>
        </w:r>
      </w:hyperlink>
      <w:r>
        <w:rPr>
          <w:rFonts w:ascii="Times New Roman" w:cs="Times New Roman" w:eastAsia="Times New Roman" w:hAnsi="Times New Roman"/>
          <w:sz w:val="18"/>
          <w:szCs w:val="18"/>
          <w:u w:val="single" w:color="auto"/>
          <w:color w:val="0000EE"/>
        </w:rPr>
        <w:t xml:space="preserve"> </w:t>
      </w:r>
      <w:hyperlink r:id="rId85">
        <w:r>
          <w:rPr>
            <w:rFonts w:ascii="Times New Roman" w:cs="Times New Roman" w:eastAsia="Times New Roman" w:hAnsi="Times New Roman"/>
            <w:sz w:val="18"/>
            <w:szCs w:val="18"/>
            <w:u w:val="single" w:color="auto"/>
            <w:color w:val="0000EE"/>
          </w:rPr>
          <w:t>ended December 31, 2020, as filed on March 31,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-296545</wp:posOffset>
            </wp:positionV>
            <wp:extent cx="7132320" cy="274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right="320"/>
        <w:spacing w:after="0" w:line="282" w:lineRule="auto"/>
        <w:rPr>
          <w:rFonts w:ascii="Times New Roman" w:cs="Times New Roman" w:eastAsia="Times New Roman" w:hAnsi="Times New Roman"/>
          <w:sz w:val="18"/>
          <w:szCs w:val="18"/>
          <w:u w:val="single" w:color="auto"/>
          <w:color w:val="0000EE"/>
        </w:rPr>
      </w:pPr>
      <w:hyperlink r:id="rId87">
        <w:r>
          <w:rPr>
            <w:rFonts w:ascii="Times New Roman" w:cs="Times New Roman" w:eastAsia="Times New Roman" w:hAnsi="Times New Roman"/>
            <w:sz w:val="18"/>
            <w:szCs w:val="18"/>
            <w:u w:val="single" w:color="auto"/>
            <w:color w:val="0000EE"/>
          </w:rPr>
          <w:t>Galectin Therapeutics 2009 Incentive Compensation Plan (as amended) (Incorporated by reference to the Company’s Annual Report on</w:t>
        </w:r>
      </w:hyperlink>
      <w:r>
        <w:rPr>
          <w:rFonts w:ascii="Times New Roman" w:cs="Times New Roman" w:eastAsia="Times New Roman" w:hAnsi="Times New Roman"/>
          <w:sz w:val="18"/>
          <w:szCs w:val="18"/>
          <w:u w:val="single" w:color="auto"/>
          <w:color w:val="0000EE"/>
        </w:rPr>
        <w:t xml:space="preserve"> </w:t>
      </w:r>
      <w:hyperlink r:id="rId87">
        <w:r>
          <w:rPr>
            <w:rFonts w:ascii="Times New Roman" w:cs="Times New Roman" w:eastAsia="Times New Roman" w:hAnsi="Times New Roman"/>
            <w:sz w:val="18"/>
            <w:szCs w:val="18"/>
            <w:u w:val="single" w:color="auto"/>
            <w:color w:val="0000EE"/>
          </w:rPr>
          <w:t>Form 10-K as filed with the Commission on March 6,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-296545</wp:posOffset>
            </wp:positionV>
            <wp:extent cx="7132320" cy="274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420" w:space="720"/>
            <w:col w:w="10100"/>
          </w:cols>
          <w:pgMar w:left="320" w:top="114"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10.2†</w:t>
            </w:r>
          </w:p>
        </w:tc>
        <w:tc>
          <w:tcPr>
            <w:tcW w:w="9860" w:type="dxa"/>
            <w:vAlign w:val="bottom"/>
            <w:tcBorders>
              <w:bottom w:val="single" w:sz="8" w:color="0000EE"/>
            </w:tcBorders>
            <w:gridSpan w:val="6"/>
            <w:shd w:val="clear" w:color="auto" w:fill="CCEEFF"/>
          </w:tcPr>
          <w:p>
            <w:pPr>
              <w:spacing w:after="0"/>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Form of Restricted Stock Grant Agreement (under the 2009 Incentive Compensation Plan). (Incorporated by reference to the Company’s</w:t>
              </w:r>
            </w:hyperlink>
          </w:p>
        </w:tc>
        <w:tc>
          <w:tcPr>
            <w:tcW w:w="240" w:type="dxa"/>
            <w:vAlign w:val="bottom"/>
            <w:tcBorders>
              <w:bottom w:val="single" w:sz="8" w:color="CCEEFF"/>
            </w:tcBorders>
            <w:gridSpan w:val="2"/>
            <w:shd w:val="clear" w:color="auto" w:fill="CCEEFF"/>
          </w:tcPr>
          <w:p>
            <w:pPr>
              <w:spacing w:after="0"/>
              <w:rPr>
                <w:sz w:val="17"/>
                <w:szCs w:val="17"/>
                <w:color w:val="auto"/>
              </w:rPr>
            </w:pP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Annual Report on Form 10-K as filed with the Commission on March 30, 2009.)</w:t>
              </w:r>
            </w:hyperlink>
          </w:p>
        </w:tc>
      </w:tr>
      <w:tr>
        <w:trPr>
          <w:trHeight w:val="216"/>
        </w:trPr>
        <w:tc>
          <w:tcPr>
            <w:tcW w:w="1140" w:type="dxa"/>
            <w:vAlign w:val="bottom"/>
            <w:tcBorders>
              <w:top w:val="single" w:sz="8" w:color="CCEEFF"/>
            </w:tcBorders>
          </w:tcPr>
          <w:p>
            <w:pPr>
              <w:spacing w:after="0"/>
              <w:rPr>
                <w:sz w:val="18"/>
                <w:szCs w:val="18"/>
                <w:color w:val="auto"/>
              </w:rPr>
            </w:pPr>
          </w:p>
        </w:tc>
        <w:tc>
          <w:tcPr>
            <w:tcW w:w="428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100" w:type="dxa"/>
            <w:vAlign w:val="bottom"/>
            <w:gridSpan w:val="8"/>
            <w:shd w:val="clear" w:color="auto" w:fill="CCEEFF"/>
          </w:tcPr>
          <w:p>
            <w:pPr>
              <w:spacing w:after="0" w:line="17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Form of Non-Qualified Stock Option Grant Agreement (under the 2009 Incentive Compensation Plan). (Incorporated by reference to the</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9840" w:type="dxa"/>
            <w:vAlign w:val="bottom"/>
            <w:tcBorders>
              <w:top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Company’s Annual Report on Form 10-K as filed with the Commission on March 30, 2009.)</w:t>
              </w:r>
            </w:hyperlink>
          </w:p>
        </w:tc>
        <w:tc>
          <w:tcPr>
            <w:tcW w:w="260" w:type="dxa"/>
            <w:vAlign w:val="bottom"/>
            <w:tcBorders>
              <w:top w:val="single" w:sz="8" w:color="CCEEFF"/>
            </w:tcBorders>
            <w:gridSpan w:val="3"/>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428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8"/>
            <w:shd w:val="clear" w:color="auto" w:fill="CCEEFF"/>
          </w:tcPr>
          <w:p>
            <w:pPr>
              <w:spacing w:after="0" w:line="17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Form of Incentive Stock Option Grant Agreement (under the 2009 Incentive Compensation Plan). (Incorporated by reference to the</w:t>
              </w:r>
            </w:hyperlink>
          </w:p>
        </w:tc>
      </w:tr>
      <w:tr>
        <w:trPr>
          <w:trHeight w:val="216"/>
        </w:trPr>
        <w:tc>
          <w:tcPr>
            <w:tcW w:w="1140" w:type="dxa"/>
            <w:vAlign w:val="bottom"/>
            <w:tcBorders>
              <w:top w:val="single" w:sz="8" w:color="CCEEFF"/>
            </w:tcBorders>
            <w:shd w:val="clear" w:color="auto" w:fill="CCEEFF"/>
          </w:tcPr>
          <w:p>
            <w:pPr>
              <w:spacing w:after="0"/>
              <w:rPr>
                <w:sz w:val="18"/>
                <w:szCs w:val="18"/>
                <w:color w:val="auto"/>
              </w:rPr>
            </w:pPr>
          </w:p>
        </w:tc>
        <w:tc>
          <w:tcPr>
            <w:tcW w:w="9460" w:type="dxa"/>
            <w:vAlign w:val="bottom"/>
            <w:tcBorders>
              <w:top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Company’s Annual Report on Form 10-K as filed with the Commission on March 30, 2009.)</w:t>
              </w:r>
            </w:hyperlink>
          </w:p>
        </w:tc>
        <w:tc>
          <w:tcPr>
            <w:tcW w:w="640" w:type="dxa"/>
            <w:vAlign w:val="bottom"/>
            <w:tcBorders>
              <w:top w:val="single" w:sz="8" w:color="CCEEFF"/>
            </w:tcBorders>
            <w:gridSpan w:val="4"/>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428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9900" w:type="dxa"/>
            <w:vAlign w:val="bottom"/>
            <w:tcBorders>
              <w:bottom w:val="single" w:sz="8" w:color="0000EE"/>
            </w:tcBorders>
            <w:gridSpan w:val="7"/>
            <w:shd w:val="clear" w:color="auto" w:fill="CCEEFF"/>
          </w:tcPr>
          <w:p>
            <w:pPr>
              <w:spacing w:after="0" w:line="17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Galectin Therapeutics 2019 Omnibus Equity Incentive Plan (Incorporated by reference to Appendix A to the Company’s definitive proxy</w:t>
              </w:r>
            </w:hyperlink>
          </w:p>
        </w:tc>
        <w:tc>
          <w:tcPr>
            <w:tcW w:w="200" w:type="dxa"/>
            <w:vAlign w:val="bottom"/>
            <w:tcBorders>
              <w:bottom w:val="single" w:sz="8" w:color="CCEEFF"/>
            </w:tcBorders>
            <w:shd w:val="clear" w:color="auto" w:fill="CCEEFF"/>
          </w:tcPr>
          <w:p>
            <w:pPr>
              <w:spacing w:after="0"/>
              <w:rPr>
                <w:sz w:val="15"/>
                <w:szCs w:val="15"/>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4280" w:type="dxa"/>
            <w:vAlign w:val="bottom"/>
            <w:tcBorders>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statement filed with the Commission on October 17, 2019.)</w:t>
              </w:r>
            </w:hyperlink>
          </w:p>
        </w:tc>
        <w:tc>
          <w:tcPr>
            <w:tcW w:w="5820" w:type="dxa"/>
            <w:vAlign w:val="bottom"/>
            <w:tcBorders>
              <w:bottom w:val="single" w:sz="8" w:color="CCEEFF"/>
            </w:tcBorders>
            <w:gridSpan w:val="7"/>
            <w:shd w:val="clear" w:color="auto" w:fill="CCEEFF"/>
          </w:tcPr>
          <w:p>
            <w:pPr>
              <w:spacing w:after="0"/>
              <w:rPr>
                <w:sz w:val="18"/>
                <w:szCs w:val="18"/>
                <w:color w:val="auto"/>
              </w:rPr>
            </w:pPr>
          </w:p>
        </w:tc>
      </w:tr>
      <w:tr>
        <w:trPr>
          <w:trHeight w:val="570"/>
        </w:trPr>
        <w:tc>
          <w:tcPr>
            <w:tcW w:w="1140" w:type="dxa"/>
            <w:vAlign w:val="bottom"/>
          </w:tcPr>
          <w:p>
            <w:pPr>
              <w:spacing w:after="0"/>
              <w:rPr>
                <w:sz w:val="24"/>
                <w:szCs w:val="24"/>
                <w:color w:val="auto"/>
              </w:rPr>
            </w:pPr>
          </w:p>
        </w:tc>
        <w:tc>
          <w:tcPr>
            <w:tcW w:w="5820" w:type="dxa"/>
            <w:vAlign w:val="bottom"/>
            <w:gridSpan w:val="2"/>
          </w:tcPr>
          <w:p>
            <w:pPr>
              <w:ind w:left="4420"/>
              <w:spacing w:after="0"/>
              <w:rPr>
                <w:sz w:val="20"/>
                <w:szCs w:val="20"/>
                <w:color w:val="auto"/>
              </w:rPr>
            </w:pPr>
            <w:r>
              <w:rPr>
                <w:rFonts w:ascii="Times New Roman" w:cs="Times New Roman" w:eastAsia="Times New Roman" w:hAnsi="Times New Roman"/>
                <w:sz w:val="14"/>
                <w:szCs w:val="14"/>
                <w:color w:val="auto"/>
              </w:rPr>
              <w:t>55</w:t>
            </w:r>
          </w:p>
        </w:tc>
        <w:tc>
          <w:tcPr>
            <w:tcW w:w="8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4"/>
        </w:trPr>
        <w:tc>
          <w:tcPr>
            <w:tcW w:w="1140" w:type="dxa"/>
            <w:vAlign w:val="bottom"/>
            <w:tcBorders>
              <w:bottom w:val="single" w:sz="8" w:color="auto"/>
            </w:tcBorders>
          </w:tcPr>
          <w:p>
            <w:pPr>
              <w:spacing w:after="0"/>
              <w:rPr>
                <w:sz w:val="3"/>
                <w:szCs w:val="3"/>
                <w:color w:val="auto"/>
              </w:rPr>
            </w:pPr>
          </w:p>
        </w:tc>
        <w:tc>
          <w:tcPr>
            <w:tcW w:w="42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type w:val="continuous"/>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7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3"/>
        </w:trPr>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7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8"/>
        </w:trPr>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7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360" w:type="dxa"/>
            <w:vAlign w:val="bottom"/>
            <w:gridSpan w:val="19"/>
          </w:tcPr>
          <w:p>
            <w:pPr>
              <w:ind w:left="136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7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10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Employment Agreement dated June 20, 2013 between Jack W. Callicutt and Galectin Therapeutics Inc. (Incorporated by reference to the</w:t>
              </w:r>
            </w:hyperlink>
          </w:p>
        </w:tc>
      </w:tr>
      <w:tr>
        <w:trPr>
          <w:trHeight w:val="216"/>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840" w:type="dxa"/>
            <w:vAlign w:val="bottom"/>
            <w:tcBorders>
              <w:top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Company’s Quarterly Report on Form 10-Q as filed with the Commission on August 14, 2013.)</w:t>
              </w:r>
            </w:hyperlink>
          </w:p>
        </w:tc>
        <w:tc>
          <w:tcPr>
            <w:tcW w:w="260" w:type="dxa"/>
            <w:vAlign w:val="bottom"/>
            <w:tcBorders>
              <w:top w:val="single" w:sz="8" w:color="CCEEFF"/>
            </w:tcBorders>
            <w:gridSpan w:val="5"/>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00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Amendment to Employment Agreement dated August 11, 2017 between Jack W. Callicutt and Galectin Therapeutics Inc. (Incorporated by</w:t>
              </w:r>
            </w:hyperlink>
          </w:p>
        </w:tc>
        <w:tc>
          <w:tcPr>
            <w:tcW w:w="100" w:type="dxa"/>
            <w:vAlign w:val="bottom"/>
            <w:tcBorders>
              <w:bottom w:val="single" w:sz="8" w:color="CCEEFF"/>
            </w:tcBorders>
            <w:gridSpan w:val="2"/>
            <w:shd w:val="clear" w:color="auto" w:fill="CCEEFF"/>
          </w:tcPr>
          <w:p>
            <w:pPr>
              <w:spacing w:after="0"/>
              <w:rPr>
                <w:sz w:val="15"/>
                <w:szCs w:val="15"/>
                <w:color w:val="auto"/>
              </w:rPr>
            </w:pPr>
          </w:p>
        </w:tc>
      </w:tr>
      <w:tr>
        <w:trPr>
          <w:trHeight w:val="217"/>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reference to the Company’s Quarterly Report on Form 10-Q as filed with the Commission on August 14, 2017.)</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6"/>
        </w:trPr>
        <w:tc>
          <w:tcPr>
            <w:tcW w:w="3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5"/>
              </w:rPr>
              <w:t>10.8</w:t>
            </w:r>
          </w:p>
        </w:tc>
        <w:tc>
          <w:tcPr>
            <w:tcW w:w="820" w:type="dxa"/>
            <w:vAlign w:val="bottom"/>
            <w:tcBorders>
              <w:bottom w:val="single" w:sz="8" w:color="CCEEFF"/>
            </w:tcBorders>
            <w:shd w:val="clear" w:color="auto" w:fill="CCEEFF"/>
          </w:tcPr>
          <w:p>
            <w:pPr>
              <w:spacing w:after="0"/>
              <w:rPr>
                <w:sz w:val="15"/>
                <w:szCs w:val="15"/>
                <w:color w:val="auto"/>
              </w:rPr>
            </w:pPr>
          </w:p>
        </w:tc>
        <w:tc>
          <w:tcPr>
            <w:tcW w:w="932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Project Addendum (with Master Services Agreement), dated March 6, 2015, by and between Galectin Therapeutics Inc. and PPD</w:t>
              </w:r>
            </w:hyperlink>
          </w:p>
        </w:tc>
        <w:tc>
          <w:tcPr>
            <w:tcW w:w="780" w:type="dxa"/>
            <w:vAlign w:val="bottom"/>
            <w:tcBorders>
              <w:bottom w:val="single" w:sz="8" w:color="CCEEFF"/>
            </w:tcBorders>
            <w:gridSpan w:val="9"/>
            <w:shd w:val="clear" w:color="auto" w:fill="CCEEFF"/>
          </w:tcPr>
          <w:p>
            <w:pPr>
              <w:spacing w:after="0"/>
              <w:rPr>
                <w:sz w:val="15"/>
                <w:szCs w:val="15"/>
                <w:color w:val="auto"/>
              </w:rPr>
            </w:pPr>
          </w:p>
        </w:tc>
      </w:tr>
      <w:tr>
        <w:trPr>
          <w:trHeight w:val="196"/>
        </w:trPr>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1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Development, L.P. (Incorporated by reference to the Company’s Current Report on Form 8-K as filed with the Commission on March 12,</w:t>
              </w:r>
            </w:hyperlink>
          </w:p>
        </w:tc>
      </w:tr>
      <w:tr>
        <w:trPr>
          <w:trHeight w:val="217"/>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2015.</w:t>
              </w:r>
              <w:r>
                <w:rPr>
                  <w:rFonts w:ascii="Times New Roman" w:cs="Times New Roman" w:eastAsia="Times New Roman" w:hAnsi="Times New Roman"/>
                  <w:sz w:val="18"/>
                  <w:szCs w:val="18"/>
                  <w:u w:val="single" w:color="auto"/>
                  <w:color w:val="0000EE"/>
                </w:rPr>
                <w:t>)***</w:t>
              </w:r>
            </w:hyperlink>
          </w:p>
        </w:tc>
        <w:tc>
          <w:tcPr>
            <w:tcW w:w="140" w:type="dxa"/>
            <w:vAlign w:val="bottom"/>
            <w:tcBorders>
              <w:top w:val="single" w:sz="8" w:color="0000EE"/>
            </w:tcBorders>
            <w:shd w:val="clear" w:color="auto" w:fill="CCEEFF"/>
          </w:tcPr>
          <w:p>
            <w:pPr>
              <w:spacing w:after="0"/>
              <w:rPr>
                <w:sz w:val="18"/>
                <w:szCs w:val="18"/>
                <w:color w:val="auto"/>
              </w:rPr>
            </w:pPr>
          </w:p>
        </w:tc>
        <w:tc>
          <w:tcPr>
            <w:tcW w:w="148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260" w:type="dxa"/>
            <w:vAlign w:val="bottom"/>
            <w:tcBorders>
              <w:top w:val="single" w:sz="8" w:color="0000EE"/>
            </w:tcBorders>
            <w:shd w:val="clear" w:color="auto" w:fill="CCEEFF"/>
          </w:tcPr>
          <w:p>
            <w:pPr>
              <w:spacing w:after="0"/>
              <w:rPr>
                <w:sz w:val="18"/>
                <w:szCs w:val="18"/>
                <w:color w:val="auto"/>
              </w:rPr>
            </w:pPr>
          </w:p>
        </w:tc>
        <w:tc>
          <w:tcPr>
            <w:tcW w:w="360" w:type="dxa"/>
            <w:vAlign w:val="bottom"/>
            <w:tcBorders>
              <w:top w:val="single" w:sz="8" w:color="0000EE"/>
            </w:tcBorders>
            <w:shd w:val="clear" w:color="auto" w:fill="CCEEFF"/>
          </w:tcPr>
          <w:p>
            <w:pPr>
              <w:spacing w:after="0"/>
              <w:rPr>
                <w:sz w:val="18"/>
                <w:szCs w:val="18"/>
                <w:color w:val="auto"/>
              </w:rPr>
            </w:pPr>
          </w:p>
        </w:tc>
        <w:tc>
          <w:tcPr>
            <w:tcW w:w="90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96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6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5"/>
        </w:trPr>
        <w:tc>
          <w:tcPr>
            <w:tcW w:w="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5"/>
              </w:rPr>
              <w:t>10.9</w:t>
            </w:r>
          </w:p>
        </w:tc>
        <w:tc>
          <w:tcPr>
            <w:tcW w:w="820" w:type="dxa"/>
            <w:vAlign w:val="bottom"/>
            <w:shd w:val="clear" w:color="auto" w:fill="CCEEFF"/>
          </w:tcPr>
          <w:p>
            <w:pPr>
              <w:spacing w:after="0"/>
              <w:rPr>
                <w:sz w:val="15"/>
                <w:szCs w:val="15"/>
                <w:color w:val="auto"/>
              </w:rPr>
            </w:pPr>
          </w:p>
        </w:tc>
        <w:tc>
          <w:tcPr>
            <w:tcW w:w="1010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Project Addendum Modification, dated March 11, 2016, by and between Galectin Therapeutics, Inc. and PPD Development, L.P.</w:t>
              </w:r>
            </w:hyperlink>
          </w:p>
        </w:tc>
      </w:tr>
      <w:tr>
        <w:trPr>
          <w:trHeight w:val="20"/>
        </w:trPr>
        <w:tc>
          <w:tcPr>
            <w:tcW w:w="3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17"/>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(Incorporated by reference to the Company’s Annual Report on Form 10-K as filed with the Commission on March 15, 2016.)***</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10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Employment Agreement, dated February 19, 2020, by and between Galectin Therapeutics Inc. and Pol F. Boudes, M.D. (Incorporated by</w:t>
              </w:r>
            </w:hyperlink>
          </w:p>
        </w:tc>
      </w:tr>
      <w:tr>
        <w:trPr>
          <w:trHeight w:val="217"/>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900" w:type="dxa"/>
            <w:vAlign w:val="bottom"/>
            <w:tcBorders>
              <w:top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reference to the Company’s Current Report on Form 8-K as filed with the Commission on February 20, 2020.)</w:t>
              </w:r>
            </w:hyperlink>
          </w:p>
        </w:tc>
        <w:tc>
          <w:tcPr>
            <w:tcW w:w="200" w:type="dxa"/>
            <w:vAlign w:val="bottom"/>
            <w:tcBorders>
              <w:top w:val="single" w:sz="8" w:color="CCEEFF"/>
            </w:tcBorders>
            <w:gridSpan w:val="4"/>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0060" w:type="dxa"/>
            <w:vAlign w:val="bottom"/>
            <w:tcBorders>
              <w:bottom w:val="single" w:sz="8" w:color="0000EE"/>
            </w:tcBorders>
            <w:gridSpan w:val="21"/>
            <w:shd w:val="clear" w:color="auto" w:fill="CCEEFF"/>
          </w:tcPr>
          <w:p>
            <w:pPr>
              <w:spacing w:after="0" w:line="17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Master Services Agreement, effective as of March 12, 2020, by and between Galectin Therapeutics, Inc. and Covance Inc. (Incorporated by</w:t>
              </w:r>
            </w:hyperlink>
          </w:p>
        </w:tc>
        <w:tc>
          <w:tcPr>
            <w:tcW w:w="40" w:type="dxa"/>
            <w:vAlign w:val="bottom"/>
            <w:tcBorders>
              <w:bottom w:val="single" w:sz="8" w:color="CCEEFF"/>
            </w:tcBorders>
            <w:shd w:val="clear" w:color="auto" w:fill="CCEEFF"/>
          </w:tcPr>
          <w:p>
            <w:pPr>
              <w:spacing w:after="0"/>
              <w:rPr>
                <w:sz w:val="15"/>
                <w:szCs w:val="15"/>
                <w:color w:val="auto"/>
              </w:rPr>
            </w:pPr>
          </w:p>
        </w:tc>
      </w:tr>
      <w:tr>
        <w:trPr>
          <w:trHeight w:val="216"/>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reference to the Company’s Current Report on Form 8-K as filed with the Commission on March 17, 2020.)</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010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Work Order, dated as of March 12, 2020, by and between Galectin Therapeutics, Inc. and Covance Clinical Research Unit Inc.</w:t>
              </w:r>
            </w:hyperlink>
          </w:p>
        </w:tc>
      </w:tr>
      <w:tr>
        <w:trPr>
          <w:trHeight w:val="217"/>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100" w:type="dxa"/>
            <w:vAlign w:val="bottom"/>
            <w:tcBorders>
              <w:top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(Incorporated by reference to the Company’s Current Report on Form 8-K as filed with the Commission on March 17, 2020.)</w:t>
              </w:r>
            </w:hyperlink>
          </w:p>
        </w:tc>
        <w:tc>
          <w:tcPr>
            <w:tcW w:w="1000" w:type="dxa"/>
            <w:vAlign w:val="bottom"/>
            <w:tcBorders>
              <w:top w:val="single" w:sz="8" w:color="CCEEFF"/>
            </w:tcBorders>
            <w:gridSpan w:val="10"/>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966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Work Order, dated as of June 22, 2020, by and between Galectin Therapeutics Inc. and Covance Inc. (Incorporated by reference to the</w:t>
              </w:r>
            </w:hyperlink>
          </w:p>
        </w:tc>
        <w:tc>
          <w:tcPr>
            <w:tcW w:w="440" w:type="dxa"/>
            <w:vAlign w:val="bottom"/>
            <w:tcBorders>
              <w:bottom w:val="single" w:sz="8" w:color="CCEEFF"/>
            </w:tcBorders>
            <w:gridSpan w:val="7"/>
            <w:shd w:val="clear" w:color="auto" w:fill="CCEEFF"/>
          </w:tcPr>
          <w:p>
            <w:pPr>
              <w:spacing w:after="0"/>
              <w:rPr>
                <w:sz w:val="15"/>
                <w:szCs w:val="15"/>
                <w:color w:val="auto"/>
              </w:rPr>
            </w:pPr>
          </w:p>
        </w:tc>
      </w:tr>
      <w:tr>
        <w:trPr>
          <w:trHeight w:val="216"/>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Company’s Current Report on Form 8-K as filed with the Commission on June 26, 2020.)</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1010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Convertible Promissory Note, dated April 16, 2021 (Incorporated by reference to the Company’s Current Report on Form 8-K as filed with</w:t>
              </w:r>
            </w:hyperlink>
          </w:p>
        </w:tc>
      </w:tr>
      <w:tr>
        <w:trPr>
          <w:trHeight w:val="217"/>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60" w:type="dxa"/>
            <w:vAlign w:val="bottom"/>
            <w:tcBorders>
              <w:top w:val="single" w:sz="8" w:color="0000EE"/>
            </w:tcBorders>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the Commission on April 19, 2021.)</w:t>
              </w:r>
            </w:hyperlink>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978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Loan Agreement, dated September 17, 2021 (Incorporated by reference to the Company’s Current Report on Form 8-K as filed with the</w:t>
              </w:r>
            </w:hyperlink>
          </w:p>
        </w:tc>
        <w:tc>
          <w:tcPr>
            <w:tcW w:w="320" w:type="dxa"/>
            <w:vAlign w:val="bottom"/>
            <w:tcBorders>
              <w:bottom w:val="single" w:sz="8" w:color="CCEEFF"/>
            </w:tcBorders>
            <w:gridSpan w:val="6"/>
            <w:shd w:val="clear" w:color="auto" w:fill="CCEEFF"/>
          </w:tcPr>
          <w:p>
            <w:pPr>
              <w:spacing w:after="0"/>
              <w:rPr>
                <w:sz w:val="15"/>
                <w:szCs w:val="15"/>
                <w:color w:val="auto"/>
              </w:rPr>
            </w:pPr>
          </w:p>
        </w:tc>
      </w:tr>
      <w:tr>
        <w:trPr>
          <w:trHeight w:val="217"/>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Commission on September 21, 2021.)</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1000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Unsecured Convertible Promissory Note, dated September 17, 2021 (Incorporated by reference to the Company’s Current Report on Form</w:t>
              </w:r>
            </w:hyperlink>
          </w:p>
        </w:tc>
        <w:tc>
          <w:tcPr>
            <w:tcW w:w="100" w:type="dxa"/>
            <w:vAlign w:val="bottom"/>
            <w:tcBorders>
              <w:bottom w:val="single" w:sz="8" w:color="CCEEFF"/>
            </w:tcBorders>
            <w:gridSpan w:val="2"/>
            <w:shd w:val="clear" w:color="auto" w:fill="CCEEFF"/>
          </w:tcPr>
          <w:p>
            <w:pPr>
              <w:spacing w:after="0"/>
              <w:rPr>
                <w:sz w:val="15"/>
                <w:szCs w:val="15"/>
                <w:color w:val="auto"/>
              </w:rPr>
            </w:pPr>
          </w:p>
        </w:tc>
      </w:tr>
      <w:tr>
        <w:trPr>
          <w:trHeight w:val="216"/>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8-K as filed with the Commission on September 21, 2021.)</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998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Unsecured Convertible Promissory Note, dated December 20, 2021 (Incorporated by reference to the Company’s Current Report on Form</w:t>
              </w:r>
            </w:hyperlink>
          </w:p>
        </w:tc>
        <w:tc>
          <w:tcPr>
            <w:tcW w:w="120" w:type="dxa"/>
            <w:vAlign w:val="bottom"/>
            <w:tcBorders>
              <w:bottom w:val="single" w:sz="8" w:color="CCEEFF"/>
            </w:tcBorders>
            <w:gridSpan w:val="3"/>
            <w:shd w:val="clear" w:color="auto" w:fill="CCEEFF"/>
          </w:tcPr>
          <w:p>
            <w:pPr>
              <w:spacing w:after="0"/>
              <w:rPr>
                <w:sz w:val="15"/>
                <w:szCs w:val="15"/>
                <w:color w:val="auto"/>
              </w:rPr>
            </w:pPr>
          </w:p>
        </w:tc>
      </w:tr>
      <w:tr>
        <w:trPr>
          <w:trHeight w:val="216"/>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8-K as filed with the Commission on December 21, 2021.)</w:t>
              </w:r>
            </w:hyperlink>
          </w:p>
        </w:tc>
      </w:tr>
      <w:tr>
        <w:trPr>
          <w:trHeight w:val="571"/>
        </w:trPr>
        <w:tc>
          <w:tcPr>
            <w:tcW w:w="32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4220" w:type="dxa"/>
            <w:vAlign w:val="bottom"/>
            <w:tcBorders>
              <w:top w:val="single" w:sz="8" w:color="0000EE"/>
            </w:tcBorders>
            <w:gridSpan w:val="4"/>
          </w:tcPr>
          <w:p>
            <w:pPr>
              <w:spacing w:after="0"/>
              <w:rPr>
                <w:sz w:val="24"/>
                <w:szCs w:val="24"/>
                <w:color w:val="auto"/>
              </w:rPr>
            </w:pPr>
          </w:p>
        </w:tc>
        <w:tc>
          <w:tcPr>
            <w:tcW w:w="2300" w:type="dxa"/>
            <w:vAlign w:val="bottom"/>
            <w:tcBorders>
              <w:top w:val="single" w:sz="8" w:color="CCEEFF"/>
            </w:tcBorders>
            <w:gridSpan w:val="2"/>
          </w:tcPr>
          <w:p>
            <w:pPr>
              <w:jc w:val="right"/>
              <w:ind w:right="1960"/>
              <w:spacing w:after="0"/>
              <w:rPr>
                <w:sz w:val="20"/>
                <w:szCs w:val="20"/>
                <w:color w:val="auto"/>
              </w:rPr>
            </w:pPr>
            <w:r>
              <w:rPr>
                <w:rFonts w:ascii="Times New Roman" w:cs="Times New Roman" w:eastAsia="Times New Roman" w:hAnsi="Times New Roman"/>
                <w:sz w:val="14"/>
                <w:szCs w:val="14"/>
                <w:color w:val="auto"/>
              </w:rPr>
              <w:t>56</w:t>
            </w:r>
          </w:p>
        </w:tc>
        <w:tc>
          <w:tcPr>
            <w:tcW w:w="36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r>
      <w:tr>
        <w:trPr>
          <w:trHeight w:val="44"/>
        </w:trPr>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30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63"/>
        </w:trPr>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0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8"/>
        </w:trPr>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020" w:type="dxa"/>
            <w:vAlign w:val="bottom"/>
          </w:tcPr>
          <w:p>
            <w:pPr>
              <w:spacing w:after="0"/>
              <w:rPr>
                <w:sz w:val="20"/>
                <w:szCs w:val="20"/>
                <w:color w:val="auto"/>
              </w:rPr>
            </w:pPr>
          </w:p>
        </w:tc>
        <w:tc>
          <w:tcPr>
            <w:tcW w:w="7080" w:type="dxa"/>
            <w:vAlign w:val="bottom"/>
            <w:gridSpan w:val="4"/>
          </w:tcPr>
          <w:p>
            <w:pPr>
              <w:ind w:left="108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010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Subsidiaries of Galectin Therapeutics Inc.</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20" w:type="dxa"/>
            <w:vAlign w:val="bottom"/>
            <w:tcBorders>
              <w:top w:val="single" w:sz="8" w:color="0000EE"/>
            </w:tcBorders>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10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Consent of Cherry Bekaert LLP, an independent registered public accounting firm.</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20" w:type="dxa"/>
            <w:vAlign w:val="bottom"/>
            <w:tcBorders>
              <w:top w:val="single" w:sz="8" w:color="0000EE"/>
            </w:tcBorders>
          </w:tcPr>
          <w:p>
            <w:pPr>
              <w:spacing w:after="0"/>
              <w:rPr>
                <w:sz w:val="18"/>
                <w:szCs w:val="18"/>
                <w:color w:val="auto"/>
              </w:rPr>
            </w:pPr>
          </w:p>
        </w:tc>
        <w:tc>
          <w:tcPr>
            <w:tcW w:w="28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10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Certification Pursuant to Rule 13a-14(a) of the Securities Exchange Act of 1934.</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20" w:type="dxa"/>
            <w:vAlign w:val="bottom"/>
            <w:tcBorders>
              <w:top w:val="single" w:sz="8" w:color="0000EE"/>
            </w:tcBorders>
          </w:tcPr>
          <w:p>
            <w:pPr>
              <w:spacing w:after="0"/>
              <w:rPr>
                <w:sz w:val="18"/>
                <w:szCs w:val="18"/>
                <w:color w:val="auto"/>
              </w:rPr>
            </w:pPr>
          </w:p>
        </w:tc>
        <w:tc>
          <w:tcPr>
            <w:tcW w:w="28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010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Certification Pursuant to Rule 13a-14(a) of the Securities Exchange Act of 1934.</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20" w:type="dxa"/>
            <w:vAlign w:val="bottom"/>
            <w:tcBorders>
              <w:top w:val="single" w:sz="8" w:color="0000EE"/>
            </w:tcBorders>
          </w:tcPr>
          <w:p>
            <w:pPr>
              <w:spacing w:after="0"/>
              <w:rPr>
                <w:sz w:val="18"/>
                <w:szCs w:val="18"/>
                <w:color w:val="auto"/>
              </w:rPr>
            </w:pPr>
          </w:p>
        </w:tc>
        <w:tc>
          <w:tcPr>
            <w:tcW w:w="28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010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Certification Pursuant to 18 U.S.C. Section 1350, as Adopted Pursuant to Section 906 of the Sarbanes-Oxley Act of 2002.</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20" w:type="dxa"/>
            <w:vAlign w:val="bottom"/>
            <w:tcBorders>
              <w:top w:val="single" w:sz="8" w:color="0000EE"/>
            </w:tcBorders>
          </w:tcPr>
          <w:p>
            <w:pPr>
              <w:spacing w:after="0"/>
              <w:rPr>
                <w:sz w:val="18"/>
                <w:szCs w:val="18"/>
                <w:color w:val="auto"/>
              </w:rPr>
            </w:pPr>
          </w:p>
        </w:tc>
        <w:tc>
          <w:tcPr>
            <w:tcW w:w="28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40" w:type="dxa"/>
            <w:vAlign w:val="bottom"/>
            <w:tcBorders>
              <w:top w:val="single" w:sz="8" w:color="0000EE"/>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010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Certification Pursuant to 18 U.S.C. Section 1350, as Adopted Pursuant to Section 906 of the Sarbanes-Oxley Act of 2002.</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20" w:type="dxa"/>
            <w:vAlign w:val="bottom"/>
            <w:tcBorders>
              <w:top w:val="single" w:sz="8" w:color="0000EE"/>
            </w:tcBorders>
          </w:tcPr>
          <w:p>
            <w:pPr>
              <w:spacing w:after="0"/>
              <w:rPr>
                <w:sz w:val="18"/>
                <w:szCs w:val="18"/>
                <w:color w:val="auto"/>
              </w:rPr>
            </w:pPr>
          </w:p>
        </w:tc>
        <w:tc>
          <w:tcPr>
            <w:tcW w:w="28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40" w:type="dxa"/>
            <w:vAlign w:val="bottom"/>
            <w:tcBorders>
              <w:top w:val="single" w:sz="8" w:color="0000EE"/>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r>
      <w:tr>
        <w:trPr>
          <w:trHeight w:val="198"/>
        </w:trPr>
        <w:tc>
          <w:tcPr>
            <w:tcW w:w="11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r>
      <w:tr>
        <w:trPr>
          <w:trHeight w:val="234"/>
        </w:trPr>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ind w:left="1140" w:right="500" w:hanging="1132"/>
        <w:spacing w:after="0" w:line="28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for the Company’s Annual Report on Form 10-K for the year ended December 31, 2021, has been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left="440" w:hanging="432"/>
        <w:spacing w:after="0"/>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440" w:hanging="432"/>
        <w:spacing w:after="0"/>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“filed” for purposes of Section 18 of the Securities Exchange Act of 1934, as amended.</w:t>
      </w:r>
    </w:p>
    <w:p>
      <w:pPr>
        <w:spacing w:after="0" w:line="9" w:lineRule="exact"/>
        <w:rPr>
          <w:sz w:val="20"/>
          <w:szCs w:val="20"/>
          <w:color w:val="auto"/>
        </w:rPr>
      </w:pPr>
    </w:p>
    <w:p>
      <w:pPr>
        <w:ind w:left="440" w:right="240" w:hanging="432"/>
        <w:spacing w:after="0" w:line="250" w:lineRule="auto"/>
        <w:tabs>
          <w:tab w:leader="none" w:pos="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Galectin Therapeutics, Inc. has requested confidential treatment with respect to portions of this exhibit. Those portions have been omitted from the exhibit and filed separately with the U.S. Securities and Exchange Commission.</w:t>
      </w:r>
    </w:p>
    <w:p>
      <w:pPr>
        <w:spacing w:after="0" w:line="1" w:lineRule="exact"/>
        <w:rPr>
          <w:sz w:val="20"/>
          <w:szCs w:val="20"/>
          <w:color w:val="auto"/>
        </w:rPr>
      </w:pPr>
    </w:p>
    <w:p>
      <w:pPr>
        <w:ind w:left="440" w:hanging="432"/>
        <w:spacing w:after="0"/>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Compensation Arrangement pursuant to 601(b)(10)(iii)(A) of Regulation S-K</w:t>
      </w:r>
    </w:p>
    <w:p>
      <w:pPr>
        <w:spacing w:after="0" w:line="20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0" w:name="page61"/>
    <w:bookmarkEnd w:id="6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March 31, 2022.</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GALECTIN THERAPEUTICS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JOEL LEWIS.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Executive Officer and President</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6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00" w:type="dxa"/>
            <w:vAlign w:val="bottom"/>
          </w:tcPr>
          <w:p>
            <w:pPr>
              <w:spacing w:after="0"/>
              <w:rPr>
                <w:sz w:val="21"/>
                <w:szCs w:val="21"/>
                <w:color w:val="auto"/>
              </w:rPr>
            </w:pPr>
          </w:p>
        </w:tc>
        <w:tc>
          <w:tcPr>
            <w:tcW w:w="5080" w:type="dxa"/>
            <w:vAlign w:val="bottom"/>
            <w:tcBorders>
              <w:bottom w:val="single" w:sz="8" w:color="auto"/>
            </w:tcBorders>
          </w:tcPr>
          <w:p>
            <w:pPr>
              <w:jc w:val="right"/>
              <w:ind w:right="229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20" w:type="dxa"/>
            <w:vAlign w:val="bottom"/>
          </w:tcPr>
          <w:p>
            <w:pPr>
              <w:spacing w:after="0"/>
              <w:rPr>
                <w:sz w:val="21"/>
                <w:szCs w:val="21"/>
                <w:color w:val="auto"/>
              </w:rPr>
            </w:pPr>
          </w:p>
        </w:tc>
        <w:tc>
          <w:tcPr>
            <w:tcW w:w="16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52"/>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JOEL LEWIS</w:t>
            </w: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31, 2022</w:t>
            </w: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Joel Lewis</w:t>
            </w:r>
          </w:p>
        </w:tc>
        <w:tc>
          <w:tcPr>
            <w:tcW w:w="518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color w:val="auto"/>
              </w:rPr>
              <w:t>(principal executive officer)</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4"/>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JACK W. CALLICUTT</w:t>
            </w: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31, 2022</w:t>
            </w: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518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4"/>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E. UIHLEIN</w:t>
            </w: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 and Chairman of the Board</w:t>
            </w: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31, 2022</w:t>
            </w: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Richard E. Uihlein</w:t>
            </w:r>
          </w:p>
        </w:tc>
        <w:tc>
          <w:tcPr>
            <w:tcW w:w="1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4"/>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GILBERT F. AMELIO, Ph.D.</w:t>
            </w: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31, 2022</w:t>
            </w: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Gilbert F. Amelio, Ph.D.</w:t>
            </w:r>
          </w:p>
        </w:tc>
        <w:tc>
          <w:tcPr>
            <w:tcW w:w="1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4"/>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C. CZIRR</w:t>
            </w: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31, 2022</w:t>
            </w: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James C. Czirr</w:t>
            </w:r>
          </w:p>
        </w:tc>
        <w:tc>
          <w:tcPr>
            <w:tcW w:w="1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4"/>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KARY ELDRED</w:t>
            </w: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31, 2022</w:t>
            </w: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Kary Eldred</w:t>
            </w:r>
          </w:p>
        </w:tc>
        <w:tc>
          <w:tcPr>
            <w:tcW w:w="1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4"/>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D. FREEMAN</w:t>
            </w: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31, 2022</w:t>
            </w: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Kevin D. Freeman</w:t>
            </w:r>
          </w:p>
        </w:tc>
        <w:tc>
          <w:tcPr>
            <w:tcW w:w="1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4"/>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GILBERT S. OMENN, M.D., Ph.D.</w:t>
            </w: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31, 2022</w:t>
            </w: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Gilbert S. Omenn, M.D., Ph.D.</w:t>
            </w:r>
          </w:p>
        </w:tc>
        <w:tc>
          <w:tcPr>
            <w:tcW w:w="1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4"/>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MARC RUBIN, M.D.</w:t>
            </w: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31, 2022</w:t>
            </w: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Marc Rubin, M.D.</w:t>
            </w:r>
          </w:p>
        </w:tc>
        <w:tc>
          <w:tcPr>
            <w:tcW w:w="1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4"/>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ELISSA J. SCHWARTZ, Ph.D.</w:t>
            </w: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31, 2022</w:t>
            </w: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Elissa J. Schwartz, Ph.D.</w:t>
            </w:r>
          </w:p>
        </w:tc>
        <w:tc>
          <w:tcPr>
            <w:tcW w:w="1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4"/>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HAROLD H. SHLEVIN, Ph.D.</w:t>
            </w: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31, 2022</w:t>
            </w: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Harold H. Shlevin, Ph.D.</w:t>
            </w:r>
          </w:p>
        </w:tc>
        <w:tc>
          <w:tcPr>
            <w:tcW w:w="1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4"/>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A. ZORDANI</w:t>
            </w:r>
          </w:p>
        </w:tc>
        <w:tc>
          <w:tcPr>
            <w:tcW w:w="100" w:type="dxa"/>
            <w:vAlign w:val="bottom"/>
            <w:tcBorders>
              <w:bottom w:val="single" w:sz="8" w:color="auto"/>
            </w:tcBorders>
          </w:tcPr>
          <w:p>
            <w:pPr>
              <w:spacing w:after="0"/>
              <w:rPr>
                <w:sz w:val="24"/>
                <w:szCs w:val="24"/>
                <w:color w:val="auto"/>
              </w:rPr>
            </w:pPr>
          </w:p>
        </w:tc>
        <w:tc>
          <w:tcPr>
            <w:tcW w:w="5080" w:type="dxa"/>
            <w:vAlign w:val="bottom"/>
          </w:tcPr>
          <w:p>
            <w:pPr>
              <w:jc w:val="right"/>
              <w:ind w:right="425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31, 2022</w:t>
            </w: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Richard A. Zordani</w:t>
            </w:r>
          </w:p>
        </w:tc>
        <w:tc>
          <w:tcPr>
            <w:tcW w:w="1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552"/>
        </w:trPr>
        <w:tc>
          <w:tcPr>
            <w:tcW w:w="4260" w:type="dxa"/>
            <w:vAlign w:val="bottom"/>
          </w:tcPr>
          <w:p>
            <w:pPr>
              <w:spacing w:after="0"/>
              <w:rPr>
                <w:sz w:val="24"/>
                <w:szCs w:val="24"/>
                <w:color w:val="auto"/>
              </w:rPr>
            </w:pPr>
          </w:p>
        </w:tc>
        <w:tc>
          <w:tcPr>
            <w:tcW w:w="5180" w:type="dxa"/>
            <w:vAlign w:val="bottom"/>
            <w:gridSpan w:val="2"/>
          </w:tcPr>
          <w:p>
            <w:pPr>
              <w:jc w:val="right"/>
              <w:ind w:right="3650"/>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4"/>
        </w:trPr>
        <w:tc>
          <w:tcPr>
            <w:tcW w:w="4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61" w:name="page62"/>
    <w:bookmarkEnd w:id="6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Galectin Therapeutics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1.</w:t>
            </w:r>
          </w:p>
        </w:tc>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 (PCAOB ID 677)</w:t>
            </w:r>
          </w:p>
        </w:tc>
        <w:tc>
          <w:tcPr>
            <w:tcW w:w="226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w w:val="87"/>
              </w:rPr>
              <w:t>F-1</w:t>
            </w:r>
          </w:p>
        </w:tc>
      </w:tr>
      <w:tr>
        <w:trPr>
          <w:trHeight w:val="216"/>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2.</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Balance Sheets as of December 31, 2021 and 2020</w:t>
            </w:r>
          </w:p>
        </w:tc>
        <w:tc>
          <w:tcPr>
            <w:tcW w:w="2260" w:type="dxa"/>
            <w:vAlign w:val="bottom"/>
          </w:tcPr>
          <w:p>
            <w:pPr>
              <w:ind w:left="2020"/>
              <w:spacing w:after="0"/>
              <w:rPr>
                <w:sz w:val="20"/>
                <w:szCs w:val="20"/>
                <w:color w:val="auto"/>
              </w:rPr>
            </w:pPr>
            <w:r>
              <w:rPr>
                <w:rFonts w:ascii="Times New Roman" w:cs="Times New Roman" w:eastAsia="Times New Roman" w:hAnsi="Times New Roman"/>
                <w:sz w:val="18"/>
                <w:szCs w:val="18"/>
                <w:color w:val="auto"/>
                <w:w w:val="87"/>
              </w:rPr>
              <w:t>F-4</w:t>
            </w:r>
          </w:p>
        </w:tc>
      </w:tr>
      <w:tr>
        <w:trPr>
          <w:trHeight w:val="216"/>
        </w:trPr>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3.</w:t>
            </w:r>
          </w:p>
        </w:tc>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2021 and 2020</w:t>
            </w:r>
          </w:p>
        </w:tc>
        <w:tc>
          <w:tcPr>
            <w:tcW w:w="226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w w:val="87"/>
              </w:rPr>
              <w:t>F-5</w:t>
            </w:r>
          </w:p>
        </w:tc>
      </w:tr>
    </w:tbl>
    <w:p>
      <w:pPr>
        <w:ind w:left="580" w:hanging="572"/>
        <w:spacing w:after="0"/>
        <w:tabs>
          <w:tab w:leader="none" w:pos="5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Changes in Redeemable Convertible Preferred Stock and Stockholders’ Equity (Deficit) for the years ended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8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December 31, 2021 and 2020</w:t>
            </w:r>
          </w:p>
        </w:tc>
        <w:tc>
          <w:tcPr>
            <w:tcW w:w="222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87"/>
              </w:rPr>
              <w:t>F-6</w:t>
            </w:r>
          </w:p>
        </w:tc>
      </w:tr>
      <w:tr>
        <w:trPr>
          <w:trHeight w:val="216"/>
        </w:trPr>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5.</w:t>
            </w:r>
          </w:p>
        </w:tc>
        <w:tc>
          <w:tcPr>
            <w:tcW w:w="8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2021 and 2020</w:t>
            </w:r>
          </w:p>
        </w:tc>
        <w:tc>
          <w:tcPr>
            <w:tcW w:w="222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w w:val="87"/>
              </w:rPr>
              <w:t>F-8</w:t>
            </w:r>
          </w:p>
        </w:tc>
      </w:tr>
      <w:tr>
        <w:trPr>
          <w:trHeight w:val="234"/>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6.</w:t>
            </w:r>
          </w:p>
        </w:tc>
        <w:tc>
          <w:tcPr>
            <w:tcW w:w="8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222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87"/>
              </w:rPr>
              <w:t>F-9</w:t>
            </w:r>
          </w:p>
        </w:tc>
      </w:tr>
      <w:tr>
        <w:trPr>
          <w:trHeight w:val="552"/>
        </w:trPr>
        <w:tc>
          <w:tcPr>
            <w:tcW w:w="360" w:type="dxa"/>
            <w:vAlign w:val="bottom"/>
          </w:tcPr>
          <w:p>
            <w:pPr>
              <w:spacing w:after="0"/>
              <w:rPr>
                <w:sz w:val="24"/>
                <w:szCs w:val="24"/>
                <w:color w:val="auto"/>
              </w:rPr>
            </w:pPr>
          </w:p>
        </w:tc>
        <w:tc>
          <w:tcPr>
            <w:tcW w:w="8660" w:type="dxa"/>
            <w:vAlign w:val="bottom"/>
          </w:tcPr>
          <w:p>
            <w:pPr>
              <w:jc w:val="right"/>
              <w:ind w:right="3235"/>
              <w:spacing w:after="0"/>
              <w:rPr>
                <w:sz w:val="20"/>
                <w:szCs w:val="20"/>
                <w:color w:val="auto"/>
              </w:rPr>
            </w:pPr>
            <w:r>
              <w:rPr>
                <w:rFonts w:ascii="Times New Roman" w:cs="Times New Roman" w:eastAsia="Times New Roman" w:hAnsi="Times New Roman"/>
                <w:sz w:val="14"/>
                <w:szCs w:val="14"/>
                <w:color w:val="auto"/>
              </w:rPr>
              <w:t>59</w:t>
            </w:r>
          </w:p>
        </w:tc>
        <w:tc>
          <w:tcPr>
            <w:tcW w:w="2220" w:type="dxa"/>
            <w:vAlign w:val="bottom"/>
          </w:tcPr>
          <w:p>
            <w:pPr>
              <w:spacing w:after="0"/>
              <w:rPr>
                <w:sz w:val="24"/>
                <w:szCs w:val="24"/>
                <w:color w:val="auto"/>
              </w:rPr>
            </w:pPr>
          </w:p>
        </w:tc>
      </w:tr>
      <w:tr>
        <w:trPr>
          <w:trHeight w:val="44"/>
        </w:trPr>
        <w:tc>
          <w:tcPr>
            <w:tcW w:w="360" w:type="dxa"/>
            <w:vAlign w:val="bottom"/>
            <w:tcBorders>
              <w:bottom w:val="single" w:sz="8" w:color="auto"/>
            </w:tcBorders>
          </w:tcPr>
          <w:p>
            <w:pPr>
              <w:spacing w:after="0"/>
              <w:rPr>
                <w:sz w:val="3"/>
                <w:szCs w:val="3"/>
                <w:color w:val="auto"/>
              </w:rPr>
            </w:pPr>
          </w:p>
        </w:tc>
        <w:tc>
          <w:tcPr>
            <w:tcW w:w="866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62" w:name="page63"/>
    <w:bookmarkEnd w:id="6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Board of Directors and Stockholders Galectin Therapeutics Inc.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Galectin Therapeutics Inc. and Subsidiaries (the “Company”) as of December 31, 2021 and 2020, and the related consolidated statements of operations, changes in redeemable convertible preferred stock and stockholders’ equity (deficit), and cash flows for each of the years then ended, and the related notes (collectively referred to as the “consolidated financial statements”).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2021 and 2020, and the results of its operations and its cash flows for each of the years then ended,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40" w:type="dxa"/>
            <w:vAlign w:val="bottom"/>
          </w:tcPr>
          <w:p>
            <w:pPr>
              <w:spacing w:after="0"/>
              <w:rPr>
                <w:sz w:val="20"/>
                <w:szCs w:val="20"/>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tc>
      </w:tr>
      <w:tr>
        <w:trPr>
          <w:trHeight w:val="414"/>
        </w:trPr>
        <w:tc>
          <w:tcPr>
            <w:tcW w:w="1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Description of Matter</w:t>
            </w: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 described further in Note 1 to the consolidated financial statements, the Company has incurred losses each year from</w:t>
            </w:r>
          </w:p>
        </w:tc>
      </w:tr>
      <w:tr>
        <w:trPr>
          <w:trHeight w:val="216"/>
        </w:trPr>
        <w:tc>
          <w:tcPr>
            <w:tcW w:w="1740" w:type="dxa"/>
            <w:vAlign w:val="bottom"/>
          </w:tcPr>
          <w:p>
            <w:pPr>
              <w:spacing w:after="0"/>
              <w:rPr>
                <w:sz w:val="18"/>
                <w:szCs w:val="18"/>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inception through December 31, 2021, and expects to incur additional losses in the foreseeable future. Currently, management’s</w:t>
            </w:r>
          </w:p>
        </w:tc>
      </w:tr>
      <w:tr>
        <w:trPr>
          <w:trHeight w:val="216"/>
        </w:trPr>
        <w:tc>
          <w:tcPr>
            <w:tcW w:w="1740" w:type="dxa"/>
            <w:vAlign w:val="bottom"/>
          </w:tcPr>
          <w:p>
            <w:pPr>
              <w:spacing w:after="0"/>
              <w:rPr>
                <w:sz w:val="18"/>
                <w:szCs w:val="18"/>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forecasts and related assumptions illustrate the Company’s ability to sufficiently fund operations and satisfy the Company’s</w:t>
            </w:r>
          </w:p>
        </w:tc>
      </w:tr>
      <w:tr>
        <w:trPr>
          <w:trHeight w:val="234"/>
        </w:trPr>
        <w:tc>
          <w:tcPr>
            <w:tcW w:w="1740" w:type="dxa"/>
            <w:vAlign w:val="bottom"/>
          </w:tcPr>
          <w:p>
            <w:pPr>
              <w:spacing w:after="0"/>
              <w:rPr>
                <w:sz w:val="20"/>
                <w:szCs w:val="20"/>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obligations as they come due for at least one year from the financial statement issuance date.</w:t>
            </w:r>
          </w:p>
        </w:tc>
      </w:tr>
      <w:tr>
        <w:trPr>
          <w:trHeight w:val="414"/>
        </w:trPr>
        <w:tc>
          <w:tcPr>
            <w:tcW w:w="1740" w:type="dxa"/>
            <w:vAlign w:val="bottom"/>
          </w:tcPr>
          <w:p>
            <w:pPr>
              <w:spacing w:after="0"/>
              <w:rPr>
                <w:sz w:val="24"/>
                <w:szCs w:val="24"/>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Management made judgments to conclude that it is probable that the Company’s plans will be effectively implemented and will</w:t>
            </w:r>
          </w:p>
        </w:tc>
      </w:tr>
      <w:tr>
        <w:trPr>
          <w:trHeight w:val="216"/>
        </w:trPr>
        <w:tc>
          <w:tcPr>
            <w:tcW w:w="1740" w:type="dxa"/>
            <w:vAlign w:val="bottom"/>
          </w:tcPr>
          <w:p>
            <w:pPr>
              <w:spacing w:after="0"/>
              <w:rPr>
                <w:sz w:val="18"/>
                <w:szCs w:val="18"/>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provide the necessary cash flows to fund the Company’s obligations as they become due. The judgments with the highest degree</w:t>
            </w:r>
          </w:p>
        </w:tc>
      </w:tr>
      <w:tr>
        <w:trPr>
          <w:trHeight w:val="216"/>
        </w:trPr>
        <w:tc>
          <w:tcPr>
            <w:tcW w:w="1740" w:type="dxa"/>
            <w:vAlign w:val="bottom"/>
          </w:tcPr>
          <w:p>
            <w:pPr>
              <w:spacing w:after="0"/>
              <w:rPr>
                <w:sz w:val="18"/>
                <w:szCs w:val="18"/>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 impact and subjectivity in reaching this conclusion included management’s estimates of research and development clinical</w:t>
            </w:r>
          </w:p>
        </w:tc>
      </w:tr>
      <w:tr>
        <w:trPr>
          <w:trHeight w:val="216"/>
        </w:trPr>
        <w:tc>
          <w:tcPr>
            <w:tcW w:w="1740" w:type="dxa"/>
            <w:vAlign w:val="bottom"/>
          </w:tcPr>
          <w:p>
            <w:pPr>
              <w:spacing w:after="0"/>
              <w:rPr>
                <w:sz w:val="18"/>
                <w:szCs w:val="18"/>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trial costs and other general and administrative costs. As a result, a high degree of auditor judgment and increased audit effort</w:t>
            </w:r>
          </w:p>
        </w:tc>
      </w:tr>
      <w:tr>
        <w:trPr>
          <w:trHeight w:val="234"/>
        </w:trPr>
        <w:tc>
          <w:tcPr>
            <w:tcW w:w="1740" w:type="dxa"/>
            <w:vAlign w:val="bottom"/>
          </w:tcPr>
          <w:p>
            <w:pPr>
              <w:spacing w:after="0"/>
              <w:rPr>
                <w:sz w:val="20"/>
                <w:szCs w:val="20"/>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was required in performing audit procedures to evaluate the reasonableness of management’s estimates.</w:t>
            </w:r>
          </w:p>
        </w:tc>
      </w:tr>
      <w:tr>
        <w:trPr>
          <w:trHeight w:val="412"/>
        </w:trPr>
        <w:tc>
          <w:tcPr>
            <w:tcW w:w="1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How We Addressed</w:t>
            </w: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Our audit procedures included the following:</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the Matter in Our</w:t>
            </w: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252525"/>
              </w:rPr>
              <w:t>•</w:t>
            </w:r>
          </w:p>
        </w:tc>
        <w:tc>
          <w:tcPr>
            <w:tcW w:w="8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Obtained an understanding of the internal controls and processes in place over the Company’s preparation of</w:t>
            </w:r>
          </w:p>
        </w:tc>
      </w:tr>
      <w:tr>
        <w:trPr>
          <w:trHeight w:val="218"/>
        </w:trPr>
        <w:tc>
          <w:tcPr>
            <w:tcW w:w="1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Audit</w:t>
            </w: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forecasted information and considerations of the Company’s obligations.</w:t>
            </w:r>
          </w:p>
        </w:tc>
      </w:tr>
      <w:tr>
        <w:trPr>
          <w:trHeight w:val="216"/>
        </w:trPr>
        <w:tc>
          <w:tcPr>
            <w:tcW w:w="1740" w:type="dxa"/>
            <w:vAlign w:val="bottom"/>
          </w:tcPr>
          <w:p>
            <w:pPr>
              <w:spacing w:after="0"/>
              <w:rPr>
                <w:sz w:val="18"/>
                <w:szCs w:val="18"/>
                <w:color w:val="auto"/>
              </w:rPr>
            </w:pP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252525"/>
              </w:rPr>
              <w:t>•</w:t>
            </w:r>
          </w:p>
        </w:tc>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We tested the reasonableness of the forecasted research and development expenses, operating expenses, and uses and</w:t>
            </w:r>
          </w:p>
        </w:tc>
      </w:tr>
      <w:tr>
        <w:trPr>
          <w:trHeight w:val="216"/>
        </w:trPr>
        <w:tc>
          <w:tcPr>
            <w:tcW w:w="1740" w:type="dxa"/>
            <w:vAlign w:val="bottom"/>
          </w:tcPr>
          <w:p>
            <w:pPr>
              <w:spacing w:after="0"/>
              <w:rPr>
                <w:sz w:val="18"/>
                <w:szCs w:val="18"/>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sources of cash used in management’s assessment of whether the Company has sufficient liquidity to fund operations for at least</w:t>
            </w:r>
          </w:p>
        </w:tc>
      </w:tr>
      <w:tr>
        <w:trPr>
          <w:trHeight w:val="234"/>
        </w:trPr>
        <w:tc>
          <w:tcPr>
            <w:tcW w:w="1740" w:type="dxa"/>
            <w:vAlign w:val="bottom"/>
          </w:tcPr>
          <w:p>
            <w:pPr>
              <w:spacing w:after="0"/>
              <w:rPr>
                <w:sz w:val="20"/>
                <w:szCs w:val="20"/>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one year from the financial statement issuance date. This testing included inquiries with management, comparison of prior period</w:t>
            </w:r>
          </w:p>
        </w:tc>
      </w:tr>
    </w:tbl>
    <w:p>
      <w:pPr>
        <w:jc w:val="both"/>
        <w:ind w:left="1920"/>
        <w:spacing w:after="0" w:line="253" w:lineRule="auto"/>
        <w:rPr>
          <w:sz w:val="20"/>
          <w:szCs w:val="20"/>
          <w:color w:val="auto"/>
        </w:rPr>
      </w:pPr>
      <w:r>
        <w:rPr>
          <w:rFonts w:ascii="Times New Roman" w:cs="Times New Roman" w:eastAsia="Times New Roman" w:hAnsi="Times New Roman"/>
          <w:sz w:val="18"/>
          <w:szCs w:val="18"/>
          <w:color w:val="auto"/>
        </w:rPr>
        <w:t>forecasts to actual results, consideration of positive and negative evidence impacting management’s forecasts, the Company’s financing arrangements in place as of the report date, consideration of the Company’s relationships with its financing partners, performance of a sensitivity analysis of accelerated uses of cash, and creation of an independent estimate of expected future cash flows.</w:t>
      </w:r>
    </w:p>
    <w:p>
      <w:pPr>
        <w:sectPr>
          <w:pgSz w:w="11900" w:h="16838" w:orient="portrait"/>
          <w:cols w:equalWidth="0" w:num="1">
            <w:col w:w="11240"/>
          </w:cols>
          <w:pgMar w:left="320" w:top="116" w:right="33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161"/>
        </w:trPr>
        <w:tc>
          <w:tcPr>
            <w:tcW w:w="1740" w:type="dxa"/>
            <w:vAlign w:val="bottom"/>
            <w:gridSpan w:val="2"/>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7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5220" w:type="dxa"/>
            <w:vAlign w:val="bottom"/>
          </w:tcPr>
          <w:p>
            <w:pPr>
              <w:spacing w:after="0"/>
              <w:rPr>
                <w:sz w:val="13"/>
                <w:szCs w:val="13"/>
                <w:color w:val="auto"/>
              </w:rPr>
            </w:pPr>
          </w:p>
        </w:tc>
      </w:tr>
      <w:tr>
        <w:trPr>
          <w:trHeight w:val="385"/>
        </w:trPr>
        <w:tc>
          <w:tcPr>
            <w:tcW w:w="320" w:type="dxa"/>
            <w:vAlign w:val="bottom"/>
            <w:tcBorders>
              <w:top w:val="single" w:sz="8" w:color="0000EE"/>
            </w:tcBorders>
          </w:tcPr>
          <w:p>
            <w:pPr>
              <w:spacing w:after="0"/>
              <w:rPr>
                <w:sz w:val="24"/>
                <w:szCs w:val="24"/>
                <w:color w:val="auto"/>
              </w:rPr>
            </w:pPr>
          </w:p>
        </w:tc>
        <w:tc>
          <w:tcPr>
            <w:tcW w:w="1420" w:type="dxa"/>
            <w:vAlign w:val="bottom"/>
          </w:tcPr>
          <w:p>
            <w:pPr>
              <w:spacing w:after="0"/>
              <w:rPr>
                <w:sz w:val="24"/>
                <w:szCs w:val="24"/>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Valuation of Derivative Liabilities</w:t>
            </w:r>
          </w:p>
        </w:tc>
        <w:tc>
          <w:tcPr>
            <w:tcW w:w="5220" w:type="dxa"/>
            <w:vAlign w:val="bottom"/>
          </w:tcPr>
          <w:p>
            <w:pPr>
              <w:spacing w:after="0"/>
              <w:rPr>
                <w:sz w:val="24"/>
                <w:szCs w:val="24"/>
                <w:color w:val="auto"/>
              </w:rPr>
            </w:pPr>
          </w:p>
        </w:tc>
      </w:tr>
      <w:tr>
        <w:trPr>
          <w:trHeight w:val="414"/>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Description of Matter</w:t>
            </w:r>
          </w:p>
        </w:tc>
        <w:tc>
          <w:tcPr>
            <w:tcW w:w="9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As discussed in Note 5 to the consolidated financial statements, during the year ended December 31, 2021, the Company and a</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related party entered into three debt financing arrangements for a total of $30 million loaned to the Company. These</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arrangements include various conversion and other features, including a contingent interest component that has been bifurcated</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and recognized as a derivative liability. At December 31, 2021, the Company’s derivative liabilities related to the related party</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convertible notes payable totaled $1.1 million. As more fully described in Note 6 to the consolidated financial statements, the</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Company utilizes a Monte Carlo Geometric Brownian Stock Path Model in measuring the fair value of the derivative liabilities,</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which requires the use of estimates and assumptions. Auditing management’s valuations of the derivative liabilities was</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challenging due to the complexity of the valuation model and the inputs that are highly sensitive to changes such as the common</w:t>
            </w:r>
          </w:p>
        </w:tc>
      </w:tr>
      <w:tr>
        <w:trPr>
          <w:trHeight w:val="234"/>
        </w:trPr>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market price, volatility, risk free rates, and yields.</w:t>
            </w:r>
          </w:p>
        </w:tc>
        <w:tc>
          <w:tcPr>
            <w:tcW w:w="5220" w:type="dxa"/>
            <w:vAlign w:val="bottom"/>
          </w:tcPr>
          <w:p>
            <w:pPr>
              <w:spacing w:after="0"/>
              <w:rPr>
                <w:sz w:val="20"/>
                <w:szCs w:val="20"/>
                <w:color w:val="auto"/>
              </w:rPr>
            </w:pPr>
          </w:p>
        </w:tc>
      </w:tr>
      <w:tr>
        <w:trPr>
          <w:trHeight w:val="412"/>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How We Addressed</w:t>
            </w:r>
          </w:p>
        </w:tc>
        <w:tc>
          <w:tcPr>
            <w:tcW w:w="9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Our audit procedures included, among others, the following:</w:t>
            </w:r>
          </w:p>
        </w:tc>
      </w:tr>
      <w:tr>
        <w:trPr>
          <w:trHeight w:val="216"/>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the Matter in Our</w:t>
            </w:r>
          </w:p>
        </w:tc>
        <w:tc>
          <w:tcPr>
            <w:tcW w:w="95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Obtained an understanding of the internal controls and processes in place over the Company’s process used in</w:t>
            </w:r>
          </w:p>
        </w:tc>
      </w:tr>
      <w:tr>
        <w:trPr>
          <w:trHeight w:val="218"/>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Audit</w:t>
            </w: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determining the valuation of the derivative liabilities.</w:t>
            </w:r>
          </w:p>
        </w:tc>
        <w:tc>
          <w:tcPr>
            <w:tcW w:w="52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  Evaluated the Company’s use of the models used and tested the significant assumptions used in the models, as described</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above.</w:t>
            </w:r>
          </w:p>
        </w:tc>
        <w:tc>
          <w:tcPr>
            <w:tcW w:w="3500" w:type="dxa"/>
            <w:vAlign w:val="bottom"/>
          </w:tcPr>
          <w:p>
            <w:pPr>
              <w:spacing w:after="0"/>
              <w:rPr>
                <w:sz w:val="18"/>
                <w:szCs w:val="18"/>
                <w:color w:val="auto"/>
              </w:rPr>
            </w:pPr>
          </w:p>
        </w:tc>
        <w:tc>
          <w:tcPr>
            <w:tcW w:w="52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  We evaluated the completeness and accuracy of underlying data used in supporting the assumptions and estimates.</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  In addition, we involved valuation specialists to assist in assessing the significant assumptions and methodologies used by</w:t>
            </w:r>
          </w:p>
        </w:tc>
      </w:tr>
      <w:tr>
        <w:trPr>
          <w:trHeight w:val="234"/>
        </w:trPr>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Company.</w:t>
            </w:r>
          </w:p>
        </w:tc>
        <w:tc>
          <w:tcPr>
            <w:tcW w:w="5220" w:type="dxa"/>
            <w:vAlign w:val="bottom"/>
          </w:tcPr>
          <w:p>
            <w:pPr>
              <w:spacing w:after="0"/>
              <w:rPr>
                <w:sz w:val="20"/>
                <w:szCs w:val="20"/>
                <w:color w:val="auto"/>
              </w:rPr>
            </w:pPr>
          </w:p>
        </w:tc>
      </w:tr>
      <w:tr>
        <w:trPr>
          <w:trHeight w:val="432"/>
        </w:trPr>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Accrued and Prepaid Clinical Trial Expenses</w:t>
            </w:r>
          </w:p>
        </w:tc>
        <w:tc>
          <w:tcPr>
            <w:tcW w:w="5220" w:type="dxa"/>
            <w:vAlign w:val="bottom"/>
          </w:tcPr>
          <w:p>
            <w:pPr>
              <w:spacing w:after="0"/>
              <w:rPr>
                <w:sz w:val="24"/>
                <w:szCs w:val="24"/>
                <w:color w:val="auto"/>
              </w:rPr>
            </w:pPr>
          </w:p>
        </w:tc>
      </w:tr>
      <w:tr>
        <w:trPr>
          <w:trHeight w:val="414"/>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Description of Matter</w:t>
            </w:r>
          </w:p>
        </w:tc>
        <w:tc>
          <w:tcPr>
            <w:tcW w:w="9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The Company’s accrued expenses total approximately $7.2 million at December 31, 2021, which included the estimated</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obligation for clinical trial expenses incurred as of</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31, 2021, but not paid as of that date in the amount of</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approximately $6.4 million. In addition, the Company’s total prepaid expenses and other current assets totaled $2.2M, which</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included amounts that were paid in advance of services incurred pursuant to clinical trials in the amount of approximately $1.1</w:t>
            </w:r>
          </w:p>
        </w:tc>
      </w:tr>
      <w:tr>
        <w:trPr>
          <w:trHeight w:val="234"/>
        </w:trPr>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million.</w:t>
            </w:r>
          </w:p>
        </w:tc>
        <w:tc>
          <w:tcPr>
            <w:tcW w:w="3500" w:type="dxa"/>
            <w:vAlign w:val="bottom"/>
          </w:tcPr>
          <w:p>
            <w:pPr>
              <w:spacing w:after="0"/>
              <w:rPr>
                <w:sz w:val="20"/>
                <w:szCs w:val="20"/>
                <w:color w:val="auto"/>
              </w:rPr>
            </w:pPr>
          </w:p>
        </w:tc>
        <w:tc>
          <w:tcPr>
            <w:tcW w:w="5220" w:type="dxa"/>
            <w:vAlign w:val="bottom"/>
          </w:tcPr>
          <w:p>
            <w:pPr>
              <w:spacing w:after="0"/>
              <w:rPr>
                <w:sz w:val="20"/>
                <w:szCs w:val="20"/>
                <w:color w:val="auto"/>
              </w:rPr>
            </w:pPr>
          </w:p>
        </w:tc>
      </w:tr>
      <w:tr>
        <w:trPr>
          <w:trHeight w:val="414"/>
        </w:trPr>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As discussed in Note 2 to the consolidated financial statements, when the third-party contract research organization and other</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vendor billing terms do not coincide with the Company’s period-end, the Company is required to make estimates of its</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obligations to those vendors, including personnel costs, allocated facility costs, lab supplies, outside services, contract laboratory</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costs related to manufacturing drug product, clinical trials and preclinical studies costs incurred in a given accounting period and</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record accruals at the end of the period. The Company bases its estimates on its knowledge of the research and development</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programs, services performed for the period, past history for related activities, and the expected duration of the vendor service</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contract, where applicable. Payments for these activities are based on the terms of the individual arrangements and may result in</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payment terms that differ from the pattern of costs incurred. There may be instances in which payments made to vendors will</w:t>
            </w:r>
          </w:p>
        </w:tc>
      </w:tr>
      <w:tr>
        <w:trPr>
          <w:trHeight w:val="234"/>
        </w:trPr>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exceed the level of services provided and result in a prepayment of the clinical expense.</w:t>
            </w:r>
          </w:p>
        </w:tc>
      </w:tr>
      <w:tr>
        <w:trPr>
          <w:trHeight w:val="414"/>
        </w:trPr>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Auditing the Company’s accrued and prepaid clinical trial expenses is especially challenging due to the large volume of</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information received from multiple vendors that perform services on the Company’s behalf. While the Company’s estimates of</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9"/>
              </w:rPr>
              <w:t>accrued and prepaid clinical trial expenses are primarily based on information received related to each study from its vendors, the</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Company may need to make an estimate for additional costs incurred. Additionally, due to the long duration of clinical trials and</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the timing of invoicing received from vendors, the actual amounts incurred are not typically known at the time the financial</w:t>
            </w:r>
          </w:p>
        </w:tc>
      </w:tr>
      <w:tr>
        <w:trPr>
          <w:trHeight w:val="234"/>
        </w:trPr>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statements are issued.</w:t>
            </w:r>
          </w:p>
        </w:tc>
        <w:tc>
          <w:tcPr>
            <w:tcW w:w="5220" w:type="dxa"/>
            <w:vAlign w:val="bottom"/>
          </w:tcPr>
          <w:p>
            <w:pPr>
              <w:spacing w:after="0"/>
              <w:rPr>
                <w:sz w:val="20"/>
                <w:szCs w:val="20"/>
                <w:color w:val="auto"/>
              </w:rPr>
            </w:pPr>
          </w:p>
        </w:tc>
      </w:tr>
      <w:tr>
        <w:trPr>
          <w:trHeight w:val="412"/>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How We Addressed</w:t>
            </w:r>
          </w:p>
        </w:tc>
        <w:tc>
          <w:tcPr>
            <w:tcW w:w="9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Our audit procedures included, among others, the following:</w:t>
            </w:r>
          </w:p>
        </w:tc>
      </w:tr>
      <w:tr>
        <w:trPr>
          <w:trHeight w:val="216"/>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the Matter in Our</w:t>
            </w: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color w:val="252525"/>
              </w:rPr>
              <w:t>•</w:t>
            </w:r>
          </w:p>
        </w:tc>
        <w:tc>
          <w:tcPr>
            <w:tcW w:w="8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Obtained an understanding of the internal controls and processes in place over the Company’s process used in</w:t>
            </w:r>
          </w:p>
        </w:tc>
      </w:tr>
      <w:tr>
        <w:trPr>
          <w:trHeight w:val="218"/>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Audit</w:t>
            </w:r>
          </w:p>
        </w:tc>
        <w:tc>
          <w:tcPr>
            <w:tcW w:w="9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determining the completeness and existence of accrued and prepaid clinical trial expenses.</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  Tested the accuracy and completeness of the underlying data used in determining the accrued and prepaid clinical trial</w:t>
            </w:r>
          </w:p>
        </w:tc>
      </w:tr>
      <w:tr>
        <w:trPr>
          <w:trHeight w:val="234"/>
        </w:trPr>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expenses and evaluating the assumptions and estimates used by management to adjust the actual information received. We</w:t>
            </w:r>
          </w:p>
        </w:tc>
      </w:tr>
    </w:tbl>
    <w:p>
      <w:pPr>
        <w:jc w:val="both"/>
        <w:ind w:left="1920"/>
        <w:spacing w:after="0" w:line="255" w:lineRule="auto"/>
        <w:rPr>
          <w:sz w:val="20"/>
          <w:szCs w:val="20"/>
          <w:color w:val="auto"/>
        </w:rPr>
      </w:pPr>
      <w:r>
        <w:rPr>
          <w:rFonts w:ascii="Times New Roman" w:cs="Times New Roman" w:eastAsia="Times New Roman" w:hAnsi="Times New Roman"/>
          <w:sz w:val="18"/>
          <w:szCs w:val="18"/>
          <w:color w:val="auto"/>
        </w:rPr>
        <w:t>corroborated the schedules of the underlying data used in the accrual calculation with the Company’s third-party contract research organization who oversees the clinical trials. To evaluate the completeness of the accrual, we also tested subsequent invoices received to assess the impact to the accrual.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CHERRY BEKAERT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w:t>
      </w:r>
    </w:p>
    <w:p>
      <w:pPr>
        <w:sectPr>
          <w:pgSz w:w="11900" w:h="16838" w:orient="portrait"/>
          <w:cols w:equalWidth="0" w:num="1">
            <w:col w:w="11240"/>
          </w:cols>
          <w:pgMar w:left="320" w:top="114" w:right="33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GALECTIN THERAPEUTICS INC. AND SUBSIDIARIES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8360" w:type="dxa"/>
            <w:vAlign w:val="bottom"/>
          </w:tcPr>
          <w:p>
            <w:pPr>
              <w:spacing w:after="0"/>
              <w:rPr>
                <w:sz w:val="16"/>
                <w:szCs w:val="16"/>
                <w:color w:val="auto"/>
              </w:rPr>
            </w:pPr>
          </w:p>
        </w:tc>
        <w:tc>
          <w:tcPr>
            <w:tcW w:w="11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34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except 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27,142</w:t>
            </w:r>
          </w:p>
        </w:tc>
        <w:tc>
          <w:tcPr>
            <w:tcW w:w="0" w:type="dxa"/>
            <w:vAlign w:val="bottom"/>
          </w:tcPr>
          <w:p>
            <w:pPr>
              <w:spacing w:after="0"/>
              <w:rPr>
                <w:sz w:val="1"/>
                <w:szCs w:val="1"/>
                <w:color w:val="auto"/>
              </w:rPr>
            </w:pP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2,323</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41,820</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41,827</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29,600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868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(DEFICIT) EQUITY</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4,042</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dividends payable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notes payable and accrued interest, net of debt discounts – related party (Note 5)</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29,048</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Derivative liabilities (Note 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39,211</w:t>
            </w:r>
          </w:p>
        </w:tc>
        <w:tc>
          <w:tcPr>
            <w:tcW w:w="220" w:type="dxa"/>
            <w:vAlign w:val="bottom"/>
            <w:tcBorders>
              <w:top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5,407</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Series C 6% super dividend redeemable convertible preferred stock; 1,000 shares authorized, 176 issued and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outstanding at December 31, 2021 and 2020, redemption value: $8,441,000, liquidation value: $1,786,000 at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December 31, 2021</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83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Undesignated stock, $0.01 par value; 20,000,000 shares authorized at December 31, 2021 and 2020, 20,000,000</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designated at December 31, 2021 and 2020, respectively</w:t>
            </w:r>
          </w:p>
        </w:tc>
        <w:tc>
          <w:tcPr>
            <w:tcW w:w="240" w:type="dxa"/>
            <w:vAlign w:val="bottom"/>
          </w:tcPr>
          <w:p>
            <w:pPr>
              <w:spacing w:after="0"/>
              <w:rPr>
                <w:sz w:val="20"/>
                <w:szCs w:val="20"/>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20" w:type="dxa"/>
            <w:vAlign w:val="bottom"/>
            <w:shd w:val="clear" w:color="auto" w:fill="CCEEFF"/>
          </w:tcPr>
          <w:p>
            <w:pPr>
              <w:spacing w:after="0"/>
              <w:rPr>
                <w:sz w:val="17"/>
                <w:szCs w:val="17"/>
                <w:color w:val="auto"/>
              </w:rPr>
            </w:pPr>
          </w:p>
        </w:tc>
        <w:tc>
          <w:tcPr>
            <w:tcW w:w="83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Series A 12% convertible preferred stock; 1,742,500 shares authorized, 1,302,500 issued and outstanding at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 w:type="dxa"/>
            <w:vAlign w:val="bottom"/>
            <w:shd w:val="clear" w:color="auto" w:fill="CCEEFF"/>
          </w:tcPr>
          <w:p>
            <w:pPr>
              <w:spacing w:after="0"/>
              <w:rPr>
                <w:sz w:val="20"/>
                <w:szCs w:val="20"/>
                <w:color w:val="auto"/>
              </w:rPr>
            </w:pPr>
          </w:p>
        </w:tc>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 2021 and 2020, liquidation value $1,302,500 at December 31, 2021</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83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$0.001 par value; 150,000,000 and 100,000,000 shares authorized at December 31, 2021 and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2020, respectively, 59,341,305 and 57,077,055 issued and outstanding at December 31, 2021 and 2020,</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271,001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261,883</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9"/>
                <w:szCs w:val="19"/>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(270,694)</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(239,996)</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equity</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41,827</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29,600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GALECTIN THERAPEUTICS INC. AND SUBSIDIARIES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8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6"/>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(in thousands, except</w:t>
            </w:r>
          </w:p>
        </w:tc>
        <w:tc>
          <w:tcPr>
            <w:tcW w:w="0" w:type="dxa"/>
            <w:vAlign w:val="bottom"/>
          </w:tcPr>
          <w:p>
            <w:pPr>
              <w:spacing w:after="0"/>
              <w:rPr>
                <w:sz w:val="1"/>
                <w:szCs w:val="1"/>
                <w:color w:val="auto"/>
              </w:rPr>
            </w:pPr>
          </w:p>
        </w:tc>
      </w:tr>
      <w:tr>
        <w:trPr>
          <w:trHeight w:val="238"/>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0"/>
                <w:szCs w:val="20"/>
                <w:color w:val="auto"/>
              </w:rPr>
            </w:pPr>
          </w:p>
        </w:tc>
        <w:tc>
          <w:tcPr>
            <w:tcW w:w="232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per share amounts)</w:t>
            </w:r>
          </w:p>
        </w:tc>
        <w:tc>
          <w:tcPr>
            <w:tcW w:w="0" w:type="dxa"/>
            <w:vAlign w:val="bottom"/>
          </w:tcPr>
          <w:p>
            <w:pPr>
              <w:spacing w:after="0"/>
              <w:rPr>
                <w:sz w:val="1"/>
                <w:szCs w:val="1"/>
                <w:color w:val="auto"/>
              </w:rPr>
            </w:pPr>
          </w:p>
        </w:tc>
      </w:tr>
      <w:tr>
        <w:trPr>
          <w:trHeight w:val="216"/>
        </w:trPr>
        <w:tc>
          <w:tcPr>
            <w:tcW w:w="86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23,818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17,976</w:t>
            </w:r>
          </w:p>
        </w:tc>
        <w:tc>
          <w:tcPr>
            <w:tcW w:w="0" w:type="dxa"/>
            <w:vAlign w:val="bottom"/>
          </w:tcPr>
          <w:p>
            <w:pPr>
              <w:spacing w:after="0"/>
              <w:rPr>
                <w:sz w:val="1"/>
                <w:szCs w:val="1"/>
                <w:color w:val="auto"/>
              </w:rPr>
            </w:pP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5,468</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30,179</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loss</w:t>
            </w:r>
          </w:p>
        </w:tc>
        <w:tc>
          <w:tcPr>
            <w:tcW w:w="24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(30,179)</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(23,444)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derivatives</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(30,527)</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(23,465)</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tcBorders>
              <w:bottom w:val="single" w:sz="8" w:color="CCEEFF"/>
            </w:tcBorders>
            <w:gridSpan w:val="2"/>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(30,698)</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(23,602)</w:t>
            </w: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(0.52)</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common and potential common shares outstanding basic and diluted</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58,527</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57,029</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6" w:name="page67"/>
    <w:bookmarkEnd w:id="6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GALECTIN THERAPEUTICS INC. AND SUBSIDIARIES</w:t>
      </w:r>
    </w:p>
    <w:p>
      <w:pPr>
        <w:spacing w:after="0" w:line="31" w:lineRule="exact"/>
        <w:rPr>
          <w:sz w:val="20"/>
          <w:szCs w:val="20"/>
          <w:color w:val="auto"/>
        </w:rPr>
      </w:pPr>
    </w:p>
    <w:p>
      <w:pPr>
        <w:ind w:right="500"/>
        <w:spacing w:after="0" w:line="250" w:lineRule="auto"/>
        <w:rPr>
          <w:sz w:val="20"/>
          <w:szCs w:val="20"/>
          <w:color w:val="auto"/>
        </w:rPr>
      </w:pPr>
      <w:r>
        <w:rPr>
          <w:rFonts w:ascii="Times New Roman" w:cs="Times New Roman" w:eastAsia="Times New Roman" w:hAnsi="Times New Roman"/>
          <w:sz w:val="18"/>
          <w:szCs w:val="18"/>
          <w:b w:val="1"/>
          <w:bCs w:val="1"/>
          <w:color w:val="auto"/>
        </w:rPr>
        <w:t>CONSOLIDATED STATEMENTS OF CHANGES IN REDEEMABLE CONVERTIBLE PREFERRED STOCK AND STOCKHOLDERS’ EQUITY (DEFICIT)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Series C Super</w:t>
            </w:r>
          </w:p>
        </w:tc>
      </w:t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Dividend Redeemable</w:t>
            </w:r>
          </w:p>
        </w:tc>
      </w:t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Convertible</w:t>
            </w:r>
          </w:p>
        </w:tc>
      </w:tr>
      <w:tr>
        <w:trPr>
          <w:trHeight w:val="245"/>
        </w:trPr>
        <w:tc>
          <w:tcPr>
            <w:tcW w:w="8680" w:type="dxa"/>
            <w:vAlign w:val="bottom"/>
          </w:tcPr>
          <w:p>
            <w:pPr>
              <w:spacing w:after="0"/>
              <w:rPr>
                <w:sz w:val="21"/>
                <w:szCs w:val="21"/>
                <w:color w:val="auto"/>
              </w:rPr>
            </w:pPr>
          </w:p>
        </w:tc>
        <w:tc>
          <w:tcPr>
            <w:tcW w:w="25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2020</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1,723</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7" w:name="page68"/>
    <w:bookmarkEnd w:id="6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GALECTIN THERAPEUTICS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REDEEMABLE CONVERTIBLE PREFERRED STOCK AND STOCKHOLDERS’</w:t>
      </w:r>
    </w:p>
    <w:tbl>
      <w:tblPr>
        <w:tblLayout w:type="fixed"/>
        <w:tblInd w:w="0" w:type="dxa"/>
        <w:tblCellMar>
          <w:top w:w="0" w:type="dxa"/>
          <w:left w:w="0" w:type="dxa"/>
          <w:bottom w:w="0" w:type="dxa"/>
          <w:right w:w="0" w:type="dxa"/>
        </w:tblCellMar>
      </w:tblPr>
      <w:tr>
        <w:trPr>
          <w:trHeight w:val="203"/>
        </w:trPr>
        <w:tc>
          <w:tcPr>
            <w:tcW w:w="194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EQUITY (DEFICIT) —</w:t>
            </w:r>
          </w:p>
        </w:tc>
        <w:tc>
          <w:tcPr>
            <w:tcW w:w="1380" w:type="dxa"/>
            <w:vAlign w:val="bottom"/>
            <w:gridSpan w:val="2"/>
          </w:tcPr>
          <w:p>
            <w:pPr>
              <w:jc w:val="right"/>
              <w:ind w:right="400"/>
              <w:spacing w:after="0" w:line="203" w:lineRule="exact"/>
              <w:rPr>
                <w:sz w:val="20"/>
                <w:szCs w:val="20"/>
                <w:color w:val="auto"/>
              </w:rPr>
            </w:pPr>
            <w:r>
              <w:rPr>
                <w:rFonts w:ascii="Times New Roman" w:cs="Times New Roman" w:eastAsia="Times New Roman" w:hAnsi="Times New Roman"/>
                <w:sz w:val="18"/>
                <w:szCs w:val="18"/>
                <w:b w:val="1"/>
                <w:bCs w:val="1"/>
                <w:color w:val="auto"/>
              </w:rPr>
              <w:t>(Continued)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and 2020</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940" w:type="dxa"/>
            <w:vAlign w:val="bottom"/>
          </w:tcPr>
          <w:p>
            <w:pPr>
              <w:spacing w:after="0"/>
              <w:rPr>
                <w:sz w:val="24"/>
                <w:szCs w:val="24"/>
                <w:color w:val="auto"/>
              </w:rPr>
            </w:pPr>
          </w:p>
        </w:tc>
        <w:tc>
          <w:tcPr>
            <w:tcW w:w="27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Series A 12%</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940" w:type="dxa"/>
            <w:vAlign w:val="bottom"/>
          </w:tcPr>
          <w:p>
            <w:pPr>
              <w:spacing w:after="0"/>
              <w:rPr>
                <w:sz w:val="18"/>
                <w:szCs w:val="18"/>
                <w:color w:val="auto"/>
              </w:rPr>
            </w:pPr>
          </w:p>
        </w:tc>
        <w:tc>
          <w:tcPr>
            <w:tcW w:w="276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Convertible</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940" w:type="dxa"/>
            <w:vAlign w:val="bottom"/>
          </w:tcPr>
          <w:p>
            <w:pPr>
              <w:spacing w:after="0"/>
              <w:rPr>
                <w:sz w:val="21"/>
                <w:szCs w:val="21"/>
                <w:color w:val="auto"/>
              </w:rPr>
            </w:pPr>
          </w:p>
        </w:tc>
        <w:tc>
          <w:tcPr>
            <w:tcW w:w="276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2260" w:type="dxa"/>
            <w:vAlign w:val="bottom"/>
            <w:gridSpan w:val="3"/>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19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16"/>
        </w:trPr>
        <w:tc>
          <w:tcPr>
            <w:tcW w:w="194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6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45"/>
        </w:trPr>
        <w:tc>
          <w:tcPr>
            <w:tcW w:w="1940" w:type="dxa"/>
            <w:vAlign w:val="bottom"/>
          </w:tcPr>
          <w:p>
            <w:pPr>
              <w:spacing w:after="0"/>
              <w:rPr>
                <w:sz w:val="21"/>
                <w:szCs w:val="21"/>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1"/>
                <w:szCs w:val="21"/>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21"/>
                <w:szCs w:val="21"/>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194"/>
        </w:trPr>
        <w:tc>
          <w:tcPr>
            <w:tcW w:w="19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January 1,</w:t>
            </w:r>
          </w:p>
        </w:tc>
        <w:tc>
          <w:tcPr>
            <w:tcW w:w="1140" w:type="dxa"/>
            <w:vAlign w:val="bottom"/>
            <w:tcBorders>
              <w:top w:val="single" w:sz="8" w:color="auto"/>
            </w:tcBorders>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3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1,327,500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537</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56,894,642</w:t>
            </w:r>
          </w:p>
        </w:tc>
        <w:tc>
          <w:tcPr>
            <w:tcW w:w="90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56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259,673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(216,394)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43,872</w:t>
            </w: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A 12%</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convertible preferred</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dividend</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26.300</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C super dividend</w:t>
            </w:r>
          </w:p>
        </w:tc>
        <w:tc>
          <w:tcPr>
            <w:tcW w:w="11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redeemable</w:t>
            </w:r>
          </w:p>
        </w:tc>
        <w:tc>
          <w:tcPr>
            <w:tcW w:w="1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preferred</w:t>
            </w:r>
          </w:p>
        </w:tc>
        <w:tc>
          <w:tcPr>
            <w:tcW w:w="1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dividend</w:t>
            </w:r>
          </w:p>
        </w:tc>
        <w:tc>
          <w:tcPr>
            <w:tcW w:w="114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33,416</w:t>
            </w: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14,452</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r>
        <w:trPr>
          <w:trHeight w:val="198"/>
        </w:trPr>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Series A</w:t>
            </w:r>
          </w:p>
        </w:tc>
        <w:tc>
          <w:tcPr>
            <w:tcW w:w="11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Preferred</w:t>
            </w:r>
          </w:p>
        </w:tc>
        <w:tc>
          <w:tcPr>
            <w:tcW w:w="1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 common</w:t>
            </w: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(25,000)</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4,553</w:t>
            </w: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for stock option</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exercises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84,624</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r>
      <w:tr>
        <w:trPr>
          <w:trHeight w:val="198"/>
        </w:trPr>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11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compensation</w:t>
            </w:r>
          </w:p>
        </w:tc>
        <w:tc>
          <w:tcPr>
            <w:tcW w:w="1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expense</w:t>
            </w:r>
          </w:p>
        </w:tc>
        <w:tc>
          <w:tcPr>
            <w:tcW w:w="114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19,068</w:t>
            </w: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1,799</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1,799</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(23,465)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(23,465)</w:t>
            </w:r>
          </w:p>
        </w:tc>
      </w:tr>
      <w:tr>
        <w:trPr>
          <w:trHeight w:val="223"/>
        </w:trPr>
        <w:tc>
          <w:tcPr>
            <w:tcW w:w="19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194"/>
        </w:trPr>
        <w:tc>
          <w:tcPr>
            <w:tcW w:w="19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December</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31, 2020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1,302,500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527</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57,077,055</w:t>
            </w:r>
          </w:p>
        </w:tc>
        <w:tc>
          <w:tcPr>
            <w:tcW w:w="900" w:type="dxa"/>
            <w:vAlign w:val="bottom"/>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56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261,883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(239,996)</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22,470</w:t>
            </w:r>
          </w:p>
        </w:tc>
      </w:tr>
      <w:tr>
        <w:trPr>
          <w:trHeight w:val="198"/>
        </w:trPr>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 12%</w:t>
            </w: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preferred</w:t>
            </w:r>
          </w:p>
        </w:tc>
        <w:tc>
          <w:tcPr>
            <w:tcW w:w="1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dividend</w:t>
            </w:r>
          </w:p>
        </w:tc>
        <w:tc>
          <w:tcPr>
            <w:tcW w:w="114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26,050</w:t>
            </w: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C super dividend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redeemable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convertible preferred</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dividend</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31,112</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11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w:t>
            </w:r>
          </w:p>
        </w:tc>
        <w:tc>
          <w:tcPr>
            <w:tcW w:w="114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845,214</w:t>
            </w:r>
          </w:p>
        </w:tc>
        <w:tc>
          <w:tcPr>
            <w:tcW w:w="9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3,863</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3,864</w:t>
            </w: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for warrant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exercises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1,180,240</w:t>
            </w:r>
          </w:p>
        </w:tc>
        <w:tc>
          <w:tcPr>
            <w:tcW w:w="90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2,948</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2,950</w:t>
            </w:r>
          </w:p>
        </w:tc>
      </w:tr>
      <w:tr>
        <w:trPr>
          <w:trHeight w:val="198"/>
        </w:trPr>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11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for stock option</w:t>
            </w:r>
          </w:p>
        </w:tc>
        <w:tc>
          <w:tcPr>
            <w:tcW w:w="1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exercises</w:t>
            </w:r>
          </w:p>
        </w:tc>
        <w:tc>
          <w:tcPr>
            <w:tcW w:w="114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148,941</w:t>
            </w: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compensation</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expense</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32,693</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2,136</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2,136</w:t>
            </w: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(30,527)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(30,527)</w:t>
            </w:r>
          </w:p>
        </w:tc>
      </w:tr>
      <w:tr>
        <w:trPr>
          <w:trHeight w:val="223"/>
        </w:trPr>
        <w:tc>
          <w:tcPr>
            <w:tcW w:w="194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4"/>
        </w:trPr>
        <w:tc>
          <w:tcPr>
            <w:tcW w:w="19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December</w:t>
            </w:r>
          </w:p>
        </w:tc>
        <w:tc>
          <w:tcPr>
            <w:tcW w:w="114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59"/>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31, 2021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1,302,500</w:t>
            </w:r>
          </w:p>
        </w:tc>
        <w:tc>
          <w:tcPr>
            <w:tcW w:w="24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527</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59,341,305</w:t>
            </w:r>
          </w:p>
        </w:tc>
        <w:tc>
          <w:tcPr>
            <w:tcW w:w="90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271,001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(270,694)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893</w:t>
            </w:r>
          </w:p>
        </w:tc>
      </w:tr>
      <w:tr>
        <w:trPr>
          <w:trHeight w:val="20"/>
        </w:trPr>
        <w:tc>
          <w:tcPr>
            <w:tcW w:w="19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GALECTIN THERAPEUTICS INC. AND SUBSIDIARIES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(30,527)</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(23,465)</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 to use asset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1,799</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derivatives</w:t>
            </w:r>
          </w:p>
        </w:tc>
        <w:tc>
          <w:tcPr>
            <w:tcW w:w="24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(138)</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240" w:type="dxa"/>
            <w:vAlign w:val="bottom"/>
          </w:tcPr>
          <w:p>
            <w:pPr>
              <w:spacing w:after="0"/>
              <w:rPr>
                <w:sz w:val="19"/>
                <w:szCs w:val="19"/>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(24,308)</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(20,601)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240" w:type="dxa"/>
            <w:vAlign w:val="bottom"/>
          </w:tcPr>
          <w:p>
            <w:pPr>
              <w:spacing w:after="0"/>
              <w:rPr>
                <w:sz w:val="19"/>
                <w:szCs w:val="19"/>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proceeds from convertible notes payable – related party</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proceeds from issuance of common stock and warrants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from financing activities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36,814</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12,506</w:t>
            </w: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47,480</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39,648</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preferred stock dividends in common stock</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derivatives regarding related party convertible notes payable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of accrued bonus to additional paid in capital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9" w:name="page70"/>
    <w:bookmarkEnd w:id="6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GALECTIN THERAPEUTICS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500" w:hanging="492"/>
        <w:spacing w:after="0"/>
        <w:tabs>
          <w:tab w:leader="none" w:pos="5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Basis of Presentation and Liquidity</w:t>
      </w:r>
    </w:p>
    <w:p>
      <w:pPr>
        <w:spacing w:after="0" w:line="229" w:lineRule="exact"/>
        <w:rPr>
          <w:sz w:val="20"/>
          <w:szCs w:val="20"/>
          <w:color w:val="auto"/>
        </w:rPr>
      </w:pPr>
    </w:p>
    <w:p>
      <w:pPr>
        <w:ind w:left="440"/>
        <w:spacing w:after="0" w:line="261" w:lineRule="auto"/>
        <w:rPr>
          <w:sz w:val="20"/>
          <w:szCs w:val="20"/>
          <w:color w:val="auto"/>
        </w:rPr>
      </w:pPr>
      <w:r>
        <w:rPr>
          <w:rFonts w:ascii="Times New Roman" w:cs="Times New Roman" w:eastAsia="Times New Roman" w:hAnsi="Times New Roman"/>
          <w:sz w:val="18"/>
          <w:szCs w:val="18"/>
          <w:color w:val="auto"/>
        </w:rPr>
        <w:t>Galectin Therapeutics Inc. and subsidiaries (the “Company”) is a clinical stage biopharmaceutical company that is applying its leadership in galectin science and drug development to create new therapies for fibrotic disease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180" w:lineRule="exact"/>
        <w:rPr>
          <w:sz w:val="20"/>
          <w:szCs w:val="20"/>
          <w:color w:val="auto"/>
        </w:rPr>
      </w:pPr>
    </w:p>
    <w:p>
      <w:pPr>
        <w:ind w:left="440" w:right="60"/>
        <w:spacing w:after="0" w:line="282" w:lineRule="auto"/>
        <w:rPr>
          <w:sz w:val="20"/>
          <w:szCs w:val="20"/>
          <w:color w:val="auto"/>
        </w:rPr>
      </w:pPr>
      <w:r>
        <w:rPr>
          <w:rFonts w:ascii="Times New Roman" w:cs="Times New Roman" w:eastAsia="Times New Roman" w:hAnsi="Times New Roman"/>
          <w:sz w:val="18"/>
          <w:szCs w:val="18"/>
          <w:color w:val="auto"/>
        </w:rPr>
        <w:t>The Company was founded in July 2000, was incorporated in the State of Nevada in January 2001 under the name “Pro-Pharmaceuticals, Inc.,” and changed its name to “Galectin Therapeutics Inc.” on May 26, 2011.</w:t>
      </w:r>
    </w:p>
    <w:p>
      <w:pPr>
        <w:spacing w:after="0" w:line="162" w:lineRule="exact"/>
        <w:rPr>
          <w:sz w:val="20"/>
          <w:szCs w:val="20"/>
          <w:color w:val="auto"/>
        </w:rPr>
      </w:pPr>
    </w:p>
    <w:p>
      <w:pPr>
        <w:ind w:left="440" w:right="120"/>
        <w:spacing w:after="0" w:line="254" w:lineRule="auto"/>
        <w:rPr>
          <w:sz w:val="20"/>
          <w:szCs w:val="20"/>
          <w:color w:val="auto"/>
        </w:rPr>
      </w:pPr>
      <w:r>
        <w:rPr>
          <w:rFonts w:ascii="Times New Roman" w:cs="Times New Roman" w:eastAsia="Times New Roman" w:hAnsi="Times New Roman"/>
          <w:sz w:val="18"/>
          <w:szCs w:val="18"/>
          <w:color w:val="auto"/>
        </w:rPr>
        <w:t>The Company has operated at a loss since its inception and has had no revenues. The Company anticipates that losses will continue for the foreseeable future. At December 31, 2021, the Company had $39,648,000 of unrestricted cash and cash equivalents available to fund future operations. The Company believes there is sufficient cash, to fund currently planned operations at least through March 31, 2023. We will require more cash to fund our operations after March 31, 2023 and believe we will be able to obtain additional financing. The currently planned operations include costs related to our adaptively designed NAVIGATE Phase 2b/3 clinical trial. Currently, we expect to require an additional approximately $45-$50 million to cover costs of the trial to reach the planned interim analysis estimated to occur in the first half of 2024 along with drug manufacturing and other scientific support activities and general and administrative costs. However, there can be no assurance that we will be successful in obtaining such new financing or, if available, that such financing will be on terms favorable to us. If we are unsuccessful in raising additional capital to fund operations before March 31, 2023, we may be required to cease operations.</w:t>
      </w:r>
    </w:p>
    <w:p>
      <w:pPr>
        <w:spacing w:after="0" w:line="188" w:lineRule="exact"/>
        <w:rPr>
          <w:sz w:val="20"/>
          <w:szCs w:val="20"/>
          <w:color w:val="auto"/>
        </w:rPr>
      </w:pPr>
    </w:p>
    <w:p>
      <w:pPr>
        <w:ind w:left="440"/>
        <w:spacing w:after="0" w:line="255" w:lineRule="auto"/>
        <w:rPr>
          <w:sz w:val="20"/>
          <w:szCs w:val="20"/>
          <w:color w:val="auto"/>
        </w:rPr>
      </w:pPr>
      <w:r>
        <w:rPr>
          <w:rFonts w:ascii="Times New Roman" w:cs="Times New Roman" w:eastAsia="Times New Roman" w:hAnsi="Times New Roman"/>
          <w:sz w:val="18"/>
          <w:szCs w:val="18"/>
          <w:color w:val="auto"/>
        </w:rPr>
        <w:t>The Company is subject to a number of risks similar to those of clinical stage companies, including dependence on key individuals, uncertainty of product development and generation of revenues, dependence on outside sources of capital, risks associated with clinical trials of products, dependence on third-party collaborators for research operations, need for regulatory approval of products, risks associated with protection of intellectual property, and competition with larger, better-capitalized companies. Successful completion of the Company’s development program and, ultimately, the attainment of profitable operations is dependent upon future events, including obtaining adequate financing to fulfill its development activities and achieving a level of revenues adequate to support the Company’s cost structure. There are no assurances that the Company will be able to obtain additional financing on favorable terms, or at all, or successfully market its products.</w:t>
      </w:r>
    </w:p>
    <w:p>
      <w:pPr>
        <w:spacing w:after="0" w:line="185" w:lineRule="exact"/>
        <w:rPr>
          <w:sz w:val="20"/>
          <w:szCs w:val="20"/>
          <w:color w:val="auto"/>
        </w:rPr>
      </w:pPr>
    </w:p>
    <w:p>
      <w:pPr>
        <w:ind w:left="500" w:hanging="492"/>
        <w:spacing w:after="0"/>
        <w:tabs>
          <w:tab w:leader="none" w:pos="5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9" w:lineRule="exact"/>
        <w:rPr>
          <w:sz w:val="20"/>
          <w:szCs w:val="20"/>
          <w:color w:val="auto"/>
        </w:rPr>
      </w:pPr>
    </w:p>
    <w:p>
      <w:pPr>
        <w:ind w:left="440" w:right="10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(“GAAP”).</w:t>
      </w:r>
    </w:p>
    <w:p>
      <w:pPr>
        <w:spacing w:after="0" w:line="160" w:lineRule="exact"/>
        <w:rPr>
          <w:sz w:val="20"/>
          <w:szCs w:val="20"/>
          <w:color w:val="auto"/>
        </w:rPr>
      </w:pPr>
    </w:p>
    <w:p>
      <w:pPr>
        <w:ind w:left="440"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Basis of Consolidation. </w:t>
      </w:r>
      <w:r>
        <w:rPr>
          <w:rFonts w:ascii="Times New Roman" w:cs="Times New Roman" w:eastAsia="Times New Roman" w:hAnsi="Times New Roman"/>
          <w:sz w:val="18"/>
          <w:szCs w:val="18"/>
          <w:color w:val="auto"/>
        </w:rPr>
        <w:t>The consolidated financial statements include the accounts of the Company and Galectin Therapeutics Security Corp.,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wholly-owned subsidiary, which was incorporated in Delaware on December 23, 2003 and Galectin Sciences LLC (see Note 13). All intercompany transactions have been eliminated.</w:t>
      </w:r>
    </w:p>
    <w:p>
      <w:pPr>
        <w:spacing w:after="0" w:line="173" w:lineRule="exact"/>
        <w:rPr>
          <w:sz w:val="20"/>
          <w:szCs w:val="20"/>
          <w:color w:val="auto"/>
        </w:rPr>
      </w:pPr>
    </w:p>
    <w:p>
      <w:pPr>
        <w:ind w:left="440"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accounting principles generally accepted in the United States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America requires management to make estimates and judgments that may affect the reported amounts of assets, liabilities, equity, revenue, expenses and related disclosure of contingent assets and liabilities. Management’s estimates and judgments include assumptions used in stock option valuations, useful lives of property and equipment and intangible assets, accrued liabilities, derivative valuations, deferred income taxes and various other assumptions that are believed to be reasonable under the circumstances. Actual results may differ from those estimates under different assumptions or conditions.</w:t>
      </w:r>
    </w:p>
    <w:p>
      <w:pPr>
        <w:spacing w:after="0" w:line="182" w:lineRule="exact"/>
        <w:rPr>
          <w:sz w:val="20"/>
          <w:szCs w:val="20"/>
          <w:color w:val="auto"/>
        </w:rPr>
      </w:pPr>
    </w:p>
    <w:p>
      <w:pPr>
        <w:ind w:left="440" w:right="80"/>
        <w:spacing w:after="0" w:line="257" w:lineRule="auto"/>
        <w:rPr>
          <w:sz w:val="20"/>
          <w:szCs w:val="20"/>
          <w:color w:val="auto"/>
        </w:rPr>
      </w:pP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The Company has certain financial assets and liabilities recorded at fair value. Fair values determined by Level 1 inputs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estimated value of accounts payable and accrued expenses approximates their carrying value due to their short-term nature. There were no Level 2 or 3 assets or liabilities at December 31, 2020. See Footnote 6 for Fair Value of Derivatives related to Convertible Notes Payable at December 31, 2021, which are level 3 liabilities.</w:t>
      </w:r>
    </w:p>
    <w:p>
      <w:pPr>
        <w:spacing w:after="0" w:line="182" w:lineRule="exact"/>
        <w:rPr>
          <w:sz w:val="20"/>
          <w:szCs w:val="20"/>
          <w:color w:val="auto"/>
        </w:rPr>
      </w:pPr>
    </w:p>
    <w:p>
      <w:pPr>
        <w:ind w:left="440" w:right="7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The Company considers all highly-liquid investments with original maturities of 90 days or less at the time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to be cash equivalents. The Company had no cash equivalents at December 31, 2021 or 2020.</w:t>
      </w:r>
    </w:p>
    <w:p>
      <w:pPr>
        <w:spacing w:after="0" w:line="158" w:lineRule="exact"/>
        <w:rPr>
          <w:sz w:val="20"/>
          <w:szCs w:val="20"/>
          <w:color w:val="auto"/>
        </w:rPr>
      </w:pPr>
    </w:p>
    <w:p>
      <w:pPr>
        <w:ind w:left="440" w:right="4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Prepaid Expenses and Other Current Assets. </w:t>
      </w:r>
      <w:r>
        <w:rPr>
          <w:rFonts w:ascii="Times New Roman" w:cs="Times New Roman" w:eastAsia="Times New Roman" w:hAnsi="Times New Roman"/>
          <w:sz w:val="18"/>
          <w:szCs w:val="18"/>
          <w:color w:val="auto"/>
        </w:rPr>
        <w:t>Prepaid expenses and other assets consist principally of prepaid insurance, deposits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NAVIGATE trial and deferred financing costs (see Note 10).</w:t>
      </w:r>
    </w:p>
    <w:p>
      <w:pPr>
        <w:sectPr>
          <w:pgSz w:w="11900" w:h="16838" w:orient="portrait"/>
          <w:cols w:equalWidth="0" w:num="1">
            <w:col w:w="11160"/>
          </w:cols>
          <w:pgMar w:left="320" w:top="116" w:right="419" w:bottom="1440" w:gutter="0" w:footer="0" w:header="0"/>
        </w:sectPr>
      </w:pPr>
    </w:p>
    <w:p>
      <w:pPr>
        <w:spacing w:after="0" w:line="3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6" w:right="419" w:bottom="1440" w:gutter="0" w:footer="0" w:header="0"/>
          <w:type w:val="continuous"/>
        </w:sectPr>
      </w:pPr>
    </w:p>
    <w:bookmarkStart w:id="70" w:name="page71"/>
    <w:bookmarkEnd w:id="7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7" w:lineRule="exact"/>
        <w:rPr>
          <w:sz w:val="20"/>
          <w:szCs w:val="20"/>
          <w:color w:val="auto"/>
        </w:rPr>
      </w:pPr>
    </w:p>
    <w:p>
      <w:pPr>
        <w:ind w:left="440" w:right="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w:t>
      </w:r>
      <w:r>
        <w:rPr>
          <w:rFonts w:ascii="Times New Roman" w:cs="Times New Roman" w:eastAsia="Times New Roman" w:hAnsi="Times New Roman"/>
          <w:sz w:val="18"/>
          <w:szCs w:val="18"/>
          <w:color w:val="auto"/>
        </w:rPr>
        <w:t>Property and equipment, including leasehold improvements, are stated at cost, net of accumulated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and are depreciated or amortized using the straight-line method over the estimated useful lives of the related assets of generally three years for computers and office equipment, five years for furniture and fixtures and the shorter of the useful life or life of the lease for leasehold improvements.</w:t>
      </w:r>
    </w:p>
    <w:p>
      <w:pPr>
        <w:spacing w:after="0" w:line="180" w:lineRule="exact"/>
        <w:rPr>
          <w:sz w:val="20"/>
          <w:szCs w:val="20"/>
          <w:color w:val="auto"/>
        </w:rPr>
      </w:pPr>
    </w:p>
    <w:p>
      <w:pPr>
        <w:ind w:left="440" w:right="6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Security Deposit. </w:t>
      </w:r>
      <w:r>
        <w:rPr>
          <w:rFonts w:ascii="Times New Roman" w:cs="Times New Roman" w:eastAsia="Times New Roman" w:hAnsi="Times New Roman"/>
          <w:sz w:val="18"/>
          <w:szCs w:val="18"/>
          <w:color w:val="auto"/>
        </w:rPr>
        <w:t>At December 31, 2021 and 2020, the Company had a security deposit of $6,000 for leased office space included in Prepaid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and Other Current Assets.</w:t>
      </w:r>
    </w:p>
    <w:p>
      <w:pPr>
        <w:spacing w:after="0" w:line="158" w:lineRule="exact"/>
        <w:rPr>
          <w:sz w:val="20"/>
          <w:szCs w:val="20"/>
          <w:color w:val="auto"/>
        </w:rPr>
      </w:pPr>
    </w:p>
    <w:p>
      <w:pPr>
        <w:jc w:val="both"/>
        <w:ind w:left="440" w:right="2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Long-Lived Assets. </w:t>
      </w:r>
      <w:r>
        <w:rPr>
          <w:rFonts w:ascii="Times New Roman" w:cs="Times New Roman" w:eastAsia="Times New Roman" w:hAnsi="Times New Roman"/>
          <w:sz w:val="18"/>
          <w:szCs w:val="18"/>
          <w:color w:val="auto"/>
        </w:rPr>
        <w:t>The Company reviews all long-lived assets for impairment whenever events or circumstances indicate the carrying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assets may not be recoverable. Recoverability of assets to be held or used is measured by comparison of the carrying value of the asset to the future undiscounted net cash flows expected to be generated by the asset. If such asset is considered to be impaired, the impairment recognized is measured by the amount by which the carrying value of the asset exceeds the discounted future cash flows expected to be generated by the asset. There were no impairments of long-lived assets at December 31, 2021 or 2020.</w:t>
      </w:r>
    </w:p>
    <w:p>
      <w:pPr>
        <w:spacing w:after="0" w:line="183" w:lineRule="exact"/>
        <w:rPr>
          <w:sz w:val="20"/>
          <w:szCs w:val="20"/>
          <w:color w:val="auto"/>
        </w:rPr>
      </w:pPr>
    </w:p>
    <w:p>
      <w:pPr>
        <w:ind w:left="440" w:right="60"/>
        <w:spacing w:after="0" w:line="271" w:lineRule="auto"/>
        <w:rPr>
          <w:sz w:val="20"/>
          <w:szCs w:val="20"/>
          <w:color w:val="auto"/>
        </w:rPr>
      </w:pPr>
      <w:r>
        <w:rPr>
          <w:rFonts w:ascii="Times New Roman" w:cs="Times New Roman" w:eastAsia="Times New Roman" w:hAnsi="Times New Roman"/>
          <w:sz w:val="17"/>
          <w:szCs w:val="17"/>
          <w:i w:val="1"/>
          <w:iCs w:val="1"/>
          <w:color w:val="auto"/>
        </w:rPr>
        <w:t>Accrued Expenses</w:t>
      </w:r>
      <w:r>
        <w:rPr>
          <w:rFonts w:ascii="Times New Roman" w:cs="Times New Roman" w:eastAsia="Times New Roman" w:hAnsi="Times New Roman"/>
          <w:sz w:val="17"/>
          <w:szCs w:val="17"/>
          <w:color w:val="auto"/>
        </w:rPr>
        <w:t>. As part of the process of preparing our consolidated financial statements, we are required to estimate accrued expenses.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process involves identifying services that third parties have performed on our behalf and estimating the level of service performed and the associated cost incurred on these services as of each balance sheet date in our consolidated financial statements. Examples of estimated accrued expenses include professional service fees, such as those arising from the services of attorneys and accountants and accrued payroll expenses. In connection with these service fees, our estimates are most affected by our understanding of the status and timing of services provided relative to the actual services incurred by the service providers. In the event that we do not identify certain costs that have been incurred or we under- or over-estimate the level of services or costs of such services, our reported expenses for a reporting period could be understated or overstated. The date on which certain services commence, the level of services performed on or before a given date, and the cost of services are often subject to our judgment. We make these judgments based upon the facts and circumstances known to us in accordance with accounting principles generally accepted in the U.S.</w:t>
      </w:r>
    </w:p>
    <w:p>
      <w:pPr>
        <w:spacing w:after="0" w:line="173" w:lineRule="exact"/>
        <w:rPr>
          <w:sz w:val="20"/>
          <w:szCs w:val="20"/>
          <w:color w:val="auto"/>
        </w:rPr>
      </w:pPr>
    </w:p>
    <w:p>
      <w:pPr>
        <w:jc w:val="both"/>
        <w:ind w:left="440"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The Company has issued common stock warrants in connection with the execution of certain equity and debt financings. The fair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is determined using the Black-Scholes option-pricing model using assumptions regarding volatility of our common share price, remaining life of the warrant, and risk-free interest rates at each period end. There were no warrant liabilities as of December 31, 2021 or 2020.</w:t>
      </w:r>
    </w:p>
    <w:p>
      <w:pPr>
        <w:spacing w:after="0" w:line="173" w:lineRule="exact"/>
        <w:rPr>
          <w:sz w:val="20"/>
          <w:szCs w:val="20"/>
          <w:color w:val="auto"/>
        </w:rPr>
      </w:pPr>
    </w:p>
    <w:p>
      <w:pPr>
        <w:ind w:left="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including personnel costs, allocated facility costs, lab supplies, outside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contract laboratory costs related to manufacturing drug product, clinical trials and preclinical studies are charged to research and development expense as incurred. The Company accounts for nonrefundable advance payments for goods and services that will be used in future research and development activities as expense when the service has been performed or when the goods have been received. Our current NAVIGATE clinical trial is being supported by third-party contract research organizations, or CROs, and other vendors. We accrue expenses for clinical trial activities performed by CROs based upon the estimated amount of work completed on each trial. For clinical trial expenses and related expenses associated with the conduct of clinical trials, the significant factors used in estimating accruals include the number of patients enrolled, the number of active clinical sites, and the duration for which the patients have been enrolled in the trial. We monitor patient enrollment levels and related activities to the extent possible through internal reviews, review of contractual terms and correspondence with CROs. We base our estimates on the best information available at the time. We monitor patient enrollment levels and related activities to the extent possible through discussions with CRO personnel and based our estimates of clinical trial costs on the best information available at the time. However, additional information may become available to us which will allow us to make a more accurate estimate in future periods. In that event, we may be required to record adjustments to research and development expenses in future periods when the actual level of activity becomes more certain.</w:t>
      </w:r>
    </w:p>
    <w:p>
      <w:pPr>
        <w:spacing w:after="0" w:line="187" w:lineRule="exact"/>
        <w:rPr>
          <w:sz w:val="20"/>
          <w:szCs w:val="20"/>
          <w:color w:val="auto"/>
        </w:rPr>
      </w:pPr>
    </w:p>
    <w:p>
      <w:pPr>
        <w:ind w:left="440" w:right="1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Company accounts for income taxes in accordance with the accounting rules that requires an asset and liability approach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income taxes based upon the future expected values of the related assets and liabilities. Deferred income tax assets and liabilities are determined based on the differences between the financial reporting and tax bases of assets and liabilities and for tax loss and credit carry forwards and are measured using the expected tax rates estimated to be in effect when such basis differences reverse. Valuation allowances are established, if necessary, to reduce the deferred tax asset to the amount that will, more likely than not, be realized.</w:t>
      </w:r>
    </w:p>
    <w:p>
      <w:pPr>
        <w:spacing w:after="0" w:line="183" w:lineRule="exact"/>
        <w:rPr>
          <w:sz w:val="20"/>
          <w:szCs w:val="20"/>
          <w:color w:val="auto"/>
        </w:rPr>
      </w:pPr>
    </w:p>
    <w:p>
      <w:pPr>
        <w:ind w:left="440"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Concentration of Credit Risk. </w:t>
      </w:r>
      <w:r>
        <w:rPr>
          <w:rFonts w:ascii="Times New Roman" w:cs="Times New Roman" w:eastAsia="Times New Roman" w:hAnsi="Times New Roman"/>
          <w:sz w:val="18"/>
          <w:szCs w:val="18"/>
          <w:color w:val="auto"/>
        </w:rPr>
        <w:t>Financial instruments that subject the Company to credit risk consist of cash and cash equivalents and certificates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 The Company maintains cash and cash equivalents and certificates of deposit with well-capitalized financial institutions. At times, those amounts may exceed federally insured limits. The Company has no significant concentrations of credit risk.</w:t>
      </w:r>
    </w:p>
    <w:p>
      <w:pPr>
        <w:spacing w:after="0" w:line="173" w:lineRule="exact"/>
        <w:rPr>
          <w:sz w:val="20"/>
          <w:szCs w:val="20"/>
          <w:color w:val="auto"/>
        </w:rPr>
      </w:pPr>
    </w:p>
    <w:p>
      <w:pPr>
        <w:ind w:left="440" w:right="2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Stock-based compensation cost is measured at the grant date based on the fair value of the award and is recognized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over the service period, which generally represents the vesting period. For awards that have performance-based vesting conditions the Company recognizes the expense over the estimated period that the awards are expected to be earned. The Company generally uses the Black-Scholes option-pricing model to calculate the grant date fair value of stock options. The expense recognized over the service period is required to include an estimate of the awards that will be forfeited.</w:t>
      </w:r>
    </w:p>
    <w:p>
      <w:pPr>
        <w:sectPr>
          <w:pgSz w:w="11900" w:h="16838" w:orient="portrait"/>
          <w:cols w:equalWidth="0" w:num="1">
            <w:col w:w="11220"/>
          </w:cols>
          <w:pgMar w:left="320" w:top="116" w:right="35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type w:val="continuous"/>
        </w:sectPr>
      </w:pPr>
    </w:p>
    <w:bookmarkStart w:id="71" w:name="page72"/>
    <w:bookmarkEnd w:id="7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200" w:type="dxa"/>
            <w:vAlign w:val="bottom"/>
          </w:tcPr>
          <w:p>
            <w:pPr>
              <w:spacing w:after="0"/>
              <w:rPr>
                <w:sz w:val="20"/>
                <w:szCs w:val="20"/>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00" w:type="dxa"/>
            <w:vAlign w:val="bottom"/>
          </w:tcPr>
          <w:p>
            <w:pPr>
              <w:spacing w:after="0"/>
              <w:rPr>
                <w:sz w:val="24"/>
                <w:szCs w:val="24"/>
                <w:color w:val="auto"/>
              </w:rPr>
            </w:pPr>
          </w:p>
        </w:tc>
        <w:tc>
          <w:tcPr>
            <w:tcW w:w="8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and equipment consist of the following at December 31:</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100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7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6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7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6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Depreciation and amortization expense for the years ended December 31, 2021 and 2020 was $0 and $0, respectively.</w:t>
      </w:r>
    </w:p>
    <w:p>
      <w:pPr>
        <w:spacing w:after="0" w:line="221" w:lineRule="exact"/>
        <w:rPr>
          <w:sz w:val="20"/>
          <w:szCs w:val="20"/>
          <w:color w:val="auto"/>
        </w:rPr>
      </w:pPr>
    </w:p>
    <w:p>
      <w:pPr>
        <w:ind w:left="500" w:hanging="492"/>
        <w:spacing w:after="0"/>
        <w:tabs>
          <w:tab w:leader="none" w:pos="5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6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expenses consist of the following at December 31:</w:t>
            </w:r>
          </w:p>
        </w:tc>
        <w:tc>
          <w:tcPr>
            <w:tcW w:w="2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13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accounting fees</w:t>
            </w:r>
          </w:p>
        </w:tc>
        <w:tc>
          <w:tcPr>
            <w:tcW w:w="2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789</w:t>
            </w: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costs and other</w:t>
            </w:r>
          </w:p>
        </w:tc>
        <w:tc>
          <w:tcPr>
            <w:tcW w:w="2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3,087</w:t>
            </w:r>
          </w:p>
        </w:tc>
      </w:tr>
      <w:tr>
        <w:trPr>
          <w:trHeight w:val="257"/>
        </w:trPr>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20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100" w:type="dxa"/>
            <w:vAlign w:val="bottom"/>
            <w:shd w:val="clear" w:color="auto" w:fill="CCEEFF"/>
          </w:tcPr>
          <w:p>
            <w:pPr>
              <w:spacing w:after="0"/>
              <w:rPr>
                <w:sz w:val="22"/>
                <w:szCs w:val="22"/>
                <w:color w:val="auto"/>
              </w:rPr>
            </w:pPr>
          </w:p>
        </w:tc>
      </w:tr>
      <w:tr>
        <w:trPr>
          <w:trHeight w:val="426"/>
        </w:trPr>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200" w:type="dxa"/>
            <w:vAlign w:val="bottom"/>
          </w:tcPr>
          <w:p>
            <w:pPr>
              <w:spacing w:after="0"/>
              <w:rPr>
                <w:sz w:val="24"/>
                <w:szCs w:val="24"/>
                <w:color w:val="auto"/>
              </w:rPr>
            </w:pPr>
          </w:p>
        </w:tc>
        <w:tc>
          <w:tcPr>
            <w:tcW w:w="62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Convertible Notes Payable – Related Party</w:t>
            </w:r>
          </w:p>
        </w:tc>
        <w:tc>
          <w:tcPr>
            <w:tcW w:w="20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198" w:lineRule="exact"/>
        <w:rPr>
          <w:sz w:val="20"/>
          <w:szCs w:val="20"/>
          <w:color w:val="auto"/>
        </w:rPr>
      </w:pPr>
    </w:p>
    <w:p>
      <w:pPr>
        <w:ind w:left="420" w:right="160"/>
        <w:spacing w:after="0" w:line="266" w:lineRule="auto"/>
        <w:rPr>
          <w:sz w:val="20"/>
          <w:szCs w:val="20"/>
          <w:color w:val="auto"/>
        </w:rPr>
      </w:pPr>
      <w:r>
        <w:rPr>
          <w:rFonts w:ascii="Times New Roman" w:cs="Times New Roman" w:eastAsia="Times New Roman" w:hAnsi="Times New Roman"/>
          <w:sz w:val="18"/>
          <w:szCs w:val="18"/>
          <w:color w:val="auto"/>
        </w:rPr>
        <w:t>On April 16, 2021, the Company and Richard E. Uihlein entered into a debt financing arrangement whereby Mr. Uihlein loaned $10,000,000 to Company. In consideration for the loan, the Company issued a convertible promissory note (the “April Note”) in the principal amount of ten million dollars.</w:t>
      </w:r>
    </w:p>
    <w:p>
      <w:pPr>
        <w:spacing w:after="0" w:line="176" w:lineRule="exact"/>
        <w:rPr>
          <w:sz w:val="20"/>
          <w:szCs w:val="20"/>
          <w:color w:val="auto"/>
        </w:rPr>
      </w:pPr>
    </w:p>
    <w:p>
      <w:pPr>
        <w:ind w:left="420" w:right="120"/>
        <w:spacing w:after="0" w:line="261" w:lineRule="auto"/>
        <w:rPr>
          <w:sz w:val="20"/>
          <w:szCs w:val="20"/>
          <w:color w:val="auto"/>
        </w:rPr>
      </w:pPr>
      <w:r>
        <w:rPr>
          <w:rFonts w:ascii="Times New Roman" w:cs="Times New Roman" w:eastAsia="Times New Roman" w:hAnsi="Times New Roman"/>
          <w:sz w:val="18"/>
          <w:szCs w:val="18"/>
          <w:color w:val="auto"/>
        </w:rPr>
        <w:t>The April Note has a maturity date of April 16, 2025, is prepayable at the option of the Company in whole or in part at any time and is convertible into the Company’s common stock at a conversion price equal to $5.00 per share at the option of the noteholder. The April Note bears interest at the rate of two percent (2%) per annum, compounded annually. For the year ended December 31, 2021, approximately $142,000 of interest expense was accrued and included with the principal in the financial statements.</w:t>
      </w:r>
    </w:p>
    <w:p>
      <w:pPr>
        <w:spacing w:after="0" w:line="180" w:lineRule="exact"/>
        <w:rPr>
          <w:sz w:val="20"/>
          <w:szCs w:val="20"/>
          <w:color w:val="auto"/>
        </w:rPr>
      </w:pPr>
    </w:p>
    <w:p>
      <w:pPr>
        <w:ind w:left="420" w:right="20"/>
        <w:spacing w:after="0" w:line="253" w:lineRule="auto"/>
        <w:rPr>
          <w:sz w:val="20"/>
          <w:szCs w:val="20"/>
          <w:color w:val="auto"/>
        </w:rPr>
      </w:pPr>
      <w:r>
        <w:rPr>
          <w:rFonts w:ascii="Times New Roman" w:cs="Times New Roman" w:eastAsia="Times New Roman" w:hAnsi="Times New Roman"/>
          <w:sz w:val="18"/>
          <w:szCs w:val="18"/>
          <w:color w:val="auto"/>
        </w:rPr>
        <w:t>The April Note also includes a contingent interest component that requires the Company to pay additional interest at a rate of two and one-half percent (2.5%) per quarter (10% per annum) (the “Additional Interest”) beginning on the date of issuance of this Note and ending on the maturity date, provided however, that such payment is only required if and only if the noteholder elects to convert the entire balance of the April Note into the Company’s common stock on or prior to maturity. As the contingent event is not based on creditworthiness, such feature is not clearly and closely related to the host instrument and accordingly must be bifurcated and recognized as a derivative liability and a debt discount on the April Note at its inception. The fair value of the contingent interest derivative liability was $420,000 and $495,000 at note inception (April 16, 2021) and December 31, 2021, respectively, and is recognized as a derivative liability in the consolidated balance sheet. The change in the fair value of the derivative liability from April 16, 2021 to December 31, 2021 of $75,000 was charged to other expense for the period ended December 31, 2021. The amortization of the debt discount of $420,000 recorded initially upon note inception of $74,000 was recorded as additional interest expense for the for the year ended December 31, 2021.</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2" w:name="page73"/>
    <w:bookmarkEnd w:id="7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left="420" w:right="20"/>
        <w:spacing w:after="0" w:line="261" w:lineRule="auto"/>
        <w:rPr>
          <w:sz w:val="20"/>
          <w:szCs w:val="20"/>
          <w:color w:val="auto"/>
        </w:rPr>
      </w:pPr>
      <w:r>
        <w:rPr>
          <w:rFonts w:ascii="Times New Roman" w:cs="Times New Roman" w:eastAsia="Times New Roman" w:hAnsi="Times New Roman"/>
          <w:sz w:val="18"/>
          <w:szCs w:val="18"/>
          <w:color w:val="auto"/>
        </w:rPr>
        <w:t>On September 17, 2021, the Company and Mr. Uihlein entered into a loan agreement in the aggregate of $20,000,000 (the “Loan Agreement”) to be funded in two closings and evidenced by two separate unsecured convertible promissory notes. The first of the two promissory notes was also executed and delivered on September 17, 2021, (the “September Note”) to evidence the first loan in the principal amount of $10,000,000. The second closing under the Loan Agreement for the remaining $10,000,000 occurred on December 20, 2021.</w:t>
      </w:r>
    </w:p>
    <w:p>
      <w:pPr>
        <w:spacing w:after="0" w:line="180" w:lineRule="exact"/>
        <w:rPr>
          <w:sz w:val="20"/>
          <w:szCs w:val="20"/>
          <w:color w:val="auto"/>
        </w:rPr>
      </w:pPr>
    </w:p>
    <w:p>
      <w:pPr>
        <w:jc w:val="both"/>
        <w:ind w:left="420" w:right="300"/>
        <w:spacing w:after="0" w:line="261" w:lineRule="auto"/>
        <w:rPr>
          <w:sz w:val="20"/>
          <w:szCs w:val="20"/>
          <w:color w:val="auto"/>
        </w:rPr>
      </w:pPr>
      <w:r>
        <w:rPr>
          <w:rFonts w:ascii="Times New Roman" w:cs="Times New Roman" w:eastAsia="Times New Roman" w:hAnsi="Times New Roman"/>
          <w:sz w:val="18"/>
          <w:szCs w:val="18"/>
          <w:color w:val="auto"/>
        </w:rPr>
        <w:t>The September Note has a maturity date of September 17, 2025, is prepayable at the option of the Company in whole or in part at any time and is convertible into the Company’s common stock at a conversion price equal to $8.64 per share at the option of the noteholder. The September Note bears interest at the rate of two percent (2%) per annum, compounded annually. For the year ended December 31, 2021, approximately $58,000 of interest expense was accrued and included with the principal in the financial statements.</w:t>
      </w:r>
    </w:p>
    <w:p>
      <w:pPr>
        <w:spacing w:after="0" w:line="180" w:lineRule="exact"/>
        <w:rPr>
          <w:sz w:val="20"/>
          <w:szCs w:val="20"/>
          <w:color w:val="auto"/>
        </w:rPr>
      </w:pPr>
    </w:p>
    <w:p>
      <w:pPr>
        <w:ind w:left="420" w:right="20"/>
        <w:spacing w:after="0" w:line="253" w:lineRule="auto"/>
        <w:rPr>
          <w:sz w:val="20"/>
          <w:szCs w:val="20"/>
          <w:color w:val="auto"/>
        </w:rPr>
      </w:pPr>
      <w:r>
        <w:rPr>
          <w:rFonts w:ascii="Times New Roman" w:cs="Times New Roman" w:eastAsia="Times New Roman" w:hAnsi="Times New Roman"/>
          <w:sz w:val="18"/>
          <w:szCs w:val="18"/>
          <w:color w:val="auto"/>
        </w:rPr>
        <w:t>The September Note also includes a contingent interest component that requires the Company to pay additional interest at a rate of two and one-half percent (2.5%) per quarter (10% per annum) (the “Additional Interest”) beginning on the date of issuance of this Note and ending on the maturity date, provided however, that such payment is only required if and only if the noteholder elects to convert the entire balance of the September Note into the Company’s common stock on or prior to maturity. As the contingent event is not based on creditworthiness, such feature is not clearly and closely related to the host instrument and accordingly must be bifurcated and recognized as a derivative liability and a debt discount on the September Note at its inception. The fair value of the contingent interest derivative liability was $433,000 and $250,000 at note inception (September 17, 2021) and December 31, 2021, respectively, and is recognized as a derivative liability in the consolidated balance sheet. The change in the fair value of the derivative liability from September 17, 2021 to December 31, 2021 of ($183,000) was recorded to other expense for the year ended December 31, 2021. The amortization of the debt discount of $433,000 recorded initially upon note inception of $32,000 was recorded as additional interest expense for the for the year ended December 31, 2021.</w:t>
      </w:r>
    </w:p>
    <w:p>
      <w:pPr>
        <w:spacing w:after="0" w:line="194" w:lineRule="exact"/>
        <w:rPr>
          <w:sz w:val="20"/>
          <w:szCs w:val="20"/>
          <w:color w:val="auto"/>
        </w:rPr>
      </w:pPr>
    </w:p>
    <w:p>
      <w:pPr>
        <w:ind w:left="420"/>
        <w:spacing w:after="0" w:line="258" w:lineRule="auto"/>
        <w:rPr>
          <w:sz w:val="20"/>
          <w:szCs w:val="20"/>
          <w:color w:val="auto"/>
        </w:rPr>
      </w:pPr>
      <w:r>
        <w:rPr>
          <w:rFonts w:ascii="Times New Roman" w:cs="Times New Roman" w:eastAsia="Times New Roman" w:hAnsi="Times New Roman"/>
          <w:sz w:val="18"/>
          <w:szCs w:val="18"/>
          <w:color w:val="auto"/>
        </w:rPr>
        <w:t>On December 20, 2021, the second of the two promissory notes under the Loan Agreement was executed and delivered, (the “December Note”) to evidence the second loan in the principal amount of $10,000,000. The December Note has a maturity date of December 20, 2025, is prepayable at the option of the Company in whole or in part at any time and is convertible into the Company’s common stock at a conversion price equal to $5.43 per share at the option of the noteholder. The December Note bears interest at the rate of two percent (2%) per annum, compounded annually. For the year ended December 31, 2021, approximately $7,000 of interest expense was accrued and included with the principal in the financial statements.</w:t>
      </w:r>
    </w:p>
    <w:p>
      <w:pPr>
        <w:spacing w:after="0" w:line="183" w:lineRule="exact"/>
        <w:rPr>
          <w:sz w:val="20"/>
          <w:szCs w:val="20"/>
          <w:color w:val="auto"/>
        </w:rPr>
      </w:pPr>
    </w:p>
    <w:p>
      <w:pPr>
        <w:ind w:left="420"/>
        <w:spacing w:after="0" w:line="253" w:lineRule="auto"/>
        <w:rPr>
          <w:sz w:val="20"/>
          <w:szCs w:val="20"/>
          <w:color w:val="auto"/>
        </w:rPr>
      </w:pPr>
      <w:r>
        <w:rPr>
          <w:rFonts w:ascii="Times New Roman" w:cs="Times New Roman" w:eastAsia="Times New Roman" w:hAnsi="Times New Roman"/>
          <w:sz w:val="18"/>
          <w:szCs w:val="18"/>
          <w:color w:val="auto"/>
        </w:rPr>
        <w:t>The December Note also includes a contingent interest component that requires the Company to pay additional interest at a rate of two and one-half percent (2.5%) per quarter (10% per annum) (the “Additional Interest”) beginning on the date of issuance of this Note and ending on the maturity date, provided however, that such payment is only required if and only if the noteholder elects to convert the entire balance of the December Note into the Company’s common stock on or prior to maturity. As the contingent event is not based on creditworthiness, such feature is not clearly and closely related to the host instrument and accordingly must be bifurcated and recognized as a derivative liability and a debt discount on the December Note at its inception. The fair value of the contingent interest derivative liability was $415,000 and $385,000 at note inception (December 20, 2021) and December 31, 2021, respectively, and is recognized as a derivative liability in the consolidated balance sheet. The change in the fair value of the derivative liability from December 20, 2021 to December 31, 2021 of ($30,000) was recorded to other expense for the year ended December 31,</w:t>
      </w:r>
    </w:p>
    <w:p>
      <w:pPr>
        <w:spacing w:after="0" w:line="1" w:lineRule="exact"/>
        <w:rPr>
          <w:sz w:val="20"/>
          <w:szCs w:val="20"/>
          <w:color w:val="auto"/>
        </w:rPr>
      </w:pPr>
    </w:p>
    <w:p>
      <w:pPr>
        <w:ind w:left="420" w:right="120"/>
        <w:spacing w:after="0" w:line="260" w:lineRule="auto"/>
        <w:rPr>
          <w:sz w:val="20"/>
          <w:szCs w:val="20"/>
          <w:color w:val="auto"/>
        </w:rPr>
      </w:pPr>
      <w:r>
        <w:rPr>
          <w:rFonts w:ascii="Times New Roman" w:cs="Times New Roman" w:eastAsia="Times New Roman" w:hAnsi="Times New Roman"/>
          <w:sz w:val="18"/>
          <w:szCs w:val="18"/>
          <w:color w:val="auto"/>
        </w:rPr>
        <w:t>2021. The amortization of the debt discount of $415,000 recorded initially upon note inception of $3,000 was recorded as additional interest expense for the for the year ended December 31, 2021.</w:t>
      </w:r>
    </w:p>
    <w:p>
      <w:pPr>
        <w:spacing w:after="0" w:line="181" w:lineRule="exact"/>
        <w:rPr>
          <w:sz w:val="20"/>
          <w:szCs w:val="20"/>
          <w:color w:val="auto"/>
        </w:rPr>
      </w:pPr>
    </w:p>
    <w:p>
      <w:pPr>
        <w:jc w:val="both"/>
        <w:ind w:left="420" w:right="40"/>
        <w:spacing w:after="0" w:line="266" w:lineRule="auto"/>
        <w:rPr>
          <w:sz w:val="20"/>
          <w:szCs w:val="20"/>
          <w:color w:val="auto"/>
        </w:rPr>
      </w:pPr>
      <w:r>
        <w:rPr>
          <w:rFonts w:ascii="Times New Roman" w:cs="Times New Roman" w:eastAsia="Times New Roman" w:hAnsi="Times New Roman"/>
          <w:sz w:val="18"/>
          <w:szCs w:val="18"/>
          <w:color w:val="auto"/>
        </w:rPr>
        <w:t>The Company’s contractual cash obligations related to the outstanding convertible notes payable is a repayment of the April Note of the $10,000,000 plus accrued interest on April 16, 2025 and a repayment of the September Note of the $10,000,000 plus accrued interest on September 17, 2025 and a repayment of the December Note of the $10,000,000 plus accrued interest on December 30, 2025, unless converted at the option of the noteholder.</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3" w:name="page74"/>
    <w:bookmarkEnd w:id="7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ind w:left="500" w:hanging="492"/>
        <w:spacing w:after="0"/>
        <w:tabs>
          <w:tab w:leader="none" w:pos="5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Assets and liabilities measured and recorded at fair value on a recurring basis at December 31, 2021 were as follows:</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45"/>
        </w:trPr>
        <w:tc>
          <w:tcPr>
            <w:tcW w:w="5700" w:type="dxa"/>
            <w:vAlign w:val="bottom"/>
          </w:tcPr>
          <w:p>
            <w:pPr>
              <w:spacing w:after="0"/>
              <w:rPr>
                <w:sz w:val="21"/>
                <w:szCs w:val="21"/>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1"/>
                <w:szCs w:val="21"/>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Contingent Interest April Note</w:t>
            </w: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495,000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495,000</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Liability – Contingent Interest September Note</w:t>
            </w: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Contingent Interest December Note</w:t>
            </w:r>
          </w:p>
        </w:tc>
        <w:tc>
          <w:tcPr>
            <w:tcW w:w="13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385,000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385,000</w:t>
            </w:r>
          </w:p>
        </w:tc>
      </w:tr>
    </w:tbl>
    <w:p>
      <w:pPr>
        <w:spacing w:after="0" w:line="198" w:lineRule="exact"/>
        <w:rPr>
          <w:sz w:val="20"/>
          <w:szCs w:val="20"/>
          <w:color w:val="auto"/>
        </w:rPr>
      </w:pPr>
    </w:p>
    <w:p>
      <w:pPr>
        <w:ind w:left="500" w:right="820"/>
        <w:spacing w:after="0" w:line="282" w:lineRule="auto"/>
        <w:rPr>
          <w:sz w:val="20"/>
          <w:szCs w:val="20"/>
          <w:color w:val="auto"/>
        </w:rPr>
      </w:pPr>
      <w:r>
        <w:rPr>
          <w:rFonts w:ascii="Times New Roman" w:cs="Times New Roman" w:eastAsia="Times New Roman" w:hAnsi="Times New Roman"/>
          <w:sz w:val="18"/>
          <w:szCs w:val="18"/>
          <w:color w:val="auto"/>
        </w:rPr>
        <w:t>The April Note derivative liability – contingent interest was valued using a Monte Carlo Geometric Brownian Stock Path Model. The key assumptions used in the model at inception, and at December 31, 2021 are as follows:</w:t>
      </w:r>
    </w:p>
    <w:p>
      <w:pPr>
        <w:spacing w:after="0" w:line="158" w:lineRule="exact"/>
        <w:rPr>
          <w:sz w:val="20"/>
          <w:szCs w:val="20"/>
          <w:color w:val="auto"/>
        </w:rPr>
      </w:pPr>
    </w:p>
    <w:tbl>
      <w:tblPr>
        <w:tblLayout w:type="fixed"/>
        <w:tblInd w:w="500" w:type="dxa"/>
        <w:tblCellMar>
          <w:top w:w="0" w:type="dxa"/>
          <w:left w:w="0" w:type="dxa"/>
          <w:bottom w:w="0" w:type="dxa"/>
          <w:right w:w="0" w:type="dxa"/>
        </w:tblCellMar>
      </w:tblPr>
      <w:tr>
        <w:trPr>
          <w:trHeight w:val="245"/>
        </w:trPr>
        <w:tc>
          <w:tcPr>
            <w:tcW w:w="7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Inception</w:t>
            </w:r>
          </w:p>
        </w:tc>
        <w:tc>
          <w:tcPr>
            <w:tcW w:w="166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Conversion Price of conversion feature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 years</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 years</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0.59%</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0.97%</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Adjusted Discount Rate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7.60%</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8.43%</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r>
      <w:tr>
        <w:trPr>
          <w:trHeight w:val="432"/>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The roll forward of the April Note derivative liability – contingent interest is as follows:</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2020</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April convertible note payable – related party</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420,000</w:t>
            </w:r>
          </w:p>
        </w:tc>
        <w:tc>
          <w:tcPr>
            <w:tcW w:w="100" w:type="dxa"/>
            <w:vAlign w:val="bottom"/>
          </w:tcPr>
          <w:p>
            <w:pPr>
              <w:spacing w:after="0"/>
              <w:rPr>
                <w:sz w:val="18"/>
                <w:szCs w:val="18"/>
                <w:color w:val="auto"/>
              </w:rPr>
            </w:pPr>
          </w:p>
        </w:tc>
      </w:tr>
      <w:tr>
        <w:trPr>
          <w:trHeight w:val="223"/>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Balance – December 31, 2021</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495,000</w:t>
            </w:r>
          </w:p>
        </w:tc>
        <w:tc>
          <w:tcPr>
            <w:tcW w:w="100" w:type="dxa"/>
            <w:vAlign w:val="bottom"/>
          </w:tcPr>
          <w:p>
            <w:pPr>
              <w:spacing w:after="0"/>
              <w:rPr>
                <w:sz w:val="18"/>
                <w:szCs w:val="18"/>
                <w:color w:val="auto"/>
              </w:rPr>
            </w:pPr>
          </w:p>
        </w:tc>
      </w:tr>
      <w:tr>
        <w:trPr>
          <w:trHeight w:val="21"/>
        </w:trPr>
        <w:tc>
          <w:tcPr>
            <w:tcW w:w="7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right="440"/>
        <w:spacing w:after="0" w:line="282" w:lineRule="auto"/>
        <w:rPr>
          <w:sz w:val="20"/>
          <w:szCs w:val="20"/>
          <w:color w:val="auto"/>
        </w:rPr>
      </w:pPr>
      <w:r>
        <w:rPr>
          <w:rFonts w:ascii="Times New Roman" w:cs="Times New Roman" w:eastAsia="Times New Roman" w:hAnsi="Times New Roman"/>
          <w:sz w:val="18"/>
          <w:szCs w:val="18"/>
          <w:color w:val="auto"/>
        </w:rPr>
        <w:t>The September Note derivative liability – contingent interest was valued using a Monte Carlo Geometric Brownian Stock Path Model. The key assumptions used in the model at inception, and at December 31, 2021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0" w:type="dxa"/>
            <w:vAlign w:val="bottom"/>
          </w:tcPr>
          <w:p>
            <w:pPr>
              <w:spacing w:after="0"/>
              <w:rPr>
                <w:sz w:val="21"/>
                <w:szCs w:val="21"/>
                <w:color w:val="auto"/>
              </w:rPr>
            </w:pPr>
          </w:p>
        </w:tc>
        <w:tc>
          <w:tcPr>
            <w:tcW w:w="7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Inception</w:t>
            </w:r>
          </w:p>
        </w:tc>
        <w:tc>
          <w:tcPr>
            <w:tcW w:w="166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Conversion Price of conversion feature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8.64</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 years</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3.72 years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0.68%</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Adjusted Discount Rate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7.59%</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The roll forward of the September Note derivative liability – contingent interest is as follows: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September convertible note payable – related party</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433,000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(183,000)</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72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Balance – December 31, 2021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80" w:type="dxa"/>
            <w:vAlign w:val="bottom"/>
            <w:vMerge w:val="restart"/>
          </w:tcPr>
          <w:p>
            <w:pPr>
              <w:ind w:left="4980"/>
              <w:spacing w:after="0"/>
              <w:rPr>
                <w:sz w:val="20"/>
                <w:szCs w:val="20"/>
                <w:color w:val="auto"/>
              </w:rPr>
            </w:pPr>
            <w:r>
              <w:rPr>
                <w:rFonts w:ascii="Times New Roman" w:cs="Times New Roman" w:eastAsia="Times New Roman" w:hAnsi="Times New Roman"/>
                <w:sz w:val="14"/>
                <w:szCs w:val="14"/>
                <w:color w:val="auto"/>
              </w:rPr>
              <w:t>F-12</w:t>
            </w: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500" w:type="dxa"/>
            <w:vAlign w:val="bottom"/>
          </w:tcPr>
          <w:p>
            <w:pPr>
              <w:spacing w:after="0"/>
              <w:rPr>
                <w:sz w:val="24"/>
                <w:szCs w:val="24"/>
                <w:color w:val="auto"/>
              </w:rPr>
            </w:pPr>
          </w:p>
        </w:tc>
        <w:tc>
          <w:tcPr>
            <w:tcW w:w="72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00" w:type="dxa"/>
            <w:vAlign w:val="bottom"/>
            <w:tcBorders>
              <w:bottom w:val="single" w:sz="8" w:color="auto"/>
            </w:tcBorders>
          </w:tcPr>
          <w:p>
            <w:pPr>
              <w:spacing w:after="0"/>
              <w:rPr>
                <w:sz w:val="3"/>
                <w:szCs w:val="3"/>
                <w:color w:val="auto"/>
              </w:rPr>
            </w:pPr>
          </w:p>
        </w:tc>
        <w:tc>
          <w:tcPr>
            <w:tcW w:w="7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74" w:name="page75"/>
    <w:bookmarkEnd w:id="7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left="500" w:right="460"/>
        <w:spacing w:after="0" w:line="282" w:lineRule="auto"/>
        <w:rPr>
          <w:sz w:val="20"/>
          <w:szCs w:val="20"/>
          <w:color w:val="auto"/>
        </w:rPr>
      </w:pPr>
      <w:r>
        <w:rPr>
          <w:rFonts w:ascii="Times New Roman" w:cs="Times New Roman" w:eastAsia="Times New Roman" w:hAnsi="Times New Roman"/>
          <w:sz w:val="18"/>
          <w:szCs w:val="18"/>
          <w:color w:val="auto"/>
        </w:rPr>
        <w:t>The December Note derivative liability – contingent interest was valued using a Monte Carlo Geometric Brownian Stock Path Model. The key assumptions used in the model at inception, and at December 31, 2021 are as follows:</w:t>
      </w:r>
    </w:p>
    <w:p>
      <w:pPr>
        <w:spacing w:after="0" w:line="158" w:lineRule="exact"/>
        <w:rPr>
          <w:sz w:val="20"/>
          <w:szCs w:val="20"/>
          <w:color w:val="auto"/>
        </w:rPr>
      </w:pPr>
    </w:p>
    <w:tbl>
      <w:tblPr>
        <w:tblLayout w:type="fixed"/>
        <w:tblInd w:w="500" w:type="dxa"/>
        <w:tblCellMar>
          <w:top w:w="0" w:type="dxa"/>
          <w:left w:w="0" w:type="dxa"/>
          <w:bottom w:w="0" w:type="dxa"/>
          <w:right w:w="0" w:type="dxa"/>
        </w:tblCellMar>
      </w:tblPr>
      <w:tr>
        <w:trPr>
          <w:trHeight w:val="245"/>
        </w:trPr>
        <w:tc>
          <w:tcPr>
            <w:tcW w:w="7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Inception</w:t>
            </w:r>
          </w:p>
        </w:tc>
        <w:tc>
          <w:tcPr>
            <w:tcW w:w="166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Conversion Price of conversion feature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5.43</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 years</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3.97 years</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Adjusted Discount Rate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8.54%</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8.42%</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r>
      <w:tr>
        <w:trPr>
          <w:trHeight w:val="432"/>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The roll forward of the December Note derivative liability – contingent interest is as follows:</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2020</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September convertible note payable – related party</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415,000</w:t>
            </w:r>
          </w:p>
        </w:tc>
        <w:tc>
          <w:tcPr>
            <w:tcW w:w="100" w:type="dxa"/>
            <w:vAlign w:val="bottom"/>
          </w:tcPr>
          <w:p>
            <w:pPr>
              <w:spacing w:after="0"/>
              <w:rPr>
                <w:sz w:val="18"/>
                <w:szCs w:val="18"/>
                <w:color w:val="auto"/>
              </w:rPr>
            </w:pPr>
          </w:p>
        </w:tc>
      </w:tr>
      <w:tr>
        <w:trPr>
          <w:trHeight w:val="223"/>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78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 December 31, 2021</w:t>
            </w:r>
          </w:p>
        </w:tc>
        <w:tc>
          <w:tcPr>
            <w:tcW w:w="1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385,000</w:t>
            </w:r>
          </w:p>
        </w:tc>
        <w:tc>
          <w:tcPr>
            <w:tcW w:w="100" w:type="dxa"/>
            <w:vAlign w:val="bottom"/>
            <w:tcBorders>
              <w:top w:val="single" w:sz="8" w:color="CCEEFF"/>
            </w:tcBorders>
          </w:tcPr>
          <w:p>
            <w:pPr>
              <w:spacing w:after="0"/>
              <w:rPr>
                <w:sz w:val="18"/>
                <w:szCs w:val="18"/>
                <w:color w:val="auto"/>
              </w:rPr>
            </w:pPr>
          </w:p>
        </w:tc>
      </w:tr>
      <w:tr>
        <w:trPr>
          <w:trHeight w:val="21"/>
        </w:trPr>
        <w:tc>
          <w:tcPr>
            <w:tcW w:w="7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440" w:hanging="432"/>
        <w:spacing w:after="0"/>
        <w:tabs>
          <w:tab w:leader="none" w:pos="4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29" w:lineRule="exact"/>
        <w:rPr>
          <w:rFonts w:ascii="Times New Roman" w:cs="Times New Roman" w:eastAsia="Times New Roman" w:hAnsi="Times New Roman"/>
          <w:sz w:val="18"/>
          <w:szCs w:val="18"/>
          <w:b w:val="1"/>
          <w:bCs w:val="1"/>
          <w:color w:val="auto"/>
        </w:rPr>
      </w:pPr>
    </w:p>
    <w:p>
      <w:pPr>
        <w:ind w:left="440" w:right="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December 31, 2021, the Company had 150,000,000 shares of common stock and 20,000,000 undesignated shares authorized. As of December 31, 2021, 1,742,500 shares have been designated for Series A 12% Convertible Preferred Stock, 900,000 shares have been designated for Series B-1 Convertible Preferred Stock, 2,100,000 shares have been designated for Series B-2 Convertible Preferred Stock, 1,000 shares have been designated for Series C Super Dividend Convertible Preferred Stock, 2,508,000 shares have been designated for Series B-3 Convertible Preferred Stock, 12,748,500 have been designated as common stock and no shares remain undesignated. All issued and outstanding shares of Series B-1, Series B-2 and Series B-3 Preferred Stock were converted into Common Stock on January 19, 2019.</w:t>
      </w:r>
    </w:p>
    <w:p>
      <w:pPr>
        <w:spacing w:after="0" w:line="185"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2020 At Market Issuance of Common Stock</w:t>
      </w:r>
    </w:p>
    <w:p>
      <w:pPr>
        <w:spacing w:after="0" w:line="227" w:lineRule="exact"/>
        <w:rPr>
          <w:rFonts w:ascii="Times New Roman" w:cs="Times New Roman" w:eastAsia="Times New Roman" w:hAnsi="Times New Roman"/>
          <w:sz w:val="18"/>
          <w:szCs w:val="18"/>
          <w:b w:val="1"/>
          <w:bCs w:val="1"/>
          <w:color w:val="auto"/>
        </w:rPr>
      </w:pPr>
    </w:p>
    <w:p>
      <w:pPr>
        <w:ind w:left="440" w:right="1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11, 2020, the Company entered into an At Market Issuance Sales Agreement (the “2020 At Market Agreement”) with a sales agent under which the Company may issue and sell shares of its common stock having an aggregate offering price of up to $40.0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2020 At Market Agreement. During the year ended December 31, 2021, the Company issued 845,214 shares of common stock under the 2020 At Market Agreement for net proceeds of $3,864,000. In June 2020, the Company issued 14,452 shares of its common stock under the 2020 At Market Agreement for net proceeds of approximately $44,000.</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Rights Offering</w:t>
      </w:r>
    </w:p>
    <w:p>
      <w:pPr>
        <w:spacing w:after="0" w:line="229" w:lineRule="exact"/>
        <w:rPr>
          <w:sz w:val="20"/>
          <w:szCs w:val="20"/>
          <w:color w:val="auto"/>
        </w:rPr>
      </w:pPr>
    </w:p>
    <w:p>
      <w:pPr>
        <w:ind w:left="440"/>
        <w:spacing w:after="0" w:line="255" w:lineRule="auto"/>
        <w:rPr>
          <w:sz w:val="20"/>
          <w:szCs w:val="20"/>
          <w:color w:val="auto"/>
        </w:rPr>
      </w:pPr>
      <w:r>
        <w:rPr>
          <w:rFonts w:ascii="Times New Roman" w:cs="Times New Roman" w:eastAsia="Times New Roman" w:hAnsi="Times New Roman"/>
          <w:sz w:val="18"/>
          <w:szCs w:val="18"/>
          <w:color w:val="auto"/>
        </w:rPr>
        <w:t>On May 23, 2019, the Company completed an offering of common stock and warrants to its shareholders of record as of April 29, 2019. In the offering, the Company received approximately $44.9 million for the issuance of 10,488,161 shares of common stock and warrants which may be exercised for 2,622,154 shares of common stock. The warrants may be exercised at $7.00 per share of common stock and expire on May 23, 2026. The warrants were valued at approximately $8.2 million as of the issuance, using the closing price of $4.01, a life of 7 years, a volatility of 101% and a risk-free interest rate of 2.33%. Based upon the Company’s analysis of the criteria contained in ASC Topic 815-40, “Derivatives and Hedging — Contracts in Entity’s Own Equity” the Company has determined that warrants issued in connection with this financing transaction were not derivative liabilities and therefore, were recorded as additional paid-in capital.</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5" w:name="page76"/>
    <w:bookmarkEnd w:id="7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12% Convertible Preferred Stock — February 4, 2008 Private Placement</w:t>
      </w:r>
    </w:p>
    <w:p>
      <w:pPr>
        <w:spacing w:after="0" w:line="229" w:lineRule="exact"/>
        <w:rPr>
          <w:sz w:val="20"/>
          <w:szCs w:val="20"/>
          <w:color w:val="auto"/>
        </w:rPr>
      </w:pPr>
    </w:p>
    <w:p>
      <w:pPr>
        <w:ind w:left="440"/>
        <w:spacing w:after="0" w:line="255" w:lineRule="auto"/>
        <w:rPr>
          <w:sz w:val="20"/>
          <w:szCs w:val="20"/>
          <w:color w:val="auto"/>
        </w:rPr>
      </w:pPr>
      <w:r>
        <w:rPr>
          <w:rFonts w:ascii="Times New Roman" w:cs="Times New Roman" w:eastAsia="Times New Roman" w:hAnsi="Times New Roman"/>
          <w:sz w:val="18"/>
          <w:szCs w:val="18"/>
          <w:color w:val="auto"/>
        </w:rPr>
        <w:t>On February 4, 2008, the Company closed a private placement begun in October 2007 of its Series A 12% Convertible Preferred Stock (“Series A”) and related warrants. In this transaction, the Company sold units of securities at $6.00 per unit, each unit comprised of (i) one share of Series A Preferred, (ii) a warrant to purchase one share of common stock for $9.00, and (iii) a warrant to purchase one share of common stock for $12.00. Each share of the Series A is entitled to dividends at the rate of 12% per annum payable at the Company’s option in cash or shares of common stock valued at the higher of $6.00 per share or 100% of the value weighted average price of the Company’s share price for the 20 consecutive trading days prior to the applicable dividend payment date. Dividends are payable semi-annually on March 30 and September 30. The dividend paid on the initial dividend payment date is calculated from the date the Company deposited each subscription advance.</w:t>
      </w:r>
    </w:p>
    <w:p>
      <w:pPr>
        <w:spacing w:after="0" w:line="189" w:lineRule="exact"/>
        <w:rPr>
          <w:sz w:val="20"/>
          <w:szCs w:val="20"/>
          <w:color w:val="auto"/>
        </w:rPr>
      </w:pPr>
    </w:p>
    <w:p>
      <w:pPr>
        <w:ind w:left="440" w:right="60"/>
        <w:spacing w:after="0" w:line="256" w:lineRule="auto"/>
        <w:rPr>
          <w:sz w:val="20"/>
          <w:szCs w:val="20"/>
          <w:color w:val="auto"/>
        </w:rPr>
      </w:pPr>
      <w:r>
        <w:rPr>
          <w:rFonts w:ascii="Times New Roman" w:cs="Times New Roman" w:eastAsia="Times New Roman" w:hAnsi="Times New Roman"/>
          <w:sz w:val="18"/>
          <w:szCs w:val="18"/>
          <w:color w:val="auto"/>
        </w:rPr>
        <w:t>The shares of Series A are entitled to vote as a class with the Company’s common stock and each share of Series A is convertible at any time to one-sixth of a share of common stock, subject to adjustment in the event of a stock dividend, stock split or combination, reclassification or similar event. The Company has the right to require conversion if the closing price of the common stock exceeds $18.00 for 15 consecutive trading days and a registration statement covering the resale of the shares of common stock issuable upon conversion of the Series A is then in effect. Each warrant is exercisable solely for cash beginning August 3, 2008 and expired on February 4, 2012. The exercise price of each warrant is adjustable in the event of a stock split or stock combination, capital reorganization, merger or similar event.</w:t>
      </w:r>
    </w:p>
    <w:p>
      <w:pPr>
        <w:spacing w:after="0" w:line="187" w:lineRule="exact"/>
        <w:rPr>
          <w:sz w:val="20"/>
          <w:szCs w:val="20"/>
          <w:color w:val="auto"/>
        </w:rPr>
      </w:pPr>
    </w:p>
    <w:p>
      <w:pPr>
        <w:ind w:left="440" w:right="220"/>
        <w:spacing w:after="0" w:line="266" w:lineRule="auto"/>
        <w:rPr>
          <w:sz w:val="20"/>
          <w:szCs w:val="20"/>
          <w:color w:val="auto"/>
        </w:rPr>
      </w:pPr>
      <w:r>
        <w:rPr>
          <w:rFonts w:ascii="Times New Roman" w:cs="Times New Roman" w:eastAsia="Times New Roman" w:hAnsi="Times New Roman"/>
          <w:sz w:val="18"/>
          <w:szCs w:val="18"/>
          <w:color w:val="auto"/>
        </w:rPr>
        <w:t>In 2020, 25,000 shares of Series A were converted into 4,553 shares of common stock which included 387 shares relating to the prorated dividend prior to conversion. There were no shares of Series A converted into shares of common stock in 2019. Prior to 2018, a total of 410,000 shares of Series A had been converted into 69,312 shares of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C 6% Super Dividend Redeemable Convertible Preferred Stock</w:t>
      </w:r>
    </w:p>
    <w:p>
      <w:pPr>
        <w:spacing w:after="0" w:line="229" w:lineRule="exact"/>
        <w:rPr>
          <w:sz w:val="20"/>
          <w:szCs w:val="20"/>
          <w:color w:val="auto"/>
        </w:rPr>
      </w:pPr>
    </w:p>
    <w:p>
      <w:pPr>
        <w:ind w:left="440" w:right="40"/>
        <w:spacing w:after="0" w:line="282" w:lineRule="auto"/>
        <w:rPr>
          <w:sz w:val="20"/>
          <w:szCs w:val="20"/>
          <w:color w:val="auto"/>
        </w:rPr>
      </w:pPr>
      <w:r>
        <w:rPr>
          <w:rFonts w:ascii="Times New Roman" w:cs="Times New Roman" w:eastAsia="Times New Roman" w:hAnsi="Times New Roman"/>
          <w:sz w:val="18"/>
          <w:szCs w:val="18"/>
          <w:color w:val="auto"/>
        </w:rPr>
        <w:t>On December 29, 2010, the Company designated and authorized the sale and issuance of up to 1,000 shares of Series C Super Dividend Redeemable Convertible Preferred Stock (“Series C”) with a par value of $0.01 and a stated value equal to $10,000 (the “Stated Value”).</w:t>
      </w:r>
    </w:p>
    <w:p>
      <w:pPr>
        <w:spacing w:after="0" w:line="162" w:lineRule="exact"/>
        <w:rPr>
          <w:sz w:val="20"/>
          <w:szCs w:val="20"/>
          <w:color w:val="auto"/>
        </w:rPr>
      </w:pPr>
    </w:p>
    <w:p>
      <w:pPr>
        <w:ind w:left="440" w:right="200"/>
        <w:spacing w:after="0" w:line="261" w:lineRule="auto"/>
        <w:rPr>
          <w:sz w:val="20"/>
          <w:szCs w:val="20"/>
          <w:color w:val="auto"/>
        </w:rPr>
      </w:pPr>
      <w:r>
        <w:rPr>
          <w:rFonts w:ascii="Times New Roman" w:cs="Times New Roman" w:eastAsia="Times New Roman" w:hAnsi="Times New Roman"/>
          <w:sz w:val="18"/>
          <w:szCs w:val="18"/>
          <w:color w:val="auto"/>
        </w:rPr>
        <w:t>On December 30, 2010, the Company sold and issued 212 shares of Series C at a price of $10,000 per share for gross proceeds of $2,120,000. The Company incurred $47,000 of cash transaction costs resulting in net cash proceeds of $2,073,000. In addition, the Company issued 500 warrants exercisable at $7.20 to a placement agent which had a de minimis value. Additionally, in January 2011, the Company sold and issued 13 shares of Series C at a price of $10,000 per share for gross proceeds of $130,000.</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terms of the Series C are as follows:</w:t>
      </w:r>
    </w:p>
    <w:p>
      <w:pPr>
        <w:spacing w:after="0" w:line="223" w:lineRule="exact"/>
        <w:rPr>
          <w:sz w:val="20"/>
          <w:szCs w:val="20"/>
          <w:color w:val="auto"/>
        </w:rPr>
      </w:pPr>
    </w:p>
    <w:p>
      <w:pPr>
        <w:ind w:left="440" w:right="60"/>
        <w:spacing w:after="0" w:line="261" w:lineRule="auto"/>
        <w:rPr>
          <w:sz w:val="20"/>
          <w:szCs w:val="20"/>
          <w:color w:val="auto"/>
        </w:rPr>
      </w:pPr>
      <w:r>
        <w:rPr>
          <w:rFonts w:ascii="Times New Roman" w:cs="Times New Roman" w:eastAsia="Times New Roman" w:hAnsi="Times New Roman"/>
          <w:sz w:val="18"/>
          <w:szCs w:val="18"/>
          <w:i w:val="1"/>
          <w:iCs w:val="1"/>
          <w:color w:val="auto"/>
        </w:rPr>
        <w:t>Conversion Rights</w:t>
      </w:r>
      <w:r>
        <w:rPr>
          <w:rFonts w:ascii="Times New Roman" w:cs="Times New Roman" w:eastAsia="Times New Roman" w:hAnsi="Times New Roman"/>
          <w:sz w:val="18"/>
          <w:szCs w:val="18"/>
          <w:color w:val="auto"/>
        </w:rPr>
        <w:t>. Each holder of Series C may convert all, but not less than all, of his Series C shares plus accrued and unpaid dividends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at the price of $6.00 per share of Common Stock (“Conversion Price”), such that approximately 1,667 shares of Common Stock will be issued per each converted share of Series C (accrued and unpaid dividends will be issued as additional shares). At December 31, 2018 and 2017, the 176 outstanding shares of Series C were convertible into a total of approximately 293,340 shares of Common Stock.</w:t>
      </w:r>
    </w:p>
    <w:p>
      <w:pPr>
        <w:spacing w:after="0" w:line="182" w:lineRule="exact"/>
        <w:rPr>
          <w:sz w:val="20"/>
          <w:szCs w:val="20"/>
          <w:color w:val="auto"/>
        </w:rPr>
      </w:pPr>
    </w:p>
    <w:p>
      <w:pPr>
        <w:jc w:val="both"/>
        <w:ind w:left="440" w:right="200"/>
        <w:spacing w:after="0" w:line="266" w:lineRule="auto"/>
        <w:rPr>
          <w:sz w:val="20"/>
          <w:szCs w:val="20"/>
          <w:color w:val="auto"/>
        </w:rPr>
      </w:pPr>
      <w:r>
        <w:rPr>
          <w:rFonts w:ascii="Times New Roman" w:cs="Times New Roman" w:eastAsia="Times New Roman" w:hAnsi="Times New Roman"/>
          <w:sz w:val="18"/>
          <w:szCs w:val="18"/>
          <w:color w:val="auto"/>
        </w:rPr>
        <w:t>Subject to the continuing obligation to pay post conversion dividends, the Company may convert all, but not less than all, of the Series C (plus all accrued and unpaid dividends) into Common Stock, at the Conversion Price, upon such time that the closing price of the Common Stock is no less than $18.00 per share for 15 consecutive trading days.</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Series C shall be entitled to receive cumulative non-compounding dividends at the rate per share of Series C equal to the</w:t>
      </w:r>
    </w:p>
    <w:p>
      <w:pPr>
        <w:spacing w:after="0" w:line="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greater of (i) 6% per annum of the Stated Value (also defined as the “Floor”) or (ii) 2.5% of net sales until the total dividends paid is equal to the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initial investment and 1.25% of net sales thereafter. The maximum amount each Series C shareholder will receive in dividend payments is equal to</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$100,000 (the “Maximum Payout”). For purposes of this dividend calculation, net sales shall mean gross revenues actually received by the Company,</w:t>
      </w:r>
    </w:p>
    <w:p>
      <w:pPr>
        <w:ind w:left="440"/>
        <w:spacing w:after="0" w:line="184" w:lineRule="auto"/>
        <w:rPr>
          <w:sz w:val="20"/>
          <w:szCs w:val="20"/>
          <w:color w:val="auto"/>
        </w:rPr>
      </w:pPr>
      <w:r>
        <w:rPr>
          <w:rFonts w:ascii="Times New Roman" w:cs="Times New Roman" w:eastAsia="Times New Roman" w:hAnsi="Times New Roman"/>
          <w:sz w:val="17"/>
          <w:szCs w:val="17"/>
          <w:color w:val="auto"/>
        </w:rPr>
        <w:t>from the sale or licensing of the product DAVANAT</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7"/>
          <w:szCs w:val="17"/>
          <w:color w:val="auto"/>
        </w:rPr>
        <w:t xml:space="preserve"> (GM-CT-01), less chargebacks, returns, expenses attributable to product recalls, duties,</w:t>
      </w:r>
    </w:p>
    <w:p>
      <w:pPr>
        <w:ind w:left="440"/>
        <w:spacing w:after="0"/>
        <w:rPr>
          <w:sz w:val="20"/>
          <w:szCs w:val="20"/>
          <w:color w:val="auto"/>
        </w:rPr>
      </w:pPr>
      <w:r>
        <w:rPr>
          <w:rFonts w:ascii="Times New Roman" w:cs="Times New Roman" w:eastAsia="Times New Roman" w:hAnsi="Times New Roman"/>
          <w:sz w:val="18"/>
          <w:szCs w:val="18"/>
          <w:color w:val="auto"/>
        </w:rPr>
        <w:t>customs, sales tax, freight, insurance, shipping expenses, allowances and other customary deductions.</w:t>
      </w:r>
    </w:p>
    <w:p>
      <w:pPr>
        <w:spacing w:after="0" w:line="205" w:lineRule="exact"/>
        <w:rPr>
          <w:sz w:val="20"/>
          <w:szCs w:val="20"/>
          <w:color w:val="auto"/>
        </w:rPr>
      </w:pPr>
    </w:p>
    <w:p>
      <w:pPr>
        <w:jc w:val="both"/>
        <w:ind w:left="440" w:right="20"/>
        <w:spacing w:after="0" w:line="255" w:lineRule="auto"/>
        <w:rPr>
          <w:sz w:val="20"/>
          <w:szCs w:val="20"/>
          <w:color w:val="auto"/>
        </w:rPr>
      </w:pPr>
      <w:r>
        <w:rPr>
          <w:rFonts w:ascii="Times New Roman" w:cs="Times New Roman" w:eastAsia="Times New Roman" w:hAnsi="Times New Roman"/>
          <w:sz w:val="18"/>
          <w:szCs w:val="18"/>
          <w:color w:val="auto"/>
        </w:rPr>
        <w:t>The dividend shall be payable in arrears semiannually on March 31 and September 30, beginning with the first such date after the original issue date; provided, however, that all dividends and all other distributions shall cease, and no further dividends or other distributions shall be paid, in respect of each share of Series C from and after such time that the Maximum Payout has been paid in respect of such share of Series C. Such dividends shall be payable at the Company’s option either in cash or in duly authorized, fully paid and non-assessable shares of Common Stock valued at the higher of</w:t>
      </w:r>
    </w:p>
    <w:p>
      <w:pPr>
        <w:spacing w:after="0" w:line="3" w:lineRule="exact"/>
        <w:rPr>
          <w:sz w:val="20"/>
          <w:szCs w:val="20"/>
          <w:color w:val="auto"/>
        </w:rPr>
      </w:pPr>
    </w:p>
    <w:p>
      <w:pPr>
        <w:ind w:left="440" w:right="200" w:firstLine="8"/>
        <w:spacing w:after="0" w:line="260"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 per share or (ii) the average of the Common Stock trading price for the ten (10) consecutive trading days ending on the trading day that is immediately prior to the dividend payment date.</w:t>
      </w:r>
    </w:p>
    <w:p>
      <w:pPr>
        <w:spacing w:after="0" w:line="179" w:lineRule="exact"/>
        <w:rPr>
          <w:sz w:val="20"/>
          <w:szCs w:val="20"/>
          <w:color w:val="auto"/>
        </w:rPr>
      </w:pPr>
    </w:p>
    <w:p>
      <w:pPr>
        <w:ind w:left="440" w:right="20"/>
        <w:spacing w:after="0" w:line="270" w:lineRule="auto"/>
        <w:rPr>
          <w:sz w:val="20"/>
          <w:szCs w:val="20"/>
          <w:color w:val="auto"/>
        </w:rPr>
      </w:pPr>
      <w:r>
        <w:rPr>
          <w:rFonts w:ascii="Times New Roman" w:cs="Times New Roman" w:eastAsia="Times New Roman" w:hAnsi="Times New Roman"/>
          <w:sz w:val="17"/>
          <w:szCs w:val="17"/>
          <w:i w:val="1"/>
          <w:iCs w:val="1"/>
          <w:color w:val="auto"/>
        </w:rPr>
        <w:t>Series C Post Conversion Dividend Right</w:t>
      </w:r>
      <w:r>
        <w:rPr>
          <w:rFonts w:ascii="Times New Roman" w:cs="Times New Roman" w:eastAsia="Times New Roman" w:hAnsi="Times New Roman"/>
          <w:sz w:val="17"/>
          <w:szCs w:val="17"/>
          <w:color w:val="auto"/>
        </w:rPr>
        <w:t>. In the event that any share of Series C is converted into Common Stock before the Maximum Payout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paid in respect of such converted share of Series C, then the holder shall have the right to continue to receive dividends in respect of such converted share of Series C equal to the remaining payout (the “Series C Preferred Stock Post Conversion Dividend Right”) which shall be equal to the Maximum Payout less the cumulative dividends received through the conversion date. One share of Series C Preferred Stock Post Conversion Dividend Right shall be issued for each such converted share of Series C. The holder of each Series C Preferred Stock Post Conversion Dividend Right shall receive the remaining payout on an equal basis and in conjunction with the then outstanding shares of Series C and all the other then outstanding Series C Post Conversion Dividend Rights, in the same manner and subject to the same terms and conditions as applicable to the payment of dividends on each share of Series C, except that for purposes of calculating the dividend the Floor shall not apply. The Series C Preferred Stock Post Conversion Dividend Right shall have no stated value, liquidation preference or right to any dividends or distributions other than the remaining payout. The Series C Preferred Stock Post Conversion Right is subject to redemption in the same manner as outstanding Series C shares.</w:t>
      </w:r>
    </w:p>
    <w:p>
      <w:pPr>
        <w:sectPr>
          <w:pgSz w:w="11900" w:h="16838" w:orient="portrait"/>
          <w:cols w:equalWidth="0" w:num="1">
            <w:col w:w="11200"/>
          </w:cols>
          <w:pgMar w:left="320" w:top="116" w:right="379" w:bottom="1011" w:gutter="0" w:footer="0" w:header="0"/>
        </w:sect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011" w:gutter="0" w:footer="0" w:header="0"/>
          <w:type w:val="continuous"/>
        </w:sectPr>
      </w:pPr>
    </w:p>
    <w:bookmarkStart w:id="76" w:name="page77"/>
    <w:bookmarkEnd w:id="7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left="440" w:right="20"/>
        <w:spacing w:after="0" w:line="258" w:lineRule="auto"/>
        <w:rPr>
          <w:sz w:val="20"/>
          <w:szCs w:val="20"/>
          <w:color w:val="auto"/>
        </w:rPr>
      </w:pPr>
      <w:r>
        <w:rPr>
          <w:rFonts w:ascii="Times New Roman" w:cs="Times New Roman" w:eastAsia="Times New Roman" w:hAnsi="Times New Roman"/>
          <w:sz w:val="18"/>
          <w:szCs w:val="18"/>
          <w:color w:val="auto"/>
        </w:rPr>
        <w:t>At the date of issuance, the Series C have an embedded dividend right to continue to receive dividend payments after conversion to common stock (the Series C Post Conversion Dividend Right) which requires bifurcation. The value of this post conversion dividend right on the date of issuance was determined to be de minimis due to the fact that the payment of a dividend stream other than the 6% dividend and conversion of Series C prior to the Company achieving sales of GM-CT-01 was deemed improbable at that time. Upon a conversion of the Series C, the Company will be required to record a liability and the related expense during the period of conversion.</w:t>
      </w:r>
    </w:p>
    <w:p>
      <w:pPr>
        <w:spacing w:after="0" w:line="183" w:lineRule="exact"/>
        <w:rPr>
          <w:sz w:val="20"/>
          <w:szCs w:val="20"/>
          <w:color w:val="auto"/>
        </w:rPr>
      </w:pPr>
    </w:p>
    <w:p>
      <w:pPr>
        <w:ind w:left="440" w:right="120"/>
        <w:spacing w:after="0" w:line="256" w:lineRule="auto"/>
        <w:rPr>
          <w:sz w:val="20"/>
          <w:szCs w:val="20"/>
          <w:color w:val="auto"/>
        </w:rPr>
      </w:pPr>
      <w:r>
        <w:rPr>
          <w:rFonts w:ascii="Times New Roman" w:cs="Times New Roman" w:eastAsia="Times New Roman" w:hAnsi="Times New Roman"/>
          <w:sz w:val="18"/>
          <w:szCs w:val="18"/>
          <w:color w:val="auto"/>
        </w:rPr>
        <w:t>In July 2011, 5 shares of Series C were converted into 8,334 shares of common stock and 5 Series C Post Conversion Dividend Rights (Dividend Rights) were issued. In 2013, 24 shares of Series C were converted into 40,193 shares of common stock and 24 Dividend Rights were issued. In 2014, 20 shares of Series C were converted into 33,756 shares of common stock and 20 Dividend Rights were issued. Per the terms of the Series C, these Dividend Rights shall continue to participate in dividends, however the Floor shall not apply. At December 31, 2016 and 2015, these Dividend Rights were determined to have a de minimis value, as the payment of a dividend is considered improbable at this time. The Company will continue to evaluate and assess the Series C Post Conversion Dividend Right for each reporting period.</w:t>
      </w:r>
    </w:p>
    <w:p>
      <w:pPr>
        <w:spacing w:after="0" w:line="185" w:lineRule="exact"/>
        <w:rPr>
          <w:sz w:val="20"/>
          <w:szCs w:val="20"/>
          <w:color w:val="auto"/>
        </w:rPr>
      </w:pPr>
    </w:p>
    <w:p>
      <w:pPr>
        <w:ind w:left="440"/>
        <w:spacing w:after="0" w:line="261" w:lineRule="auto"/>
        <w:rPr>
          <w:sz w:val="20"/>
          <w:szCs w:val="20"/>
          <w:color w:val="auto"/>
        </w:rPr>
      </w:pP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 In the event of any liquidation, dissolution or winding up of the Company, either voluntarily or involuntarily, the holders of Series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 will receive $10,000 per share plus accrued and unpaid dividends, payable prior and in preference to any distributions to the holders of Common Stock but after and subordinate to the Series A 12% Convertible Preferred Stock (“Series A”), Series B-1 and Series B-2, subject to the Maximum Payout.</w:t>
      </w:r>
    </w:p>
    <w:p>
      <w:pPr>
        <w:spacing w:after="0" w:line="180" w:lineRule="exact"/>
        <w:rPr>
          <w:sz w:val="20"/>
          <w:szCs w:val="20"/>
          <w:color w:val="auto"/>
        </w:rPr>
      </w:pPr>
    </w:p>
    <w:p>
      <w:pPr>
        <w:ind w:left="440" w:right="40"/>
        <w:spacing w:after="0" w:line="256" w:lineRule="auto"/>
        <w:rPr>
          <w:sz w:val="20"/>
          <w:szCs w:val="20"/>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Upon a sale of the Company, the Company shall redeem all of the then outstanding shares of Series C and Series C Preferred Stock Post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Rights within thirty (30) days after the transaction constituting the sale of the Company is closed and such closing is fully funded. The price to redeem a share of Series C and each redeemed Series C Preferred Stock Post Conversion Redemption Right shall be equal to (i) (A) the applicable return on investment (“ROI”) percentage, multiplied by (B) $10,000, minus (ii) the cumulative dividends received through the redemption date. The redemption price shall be payable at the Company’s option either in cash or in shares of common stock valued at the higher of (i) $3.00 per share or (ii) the average market price for the ten consecutive trading days ending immediately prior to the date of redemption. The ROI Percentage shall mean the percentage that applies as of the redemption date, as follows: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ROI Percentage</w:t>
      </w:r>
    </w:p>
    <w:p>
      <w:pPr>
        <w:spacing w:after="0" w:line="225" w:lineRule="exact"/>
        <w:rPr>
          <w:sz w:val="20"/>
          <w:szCs w:val="20"/>
          <w:color w:val="auto"/>
        </w:rPr>
      </w:pP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200%</w:t>
        <w:tab/>
        <w:t>before the second anniversary of the date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-119380</wp:posOffset>
            </wp:positionV>
            <wp:extent cx="682371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1">
                      <a:extLst>
                        <a:ext uri="{28A0092B-C50C-407E-A947-70E740481C1C}"/>
                      </a:extLst>
                    </a:blip>
                    <a:srcRect/>
                    <a:stretch>
                      <a:fillRect/>
                    </a:stretch>
                  </pic:blipFill>
                  <pic:spPr bwMode="auto">
                    <a:xfrm>
                      <a:off x="0" y="0"/>
                      <a:ext cx="6823710" cy="137160"/>
                    </a:xfrm>
                    <a:prstGeom prst="rect">
                      <a:avLst/>
                    </a:prstGeom>
                    <a:noFill/>
                  </pic:spPr>
                </pic:pic>
              </a:graphicData>
            </a:graphic>
          </wp:anchor>
        </w:drawing>
      </w:r>
    </w:p>
    <w:p>
      <w:pPr>
        <w:spacing w:after="0" w:line="7" w:lineRule="exact"/>
        <w:rPr>
          <w:sz w:val="20"/>
          <w:szCs w:val="20"/>
          <w:color w:val="auto"/>
        </w:rPr>
      </w:pP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250%</w:t>
        <w:tab/>
        <w:t>on or after the second anniversary of the date of issuance, but before the third anniversary of the date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5715</wp:posOffset>
            </wp:positionV>
            <wp:extent cx="682371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2">
                      <a:extLst>
                        <a:ext uri="{28A0092B-C50C-407E-A947-70E740481C1C}"/>
                      </a:extLst>
                    </a:blip>
                    <a:srcRect/>
                    <a:stretch>
                      <a:fillRect/>
                    </a:stretch>
                  </pic:blipFill>
                  <pic:spPr bwMode="auto">
                    <a:xfrm>
                      <a:off x="0" y="0"/>
                      <a:ext cx="6823710" cy="137160"/>
                    </a:xfrm>
                    <a:prstGeom prst="rect">
                      <a:avLst/>
                    </a:prstGeom>
                    <a:noFill/>
                  </pic:spPr>
                </pic:pic>
              </a:graphicData>
            </a:graphic>
          </wp:anchor>
        </w:drawing>
      </w: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300%</w:t>
        <w:tab/>
        <w:t>on or after the third anniversary of the date of issuance, but before the fourth anniversary of the date of issuance;</w:t>
      </w:r>
    </w:p>
    <w:p>
      <w:pPr>
        <w:spacing w:after="0" w:line="9" w:lineRule="exact"/>
        <w:rPr>
          <w:sz w:val="20"/>
          <w:szCs w:val="20"/>
          <w:color w:val="auto"/>
        </w:rPr>
      </w:pP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350%</w:t>
        <w:tab/>
        <w:t>on or after the fourth anniversary of the date of issuance, but before the fifth anniversary of the date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5715</wp:posOffset>
            </wp:positionV>
            <wp:extent cx="682371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3">
                      <a:extLst>
                        <a:ext uri="{28A0092B-C50C-407E-A947-70E740481C1C}"/>
                      </a:extLst>
                    </a:blip>
                    <a:srcRect/>
                    <a:stretch>
                      <a:fillRect/>
                    </a:stretch>
                  </pic:blipFill>
                  <pic:spPr bwMode="auto">
                    <a:xfrm>
                      <a:off x="0" y="0"/>
                      <a:ext cx="6823710" cy="137160"/>
                    </a:xfrm>
                    <a:prstGeom prst="rect">
                      <a:avLst/>
                    </a:prstGeom>
                    <a:noFill/>
                  </pic:spPr>
                </pic:pic>
              </a:graphicData>
            </a:graphic>
          </wp:anchor>
        </w:drawing>
      </w: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400%</w:t>
        <w:tab/>
        <w:t>on or after the fifth anniversary of the date of issuance, but before the sixth anniversary of the date of issuance;</w:t>
      </w:r>
    </w:p>
    <w:p>
      <w:pPr>
        <w:spacing w:after="0" w:line="9" w:lineRule="exact"/>
        <w:rPr>
          <w:sz w:val="20"/>
          <w:szCs w:val="20"/>
          <w:color w:val="auto"/>
        </w:rPr>
      </w:pP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450%</w:t>
        <w:tab/>
        <w:t>on or after the sixth anniversary of the date of issuance, but before the seventh anniversary of the date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5715</wp:posOffset>
            </wp:positionV>
            <wp:extent cx="682371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4">
                      <a:extLst>
                        <a:ext uri="{28A0092B-C50C-407E-A947-70E740481C1C}"/>
                      </a:extLst>
                    </a:blip>
                    <a:srcRect/>
                    <a:stretch>
                      <a:fillRect/>
                    </a:stretch>
                  </pic:blipFill>
                  <pic:spPr bwMode="auto">
                    <a:xfrm>
                      <a:off x="0" y="0"/>
                      <a:ext cx="6823710" cy="137160"/>
                    </a:xfrm>
                    <a:prstGeom prst="rect">
                      <a:avLst/>
                    </a:prstGeom>
                    <a:noFill/>
                  </pic:spPr>
                </pic:pic>
              </a:graphicData>
            </a:graphic>
          </wp:anchor>
        </w:drawing>
      </w: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500%</w:t>
        <w:tab/>
        <w:t>on or after the seventh anniversary of the date of issuance, but before the eighth anniversary of the date of issuance; and</w:t>
      </w:r>
    </w:p>
    <w:p>
      <w:pPr>
        <w:spacing w:after="0" w:line="9" w:lineRule="exact"/>
        <w:rPr>
          <w:sz w:val="20"/>
          <w:szCs w:val="20"/>
          <w:color w:val="auto"/>
        </w:rPr>
      </w:pP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550%</w:t>
        <w:tab/>
        <w:t>on or after the eighth anniversary of the date of issuance, but before the ninth anniversary of the date of issuance.</w:t>
      </w:r>
    </w:p>
    <w:p>
      <w:pPr>
        <w:spacing w:after="0" w:line="207" w:lineRule="exact"/>
        <w:rPr>
          <w:sz w:val="20"/>
          <w:szCs w:val="20"/>
          <w:color w:val="auto"/>
        </w:rPr>
      </w:pPr>
    </w:p>
    <w:p>
      <w:pPr>
        <w:ind w:left="440" w:right="280"/>
        <w:spacing w:after="0" w:line="282" w:lineRule="auto"/>
        <w:rPr>
          <w:sz w:val="20"/>
          <w:szCs w:val="20"/>
          <w:color w:val="auto"/>
        </w:rPr>
      </w:pPr>
      <w:r>
        <w:rPr>
          <w:rFonts w:ascii="Times New Roman" w:cs="Times New Roman" w:eastAsia="Times New Roman" w:hAnsi="Times New Roman"/>
          <w:sz w:val="18"/>
          <w:szCs w:val="18"/>
          <w:color w:val="auto"/>
        </w:rPr>
        <w:t>Due to the redemption feature, the Company has presented the Series C outside of permanent equity, in the mezzanine of the consolidated balance sheets at December 31, 2020 and 2019. At December 31, 2020, the Series C redemption value was $8,546,000.</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00" w:type="dxa"/>
            <w:vAlign w:val="bottom"/>
          </w:tcPr>
          <w:p>
            <w:pPr>
              <w:spacing w:after="0"/>
              <w:rPr>
                <w:sz w:val="20"/>
                <w:szCs w:val="20"/>
                <w:color w:val="auto"/>
              </w:rPr>
            </w:pPr>
          </w:p>
        </w:tc>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The Series C shares have no voting rights.</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200" w:type="dxa"/>
            <w:vAlign w:val="bottom"/>
          </w:tcPr>
          <w:p>
            <w:pPr>
              <w:spacing w:after="0"/>
              <w:rPr>
                <w:sz w:val="24"/>
                <w:szCs w:val="24"/>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00" w:type="dxa"/>
            <w:vAlign w:val="bottom"/>
          </w:tcPr>
          <w:p>
            <w:pPr>
              <w:spacing w:after="0"/>
              <w:rPr>
                <w:sz w:val="24"/>
                <w:szCs w:val="24"/>
                <w:color w:val="auto"/>
              </w:rPr>
            </w:pPr>
          </w:p>
        </w:tc>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Warrant activity is summarized as follows:</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45"/>
        </w:trPr>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40" w:type="dxa"/>
            <w:vAlign w:val="bottom"/>
          </w:tcPr>
          <w:p>
            <w:pPr>
              <w:spacing w:after="0"/>
              <w:rPr>
                <w:sz w:val="21"/>
                <w:szCs w:val="21"/>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Pr>
          <w:p>
            <w:pPr>
              <w:spacing w:after="0"/>
              <w:rPr>
                <w:sz w:val="21"/>
                <w:szCs w:val="21"/>
                <w:color w:val="auto"/>
              </w:rPr>
            </w:pP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12,538,204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w:t>
            </w: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12,538,204</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(1,180,240)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r>
      <w:tr>
        <w:trPr>
          <w:trHeight w:val="223"/>
        </w:trPr>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r>
        <w:trPr>
          <w:trHeight w:val="256"/>
        </w:trPr>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10,857,964</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77" w:name="page78"/>
    <w:bookmarkEnd w:id="7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left="440" w:right="8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with regard to outstanding warrants issued in connection with equity and debt financings and consultants as of December 31, 2021.</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5"/>
        </w:trPr>
        <w:tc>
          <w:tcPr>
            <w:tcW w:w="500" w:type="dxa"/>
            <w:vAlign w:val="bottom"/>
          </w:tcPr>
          <w:p>
            <w:pPr>
              <w:spacing w:after="0"/>
              <w:rPr>
                <w:sz w:val="21"/>
                <w:szCs w:val="21"/>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Issued in Connection With</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220" w:type="dxa"/>
            <w:vAlign w:val="bottom"/>
          </w:tcPr>
          <w:p>
            <w:pPr>
              <w:spacing w:after="0"/>
              <w:rPr>
                <w:sz w:val="21"/>
                <w:szCs w:val="21"/>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Exercisable Date</w:t>
            </w: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Expiration Date</w:t>
            </w:r>
          </w:p>
        </w:tc>
      </w:tr>
      <w:tr>
        <w:trPr>
          <w:trHeight w:val="198"/>
        </w:trPr>
        <w:tc>
          <w:tcPr>
            <w:tcW w:w="500" w:type="dxa"/>
            <w:vAlign w:val="bottom"/>
          </w:tcPr>
          <w:p>
            <w:pPr>
              <w:spacing w:after="0"/>
              <w:rPr>
                <w:sz w:val="17"/>
                <w:szCs w:val="17"/>
                <w:color w:val="auto"/>
              </w:rPr>
            </w:pPr>
          </w:p>
        </w:tc>
        <w:tc>
          <w:tcPr>
            <w:tcW w:w="48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February 12, 2009 Series B-1 Transaction $3.00 Investor Warrants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r>
      <w:tr>
        <w:trPr>
          <w:trHeight w:val="234"/>
        </w:trPr>
        <w:tc>
          <w:tcPr>
            <w:tcW w:w="500" w:type="dxa"/>
            <w:vAlign w:val="bottom"/>
          </w:tcPr>
          <w:p>
            <w:pPr>
              <w:spacing w:after="0"/>
              <w:rPr>
                <w:sz w:val="20"/>
                <w:szCs w:val="20"/>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Class B</w:t>
            </w:r>
          </w:p>
        </w:tc>
        <w:tc>
          <w:tcPr>
            <w:tcW w:w="13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1,200,000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February 12, 2009</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12, 2024</w:t>
            </w:r>
          </w:p>
        </w:tc>
      </w:tr>
      <w:tr>
        <w:trPr>
          <w:trHeight w:val="198"/>
        </w:trPr>
        <w:tc>
          <w:tcPr>
            <w:tcW w:w="500" w:type="dxa"/>
            <w:vAlign w:val="bottom"/>
          </w:tcPr>
          <w:p>
            <w:pPr>
              <w:spacing w:after="0"/>
              <w:rPr>
                <w:sz w:val="17"/>
                <w:szCs w:val="17"/>
                <w:color w:val="auto"/>
              </w:rPr>
            </w:pPr>
          </w:p>
        </w:tc>
        <w:tc>
          <w:tcPr>
            <w:tcW w:w="4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May 13, 2009 Series B-2 Transaction $3.00 Investor Warrants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34"/>
        </w:trPr>
        <w:tc>
          <w:tcPr>
            <w:tcW w:w="50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Class B</w:t>
            </w:r>
          </w:p>
        </w:tc>
        <w:tc>
          <w:tcPr>
            <w:tcW w:w="13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600,000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17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May 13, 2009</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13, 2024</w:t>
            </w:r>
          </w:p>
        </w:tc>
      </w:tr>
      <w:tr>
        <w:trPr>
          <w:trHeight w:val="198"/>
        </w:trPr>
        <w:tc>
          <w:tcPr>
            <w:tcW w:w="500" w:type="dxa"/>
            <w:vAlign w:val="bottom"/>
          </w:tcPr>
          <w:p>
            <w:pPr>
              <w:spacing w:after="0"/>
              <w:rPr>
                <w:sz w:val="17"/>
                <w:szCs w:val="17"/>
                <w:color w:val="auto"/>
              </w:rPr>
            </w:pPr>
          </w:p>
        </w:tc>
        <w:tc>
          <w:tcPr>
            <w:tcW w:w="4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June 30, 2009 Series B-2 Transaction $3.00 Investor Warrants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34"/>
        </w:trPr>
        <w:tc>
          <w:tcPr>
            <w:tcW w:w="500" w:type="dxa"/>
            <w:vAlign w:val="bottom"/>
          </w:tcPr>
          <w:p>
            <w:pPr>
              <w:spacing w:after="0"/>
              <w:rPr>
                <w:sz w:val="20"/>
                <w:szCs w:val="20"/>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w:t>
            </w:r>
          </w:p>
        </w:tc>
        <w:tc>
          <w:tcPr>
            <w:tcW w:w="13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333,333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17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June 30, 2009</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June 30, 2024</w:t>
            </w:r>
          </w:p>
        </w:tc>
      </w:tr>
      <w:tr>
        <w:trPr>
          <w:trHeight w:val="198"/>
        </w:trPr>
        <w:tc>
          <w:tcPr>
            <w:tcW w:w="500" w:type="dxa"/>
            <w:vAlign w:val="bottom"/>
          </w:tcPr>
          <w:p>
            <w:pPr>
              <w:spacing w:after="0"/>
              <w:rPr>
                <w:sz w:val="17"/>
                <w:szCs w:val="17"/>
                <w:color w:val="auto"/>
              </w:rPr>
            </w:pPr>
          </w:p>
        </w:tc>
        <w:tc>
          <w:tcPr>
            <w:tcW w:w="4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August 12, 2009 Series B-2 Transaction $3.00 Investor Warrants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34"/>
        </w:trPr>
        <w:tc>
          <w:tcPr>
            <w:tcW w:w="50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 Class B</w:t>
            </w:r>
          </w:p>
        </w:tc>
        <w:tc>
          <w:tcPr>
            <w:tcW w:w="13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200,000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August 12, 2009</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12, 2024</w:t>
            </w:r>
          </w:p>
        </w:tc>
      </w:tr>
      <w:tr>
        <w:trPr>
          <w:trHeight w:val="198"/>
        </w:trPr>
        <w:tc>
          <w:tcPr>
            <w:tcW w:w="500" w:type="dxa"/>
            <w:vAlign w:val="bottom"/>
          </w:tcPr>
          <w:p>
            <w:pPr>
              <w:spacing w:after="0"/>
              <w:rPr>
                <w:sz w:val="17"/>
                <w:szCs w:val="17"/>
                <w:color w:val="auto"/>
              </w:rPr>
            </w:pPr>
          </w:p>
        </w:tc>
        <w:tc>
          <w:tcPr>
            <w:tcW w:w="4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September 30, 2009 Series B-2 Transaction $3.00 Investor</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34"/>
        </w:trPr>
        <w:tc>
          <w:tcPr>
            <w:tcW w:w="500" w:type="dxa"/>
            <w:vAlign w:val="bottom"/>
          </w:tcPr>
          <w:p>
            <w:pPr>
              <w:spacing w:after="0"/>
              <w:rPr>
                <w:sz w:val="20"/>
                <w:szCs w:val="20"/>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 Class B</w:t>
            </w:r>
          </w:p>
        </w:tc>
        <w:tc>
          <w:tcPr>
            <w:tcW w:w="13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216,666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September 30, 2009</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September 30, 2024</w:t>
            </w:r>
          </w:p>
        </w:tc>
      </w:tr>
      <w:tr>
        <w:trPr>
          <w:trHeight w:val="198"/>
        </w:trPr>
        <w:tc>
          <w:tcPr>
            <w:tcW w:w="500" w:type="dxa"/>
            <w:vAlign w:val="bottom"/>
          </w:tcPr>
          <w:p>
            <w:pPr>
              <w:spacing w:after="0"/>
              <w:rPr>
                <w:sz w:val="17"/>
                <w:szCs w:val="17"/>
                <w:color w:val="auto"/>
              </w:rPr>
            </w:pPr>
          </w:p>
        </w:tc>
        <w:tc>
          <w:tcPr>
            <w:tcW w:w="4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9"/>
              </w:rPr>
              <w:t>November 4, 2009 Series B-2 Transaction $3.00 Investor Warrants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34"/>
        </w:trPr>
        <w:tc>
          <w:tcPr>
            <w:tcW w:w="500" w:type="dxa"/>
            <w:vAlign w:val="bottom"/>
          </w:tcPr>
          <w:p>
            <w:pPr>
              <w:spacing w:after="0"/>
              <w:rPr>
                <w:sz w:val="20"/>
                <w:szCs w:val="20"/>
                <w:color w:val="auto"/>
              </w:rPr>
            </w:pP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Class B</w:t>
            </w:r>
          </w:p>
        </w:tc>
        <w:tc>
          <w:tcPr>
            <w:tcW w:w="13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106,666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November 4, 2009</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November 4, 2024</w:t>
            </w:r>
          </w:p>
        </w:tc>
      </w:tr>
      <w:tr>
        <w:trPr>
          <w:trHeight w:val="198"/>
        </w:trPr>
        <w:tc>
          <w:tcPr>
            <w:tcW w:w="500" w:type="dxa"/>
            <w:vAlign w:val="bottom"/>
          </w:tcPr>
          <w:p>
            <w:pPr>
              <w:spacing w:after="0"/>
              <w:rPr>
                <w:sz w:val="17"/>
                <w:szCs w:val="17"/>
                <w:color w:val="auto"/>
              </w:rPr>
            </w:pPr>
          </w:p>
        </w:tc>
        <w:tc>
          <w:tcPr>
            <w:tcW w:w="4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December 8, 2009 Series B-2 Transaction $3.00 Investor Warrants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34"/>
        </w:trPr>
        <w:tc>
          <w:tcPr>
            <w:tcW w:w="500" w:type="dxa"/>
            <w:vAlign w:val="bottom"/>
          </w:tcPr>
          <w:p>
            <w:pPr>
              <w:spacing w:after="0"/>
              <w:rPr>
                <w:sz w:val="20"/>
                <w:szCs w:val="20"/>
                <w:color w:val="auto"/>
              </w:rPr>
            </w:pPr>
          </w:p>
        </w:tc>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Class B</w:t>
            </w:r>
          </w:p>
        </w:tc>
        <w:tc>
          <w:tcPr>
            <w:tcW w:w="13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133,143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December 8, 2009</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December 8, 2024</w:t>
            </w:r>
          </w:p>
        </w:tc>
      </w:tr>
      <w:tr>
        <w:trPr>
          <w:trHeight w:val="198"/>
        </w:trPr>
        <w:tc>
          <w:tcPr>
            <w:tcW w:w="500" w:type="dxa"/>
            <w:vAlign w:val="bottom"/>
          </w:tcPr>
          <w:p>
            <w:pPr>
              <w:spacing w:after="0"/>
              <w:rPr>
                <w:sz w:val="17"/>
                <w:szCs w:val="17"/>
                <w:color w:val="auto"/>
              </w:rPr>
            </w:pPr>
          </w:p>
        </w:tc>
        <w:tc>
          <w:tcPr>
            <w:tcW w:w="4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January 29, 2010 Series B-2 Transaction $3.00 Investor Warrants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34"/>
        </w:trPr>
        <w:tc>
          <w:tcPr>
            <w:tcW w:w="500" w:type="dxa"/>
            <w:vAlign w:val="bottom"/>
          </w:tcPr>
          <w:p>
            <w:pPr>
              <w:spacing w:after="0"/>
              <w:rPr>
                <w:sz w:val="20"/>
                <w:szCs w:val="20"/>
                <w:color w:val="auto"/>
              </w:rPr>
            </w:pP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Class B</w:t>
            </w:r>
          </w:p>
        </w:tc>
        <w:tc>
          <w:tcPr>
            <w:tcW w:w="13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216,667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January 29, 2010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29, 2025</w:t>
            </w:r>
          </w:p>
        </w:tc>
      </w:tr>
      <w:tr>
        <w:trPr>
          <w:trHeight w:val="198"/>
        </w:trPr>
        <w:tc>
          <w:tcPr>
            <w:tcW w:w="500" w:type="dxa"/>
            <w:vAlign w:val="bottom"/>
          </w:tcPr>
          <w:p>
            <w:pPr>
              <w:spacing w:after="0"/>
              <w:rPr>
                <w:sz w:val="17"/>
                <w:szCs w:val="17"/>
                <w:color w:val="auto"/>
              </w:rPr>
            </w:pPr>
          </w:p>
        </w:tc>
        <w:tc>
          <w:tcPr>
            <w:tcW w:w="4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March 8, 2010 Series B-2 Transaction $3.00 Investor Warrants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34"/>
        </w:trPr>
        <w:tc>
          <w:tcPr>
            <w:tcW w:w="500" w:type="dxa"/>
            <w:vAlign w:val="bottom"/>
          </w:tcPr>
          <w:p>
            <w:pPr>
              <w:spacing w:after="0"/>
              <w:rPr>
                <w:sz w:val="20"/>
                <w:szCs w:val="20"/>
                <w:color w:val="auto"/>
              </w:rPr>
            </w:pPr>
          </w:p>
        </w:tc>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Class B</w:t>
            </w:r>
          </w:p>
        </w:tc>
        <w:tc>
          <w:tcPr>
            <w:tcW w:w="13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223,334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March 8, 2010</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8, 2025</w:t>
            </w:r>
          </w:p>
        </w:tc>
      </w:tr>
      <w:tr>
        <w:trPr>
          <w:trHeight w:val="198"/>
        </w:trPr>
        <w:tc>
          <w:tcPr>
            <w:tcW w:w="500" w:type="dxa"/>
            <w:vAlign w:val="bottom"/>
          </w:tcPr>
          <w:p>
            <w:pPr>
              <w:spacing w:after="0"/>
              <w:rPr>
                <w:sz w:val="17"/>
                <w:szCs w:val="17"/>
                <w:color w:val="auto"/>
              </w:rPr>
            </w:pPr>
          </w:p>
        </w:tc>
        <w:tc>
          <w:tcPr>
            <w:tcW w:w="4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April 30, 2010 Series B-2 Transaction $3.00 Investor Warrants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34"/>
        </w:trPr>
        <w:tc>
          <w:tcPr>
            <w:tcW w:w="500" w:type="dxa"/>
            <w:vAlign w:val="bottom"/>
          </w:tcPr>
          <w:p>
            <w:pPr>
              <w:spacing w:after="0"/>
              <w:rPr>
                <w:sz w:val="20"/>
                <w:szCs w:val="20"/>
                <w:color w:val="auto"/>
              </w:rPr>
            </w:pP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Class B</w:t>
            </w:r>
          </w:p>
        </w:tc>
        <w:tc>
          <w:tcPr>
            <w:tcW w:w="13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204,192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April 30, 2010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30, 2025</w:t>
            </w:r>
          </w:p>
        </w:tc>
      </w:tr>
      <w:tr>
        <w:trPr>
          <w:trHeight w:val="198"/>
        </w:trPr>
        <w:tc>
          <w:tcPr>
            <w:tcW w:w="500" w:type="dxa"/>
            <w:vAlign w:val="bottom"/>
          </w:tcPr>
          <w:p>
            <w:pPr>
              <w:spacing w:after="0"/>
              <w:rPr>
                <w:sz w:val="17"/>
                <w:szCs w:val="17"/>
                <w:color w:val="auto"/>
              </w:rPr>
            </w:pPr>
          </w:p>
        </w:tc>
        <w:tc>
          <w:tcPr>
            <w:tcW w:w="4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May 10, 2010 Series B-2 Transaction $3.00 Investor Warrants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34"/>
        </w:trPr>
        <w:tc>
          <w:tcPr>
            <w:tcW w:w="500" w:type="dxa"/>
            <w:vAlign w:val="bottom"/>
          </w:tcPr>
          <w:p>
            <w:pPr>
              <w:spacing w:after="0"/>
              <w:rPr>
                <w:sz w:val="20"/>
                <w:szCs w:val="20"/>
                <w:color w:val="auto"/>
              </w:rPr>
            </w:pPr>
          </w:p>
        </w:tc>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Class B</w:t>
            </w:r>
          </w:p>
        </w:tc>
        <w:tc>
          <w:tcPr>
            <w:tcW w:w="13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143,166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May 10, 2010</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May 10, 2025</w:t>
            </w:r>
          </w:p>
        </w:tc>
      </w:tr>
      <w:tr>
        <w:trPr>
          <w:trHeight w:val="198"/>
        </w:trPr>
        <w:tc>
          <w:tcPr>
            <w:tcW w:w="500" w:type="dxa"/>
            <w:vAlign w:val="bottom"/>
          </w:tcPr>
          <w:p>
            <w:pPr>
              <w:spacing w:after="0"/>
              <w:rPr>
                <w:sz w:val="17"/>
                <w:szCs w:val="17"/>
                <w:color w:val="auto"/>
              </w:rPr>
            </w:pPr>
          </w:p>
        </w:tc>
        <w:tc>
          <w:tcPr>
            <w:tcW w:w="4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September 22, 2016 Series B-3 Transaction $3.00 Investor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34"/>
        </w:trPr>
        <w:tc>
          <w:tcPr>
            <w:tcW w:w="500" w:type="dxa"/>
            <w:vAlign w:val="bottom"/>
          </w:tcPr>
          <w:p>
            <w:pPr>
              <w:spacing w:after="0"/>
              <w:rPr>
                <w:sz w:val="20"/>
                <w:szCs w:val="20"/>
                <w:color w:val="auto"/>
              </w:rPr>
            </w:pP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Warrants</w:t>
            </w:r>
          </w:p>
        </w:tc>
        <w:tc>
          <w:tcPr>
            <w:tcW w:w="13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698,158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September 22, 2016</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22, 2023</w:t>
            </w:r>
          </w:p>
        </w:tc>
      </w:tr>
      <w:tr>
        <w:trPr>
          <w:trHeight w:val="198"/>
        </w:trPr>
        <w:tc>
          <w:tcPr>
            <w:tcW w:w="500" w:type="dxa"/>
            <w:vAlign w:val="bottom"/>
          </w:tcPr>
          <w:p>
            <w:pPr>
              <w:spacing w:after="0"/>
              <w:rPr>
                <w:sz w:val="17"/>
                <w:szCs w:val="17"/>
                <w:color w:val="auto"/>
              </w:rPr>
            </w:pPr>
          </w:p>
        </w:tc>
        <w:tc>
          <w:tcPr>
            <w:tcW w:w="4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September 29, 2016 Series B-3 Transaction $3.00 Investor</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34"/>
        </w:trPr>
        <w:tc>
          <w:tcPr>
            <w:tcW w:w="500" w:type="dxa"/>
            <w:vAlign w:val="bottom"/>
          </w:tcPr>
          <w:p>
            <w:pPr>
              <w:spacing w:after="0"/>
              <w:rPr>
                <w:sz w:val="20"/>
                <w:szCs w:val="20"/>
                <w:color w:val="auto"/>
              </w:rPr>
            </w:pPr>
          </w:p>
        </w:tc>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Warrants</w:t>
            </w:r>
          </w:p>
        </w:tc>
        <w:tc>
          <w:tcPr>
            <w:tcW w:w="13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846,100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September 29, 2016</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September 29, 2023</w:t>
            </w:r>
          </w:p>
        </w:tc>
      </w:tr>
      <w:tr>
        <w:trPr>
          <w:trHeight w:val="216"/>
        </w:trPr>
        <w:tc>
          <w:tcPr>
            <w:tcW w:w="50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December 22, 2016 Private placement warrants</w:t>
            </w:r>
          </w:p>
        </w:tc>
        <w:tc>
          <w:tcPr>
            <w:tcW w:w="13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1,466,204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December 22, 2016</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23, 2023</w:t>
            </w:r>
          </w:p>
        </w:tc>
      </w:tr>
      <w:tr>
        <w:trPr>
          <w:trHeight w:val="198"/>
        </w:trPr>
        <w:tc>
          <w:tcPr>
            <w:tcW w:w="500" w:type="dxa"/>
            <w:vAlign w:val="bottom"/>
          </w:tcPr>
          <w:p>
            <w:pPr>
              <w:spacing w:after="0"/>
              <w:rPr>
                <w:sz w:val="17"/>
                <w:szCs w:val="17"/>
                <w:color w:val="auto"/>
              </w:rPr>
            </w:pPr>
          </w:p>
        </w:tc>
        <w:tc>
          <w:tcPr>
            <w:tcW w:w="4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December 23, 2016 Series B-3 Transaction $3.00 Investor</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34"/>
        </w:trPr>
        <w:tc>
          <w:tcPr>
            <w:tcW w:w="500" w:type="dxa"/>
            <w:vAlign w:val="bottom"/>
          </w:tcPr>
          <w:p>
            <w:pPr>
              <w:spacing w:after="0"/>
              <w:rPr>
                <w:sz w:val="20"/>
                <w:szCs w:val="20"/>
                <w:color w:val="auto"/>
              </w:rPr>
            </w:pPr>
          </w:p>
        </w:tc>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Warrants</w:t>
            </w:r>
          </w:p>
        </w:tc>
        <w:tc>
          <w:tcPr>
            <w:tcW w:w="13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924,780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December 23, 2016</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December 23, 2023</w:t>
            </w:r>
          </w:p>
        </w:tc>
      </w:tr>
      <w:tr>
        <w:trPr>
          <w:trHeight w:val="216"/>
        </w:trPr>
        <w:tc>
          <w:tcPr>
            <w:tcW w:w="50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December 28, 2016 Private placement warrants</w:t>
            </w:r>
          </w:p>
        </w:tc>
        <w:tc>
          <w:tcPr>
            <w:tcW w:w="13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644,468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December 28, 2016</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28, 2023</w:t>
            </w:r>
          </w:p>
        </w:tc>
      </w:tr>
      <w:tr>
        <w:trPr>
          <w:trHeight w:val="216"/>
        </w:trPr>
        <w:tc>
          <w:tcPr>
            <w:tcW w:w="50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27, 2017 Private placement warrants</w:t>
            </w:r>
          </w:p>
        </w:tc>
        <w:tc>
          <w:tcPr>
            <w:tcW w:w="13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76,776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February 27, 2017</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27, 2024</w:t>
            </w:r>
          </w:p>
        </w:tc>
      </w:tr>
      <w:tr>
        <w:trPr>
          <w:trHeight w:val="198"/>
        </w:trPr>
        <w:tc>
          <w:tcPr>
            <w:tcW w:w="500" w:type="dxa"/>
            <w:vAlign w:val="bottom"/>
          </w:tcPr>
          <w:p>
            <w:pPr>
              <w:spacing w:after="0"/>
              <w:rPr>
                <w:sz w:val="17"/>
                <w:szCs w:val="17"/>
                <w:color w:val="auto"/>
              </w:rPr>
            </w:pPr>
          </w:p>
        </w:tc>
        <w:tc>
          <w:tcPr>
            <w:tcW w:w="4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2018 and 2017 Warrants issued for services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Various dates in 2018</w:t>
            </w:r>
          </w:p>
        </w:tc>
        <w:tc>
          <w:tcPr>
            <w:tcW w:w="16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Various dates in 2025</w:t>
            </w:r>
          </w:p>
        </w:tc>
      </w:tr>
      <w:tr>
        <w:trPr>
          <w:trHeight w:val="234"/>
        </w:trPr>
        <w:tc>
          <w:tcPr>
            <w:tcW w:w="50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3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2,157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and 2017</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and 2024</w:t>
            </w:r>
          </w:p>
        </w:tc>
      </w:tr>
      <w:tr>
        <w:trPr>
          <w:trHeight w:val="216"/>
        </w:trPr>
        <w:tc>
          <w:tcPr>
            <w:tcW w:w="50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23, 2019 Rights offering warrants</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2,622,154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May 23, 2019</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May 23, 2026</w:t>
            </w:r>
          </w:p>
        </w:tc>
      </w:tr>
      <w:tr>
        <w:trPr>
          <w:trHeight w:val="27"/>
        </w:trPr>
        <w:tc>
          <w:tcPr>
            <w:tcW w:w="500" w:type="dxa"/>
            <w:vAlign w:val="bottom"/>
          </w:tcPr>
          <w:p>
            <w:pPr>
              <w:spacing w:after="0"/>
              <w:rPr>
                <w:sz w:val="2"/>
                <w:szCs w:val="2"/>
                <w:color w:val="auto"/>
              </w:rPr>
            </w:pPr>
          </w:p>
        </w:tc>
        <w:tc>
          <w:tcPr>
            <w:tcW w:w="4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r>
        <w:trPr>
          <w:trHeight w:val="216"/>
        </w:trPr>
        <w:tc>
          <w:tcPr>
            <w:tcW w:w="50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outstanding warrants</w:t>
            </w:r>
          </w:p>
        </w:tc>
        <w:tc>
          <w:tcPr>
            <w:tcW w:w="10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10,857,964</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564"/>
        </w:trPr>
        <w:tc>
          <w:tcPr>
            <w:tcW w:w="5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jc w:val="right"/>
              <w:ind w:right="880"/>
              <w:spacing w:after="0"/>
              <w:rPr>
                <w:sz w:val="20"/>
                <w:szCs w:val="20"/>
                <w:color w:val="auto"/>
              </w:rPr>
            </w:pPr>
            <w:r>
              <w:rPr>
                <w:rFonts w:ascii="Times New Roman" w:cs="Times New Roman" w:eastAsia="Times New Roman" w:hAnsi="Times New Roman"/>
                <w:sz w:val="14"/>
                <w:szCs w:val="14"/>
                <w:color w:val="auto"/>
              </w:rPr>
              <w:t>F-16</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4"/>
        </w:trPr>
        <w:tc>
          <w:tcPr>
            <w:tcW w:w="500" w:type="dxa"/>
            <w:vAlign w:val="bottom"/>
            <w:tcBorders>
              <w:bottom w:val="single" w:sz="8" w:color="auto"/>
            </w:tcBorders>
          </w:tcPr>
          <w:p>
            <w:pPr>
              <w:spacing w:after="0"/>
              <w:rPr>
                <w:sz w:val="3"/>
                <w:szCs w:val="3"/>
                <w:color w:val="auto"/>
              </w:rPr>
            </w:pPr>
          </w:p>
        </w:tc>
        <w:tc>
          <w:tcPr>
            <w:tcW w:w="4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78" w:name="page79"/>
    <w:bookmarkEnd w:id="7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ind w:left="440" w:hanging="432"/>
        <w:spacing w:after="0"/>
        <w:tabs>
          <w:tab w:leader="none" w:pos="4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Summary of Stock-Based Compensation Plans</w:t>
      </w:r>
    </w:p>
    <w:p>
      <w:pPr>
        <w:spacing w:after="0" w:line="229" w:lineRule="exact"/>
        <w:rPr>
          <w:sz w:val="20"/>
          <w:szCs w:val="20"/>
          <w:color w:val="auto"/>
        </w:rPr>
      </w:pPr>
    </w:p>
    <w:p>
      <w:pPr>
        <w:ind w:left="440" w:right="40"/>
        <w:spacing w:after="0" w:line="254" w:lineRule="auto"/>
        <w:rPr>
          <w:sz w:val="20"/>
          <w:szCs w:val="20"/>
          <w:color w:val="auto"/>
        </w:rPr>
      </w:pPr>
      <w:r>
        <w:rPr>
          <w:rFonts w:ascii="Times New Roman" w:cs="Times New Roman" w:eastAsia="Times New Roman" w:hAnsi="Times New Roman"/>
          <w:sz w:val="18"/>
          <w:szCs w:val="18"/>
          <w:color w:val="auto"/>
        </w:rPr>
        <w:t>At December 31, 2021, the Company has a stock-based compensation plan where the Company’s common stock has been made available for equity-based incentive grants as part of the Company’s compensation programs. In December 2019, the Company adopted the 2019 Omnibus Equity Incentive Plan (the “2019 Plan”) which provided originally for the issuance of up to 4,000,000 shares of the Company’s common stock, subsequently increased to 7,000,000 in December 2021, in the form of options, stock appreciation rights, restricted stock and other stock-based awards to employees, officers, directors, consultants and other eligible persons. At December 31, 2021, 3,266,179 shares were available for future grant under the 2019 Plan. Also, the Company previously had the 2009 Incentive Compensation Plan (the “2009 Plan”) which, after amendments, provided for issuance of up to 6,733,334 shares of the Company’s common stock in the form of options, stock appreciation rights, restricted stock and other stock-based awards to employees, officers, directors, consultants and other eligible persons. Provisions of the 2009 Plan stipulated that no grants could be made after February 2019; however, grants made prior to that date remain outstanding for their legal term.</w:t>
      </w:r>
    </w:p>
    <w:p>
      <w:pPr>
        <w:spacing w:after="0" w:line="188" w:lineRule="exact"/>
        <w:rPr>
          <w:sz w:val="20"/>
          <w:szCs w:val="20"/>
          <w:color w:val="auto"/>
        </w:rPr>
      </w:pPr>
    </w:p>
    <w:p>
      <w:pPr>
        <w:ind w:left="440" w:right="60"/>
        <w:spacing w:after="0" w:line="266" w:lineRule="auto"/>
        <w:rPr>
          <w:sz w:val="20"/>
          <w:szCs w:val="20"/>
          <w:color w:val="auto"/>
        </w:rPr>
      </w:pPr>
      <w:r>
        <w:rPr>
          <w:rFonts w:ascii="Times New Roman" w:cs="Times New Roman" w:eastAsia="Times New Roman" w:hAnsi="Times New Roman"/>
          <w:sz w:val="18"/>
          <w:szCs w:val="18"/>
          <w:color w:val="auto"/>
        </w:rPr>
        <w:t>In addition, the Company has awarded 1,477,379 non-plan stock option grants to employees and non-employees. These non-plan grants have vesting periods and expiration dates similar to those options granted under the Incentive Plans. At December 31, 2021, there were no non-plan grants outstanding.</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440" w:right="40"/>
        <w:spacing w:after="0" w:line="282" w:lineRule="auto"/>
        <w:rPr>
          <w:sz w:val="20"/>
          <w:szCs w:val="20"/>
          <w:color w:val="auto"/>
        </w:rPr>
      </w:pPr>
      <w:r>
        <w:rPr>
          <w:rFonts w:ascii="Times New Roman" w:cs="Times New Roman" w:eastAsia="Times New Roman" w:hAnsi="Times New Roman"/>
          <w:sz w:val="18"/>
          <w:szCs w:val="18"/>
          <w:color w:val="auto"/>
        </w:rPr>
        <w:t>Following is the stock-based compensation expense related to common stock options, restricted common stock, common stock warrants and deferred stock units:</w:t>
      </w:r>
    </w:p>
    <w:p>
      <w:pPr>
        <w:spacing w:after="0" w:line="15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8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8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4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100" w:type="dxa"/>
            <w:vAlign w:val="bottom"/>
          </w:tcPr>
          <w:p>
            <w:pPr>
              <w:spacing w:after="0"/>
              <w:rPr>
                <w:sz w:val="19"/>
                <w:szCs w:val="19"/>
                <w:color w:val="auto"/>
              </w:rPr>
            </w:pP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shd w:val="clear" w:color="auto" w:fill="CCEEFF"/>
          </w:tcPr>
          <w:p>
            <w:pPr>
              <w:spacing w:after="0"/>
              <w:rPr>
                <w:sz w:val="18"/>
                <w:szCs w:val="18"/>
                <w:color w:val="auto"/>
              </w:rPr>
            </w:pPr>
          </w:p>
        </w:tc>
      </w:tr>
      <w:tr>
        <w:trPr>
          <w:trHeight w:val="223"/>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1,283</w:t>
            </w:r>
          </w:p>
        </w:tc>
      </w:tr>
      <w:tr>
        <w:trPr>
          <w:trHeight w:val="257"/>
        </w:trPr>
        <w:tc>
          <w:tcPr>
            <w:tcW w:w="8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440" w:right="40"/>
        <w:spacing w:after="0" w:line="282" w:lineRule="auto"/>
        <w:rPr>
          <w:sz w:val="20"/>
          <w:szCs w:val="20"/>
          <w:color w:val="auto"/>
        </w:rPr>
      </w:pPr>
      <w:r>
        <w:rPr>
          <w:rFonts w:ascii="Times New Roman" w:cs="Times New Roman" w:eastAsia="Times New Roman" w:hAnsi="Times New Roman"/>
          <w:sz w:val="18"/>
          <w:szCs w:val="18"/>
          <w:color w:val="auto"/>
        </w:rPr>
        <w:t>The fair value of the options granted is determined using the Black-Scholes option-pricing model. The following weighted average assumptions were used:</w:t>
      </w:r>
    </w:p>
    <w:p>
      <w:pPr>
        <w:spacing w:after="0" w:line="158" w:lineRule="exact"/>
        <w:rPr>
          <w:sz w:val="20"/>
          <w:szCs w:val="20"/>
          <w:color w:val="auto"/>
        </w:rPr>
      </w:pPr>
    </w:p>
    <w:tbl>
      <w:tblPr>
        <w:tblLayout w:type="fixed"/>
        <w:tblInd w:w="500" w:type="dxa"/>
        <w:tblCellMar>
          <w:top w:w="0" w:type="dxa"/>
          <w:left w:w="0" w:type="dxa"/>
          <w:bottom w:w="0" w:type="dxa"/>
          <w:right w:w="0" w:type="dxa"/>
        </w:tblCellMar>
      </w:tblPr>
      <w:tr>
        <w:trPr>
          <w:trHeight w:val="245"/>
        </w:trPr>
        <w:tc>
          <w:tcPr>
            <w:tcW w:w="8220" w:type="dxa"/>
            <w:vAlign w:val="bottom"/>
          </w:tcPr>
          <w:p>
            <w:pPr>
              <w:spacing w:after="0"/>
              <w:rPr>
                <w:sz w:val="21"/>
                <w:szCs w:val="21"/>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21"/>
                <w:szCs w:val="21"/>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21"/>
                <w:szCs w:val="21"/>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0.66%</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the options</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 years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 years</w:t>
            </w: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 of the underlying stock</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91.7%</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97.9%</w:t>
            </w:r>
          </w:p>
        </w:tc>
      </w:tr>
      <w:tr>
        <w:trPr>
          <w:trHeight w:val="234"/>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ind w:left="440" w:right="60"/>
        <w:spacing w:after="0" w:line="254" w:lineRule="auto"/>
        <w:rPr>
          <w:sz w:val="20"/>
          <w:szCs w:val="20"/>
          <w:color w:val="auto"/>
        </w:rPr>
      </w:pPr>
      <w:r>
        <w:rPr>
          <w:rFonts w:ascii="Times New Roman" w:cs="Times New Roman" w:eastAsia="Times New Roman" w:hAnsi="Times New Roman"/>
          <w:sz w:val="18"/>
          <w:szCs w:val="18"/>
          <w:color w:val="auto"/>
        </w:rPr>
        <w:t>As noted above, the fair value of stock options is determined by using the Black-Scholes option pricing model. For all options granted since January 1, 2006 the Company has generally used option terms of between 5 to 10 years, generally with 5 to 6 years representing the estimated life of options granted to employees. The volatility of the common stock is estimated using historical volatility over a period equal to the expected life at the date of grant. The risk-free interest rate used in the Black-Scholes option pricing model is determined by reference to historical U.S. Treasury constant maturity rates with terms equal to the expected terms of the awards. An expected dividend yield of zero is used in the option valuation model, because the Company does not expect to pay any cash dividends on common stock in the foreseeable future. At December 31, 2021, the Company does not anticipate any option awards will be forfeited in the calculation of compensation expense due to the limited number of employees that receive stock option grants and the Company’s historical employee turnover.</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9" w:name="page80"/>
    <w:bookmarkEnd w:id="7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in the stock-based compensation plans:</w:t>
      </w:r>
    </w:p>
    <w:p>
      <w:pPr>
        <w:spacing w:after="0" w:line="200" w:lineRule="exact"/>
        <w:rPr>
          <w:sz w:val="20"/>
          <w:szCs w:val="20"/>
          <w:color w:val="auto"/>
        </w:rPr>
      </w:pPr>
    </w:p>
    <w:p>
      <w:pPr>
        <w:spacing w:after="0" w:line="237"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74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Life</w:t>
            </w:r>
          </w:p>
        </w:tc>
        <w:tc>
          <w:tcPr>
            <w:tcW w:w="20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45"/>
        </w:trPr>
        <w:tc>
          <w:tcPr>
            <w:tcW w:w="5740" w:type="dxa"/>
            <w:vAlign w:val="bottom"/>
          </w:tcPr>
          <w:p>
            <w:pPr>
              <w:spacing w:after="0"/>
              <w:rPr>
                <w:sz w:val="21"/>
                <w:szCs w:val="21"/>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1"/>
                <w:szCs w:val="21"/>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00" w:type="dxa"/>
            <w:vAlign w:val="bottom"/>
          </w:tcPr>
          <w:p>
            <w:pPr>
              <w:spacing w:after="0"/>
              <w:rPr>
                <w:sz w:val="21"/>
                <w:szCs w:val="21"/>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 December 31, 2019</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3,000,256</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4.88</w:t>
            </w:r>
          </w:p>
        </w:tc>
        <w:tc>
          <w:tcPr>
            <w:tcW w:w="2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2.51</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Forfeited/Cancelled</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(23,057)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1.80</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(84,624)</w:t>
            </w:r>
          </w:p>
        </w:tc>
        <w:tc>
          <w:tcPr>
            <w:tcW w:w="120" w:type="dxa"/>
            <w:vAlign w:val="bottom"/>
          </w:tcPr>
          <w:p>
            <w:pPr>
              <w:spacing w:after="0"/>
              <w:rPr>
                <w:sz w:val="19"/>
                <w:szCs w:val="19"/>
                <w:color w:val="auto"/>
              </w:rPr>
            </w:pPr>
          </w:p>
        </w:tc>
        <w:tc>
          <w:tcPr>
            <w:tcW w:w="11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2.61</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 December 31, 2020</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3,987,575</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4.29</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2.39</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Forfeited/Cancelled</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(1,603,073)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5.31</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(148,941)</w:t>
            </w:r>
          </w:p>
        </w:tc>
        <w:tc>
          <w:tcPr>
            <w:tcW w:w="120" w:type="dxa"/>
            <w:vAlign w:val="bottom"/>
          </w:tcPr>
          <w:p>
            <w:pPr>
              <w:spacing w:after="0"/>
              <w:rPr>
                <w:sz w:val="19"/>
                <w:szCs w:val="19"/>
                <w:color w:val="auto"/>
              </w:rPr>
            </w:pPr>
          </w:p>
        </w:tc>
        <w:tc>
          <w:tcPr>
            <w:tcW w:w="11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2.35</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6"/>
        </w:trPr>
        <w:tc>
          <w:tcPr>
            <w:tcW w:w="5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4,895,561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3.14</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28"/>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Exercisable, December 31, 2021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2,158,477</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4.09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r>
    </w:tbl>
    <w:p>
      <w:pPr>
        <w:spacing w:after="0" w:line="179" w:lineRule="exact"/>
        <w:rPr>
          <w:sz w:val="20"/>
          <w:szCs w:val="20"/>
          <w:color w:val="auto"/>
        </w:rPr>
      </w:pPr>
    </w:p>
    <w:p>
      <w:pPr>
        <w:jc w:val="both"/>
        <w:ind w:left="440" w:right="100"/>
        <w:spacing w:after="0" w:line="266"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amount, net of exercise price, which would have been received by option holders if all option holders had exercised all options with an exercise price lower than the market price on December 31, 2021, based on the closing price of the Company’s common stock of $2.07 on that date.</w:t>
      </w:r>
    </w:p>
    <w:p>
      <w:pPr>
        <w:spacing w:after="0" w:line="176" w:lineRule="exact"/>
        <w:rPr>
          <w:sz w:val="20"/>
          <w:szCs w:val="20"/>
          <w:color w:val="auto"/>
        </w:rPr>
      </w:pPr>
    </w:p>
    <w:p>
      <w:pPr>
        <w:ind w:left="440" w:right="20"/>
        <w:spacing w:after="0" w:line="261" w:lineRule="auto"/>
        <w:rPr>
          <w:sz w:val="20"/>
          <w:szCs w:val="20"/>
          <w:color w:val="auto"/>
        </w:rPr>
      </w:pPr>
      <w:r>
        <w:rPr>
          <w:rFonts w:ascii="Times New Roman" w:cs="Times New Roman" w:eastAsia="Times New Roman" w:hAnsi="Times New Roman"/>
          <w:sz w:val="18"/>
          <w:szCs w:val="18"/>
          <w:color w:val="auto"/>
        </w:rPr>
        <w:t>The weighted-average grant-date fair values of options granted during 2021 and 2020 were $1.78 and $1.92, respectively. As of December 31, 2021 and 2020, there were unvested options to purchase 2,737,084 and 651,667 shares of common stock, respectively. Total expected unrecognized compensation cost related to such unvested options is $3,654,000 at December 31, 2021, which is expected to be recognized over a weighted-average period of 2.07 years.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aggregate intrinsic value of stock options exercised for the year ended December 31, 2021 and 2020 was $532,447 and $39,792, respectively.</w:t>
      </w:r>
    </w:p>
    <w:p>
      <w:pPr>
        <w:spacing w:after="0" w:line="225" w:lineRule="exact"/>
        <w:rPr>
          <w:sz w:val="20"/>
          <w:szCs w:val="20"/>
          <w:color w:val="auto"/>
        </w:rPr>
      </w:pPr>
    </w:p>
    <w:p>
      <w:pPr>
        <w:ind w:left="440" w:right="30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2021 and 2020, 284,583 and 850,833 options became vested, respectively. The total grant date fair value of options vested during the years ended December 31, 2021 and 2020 was $514,287 and $2,531,758, respectively.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additional information regarding outstanding and exercisable options under our stock-based compensation plans at</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40" w:type="dxa"/>
            <w:vAlign w:val="bottom"/>
            <w:gridSpan w:val="6"/>
          </w:tcPr>
          <w:p>
            <w:pPr>
              <w:jc w:val="center"/>
              <w:ind w:left="872"/>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4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Options Exercisable</w:t>
            </w:r>
          </w:p>
        </w:tc>
      </w:tr>
      <w:tr>
        <w:trPr>
          <w:trHeight w:val="194"/>
        </w:trPr>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50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45"/>
        </w:trPr>
        <w:tc>
          <w:tcPr>
            <w:tcW w:w="500" w:type="dxa"/>
            <w:vAlign w:val="bottom"/>
          </w:tcPr>
          <w:p>
            <w:pPr>
              <w:spacing w:after="0"/>
              <w:rPr>
                <w:sz w:val="21"/>
                <w:szCs w:val="21"/>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Price (Range)</w:t>
            </w: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Life</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16"/>
        </w:trPr>
        <w:tc>
          <w:tcPr>
            <w:tcW w:w="5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$0.87 – 1.00</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120,500</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0.89</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120,500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0.89</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8"/>
              </w:rPr>
              <w:t>$1.01</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3.00</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3,404,521</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962,437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500" w:type="dxa"/>
            <w:vAlign w:val="bottom"/>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$3.01</w:t>
            </w: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5.00</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1,013,040</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4.14</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718,040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8"/>
              </w:rPr>
              <w:t>$5.01</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8.00</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220,000</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w:t>
            </w:r>
          </w:p>
        </w:tc>
      </w:tr>
      <w:tr>
        <w:trPr>
          <w:trHeight w:val="216"/>
        </w:trPr>
        <w:tc>
          <w:tcPr>
            <w:tcW w:w="500" w:type="dxa"/>
            <w:vAlign w:val="bottom"/>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$8.01</w:t>
            </w: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13.38</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137,500</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13.38</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137,500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13.38</w:t>
            </w:r>
          </w:p>
        </w:tc>
      </w:tr>
      <w:tr>
        <w:trPr>
          <w:trHeight w:val="27"/>
        </w:trPr>
        <w:tc>
          <w:tcPr>
            <w:tcW w:w="500" w:type="dxa"/>
            <w:vAlign w:val="bottom"/>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4,895,561</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2,158,477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w:t>
            </w: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4"/>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F-18</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7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80" w:name="page81"/>
    <w:bookmarkEnd w:id="8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Issuances</w:t>
      </w:r>
    </w:p>
    <w:p>
      <w:pPr>
        <w:spacing w:after="0" w:line="229" w:lineRule="exact"/>
        <w:rPr>
          <w:sz w:val="20"/>
          <w:szCs w:val="20"/>
          <w:color w:val="auto"/>
        </w:rPr>
      </w:pPr>
    </w:p>
    <w:p>
      <w:pPr>
        <w:ind w:left="440" w:right="360"/>
        <w:spacing w:after="0" w:line="282" w:lineRule="auto"/>
        <w:rPr>
          <w:sz w:val="20"/>
          <w:szCs w:val="20"/>
          <w:color w:val="auto"/>
        </w:rPr>
      </w:pPr>
      <w:r>
        <w:rPr>
          <w:rFonts w:ascii="Times New Roman" w:cs="Times New Roman" w:eastAsia="Times New Roman" w:hAnsi="Times New Roman"/>
          <w:sz w:val="18"/>
          <w:szCs w:val="18"/>
          <w:color w:val="auto"/>
        </w:rPr>
        <w:t>In January 2020, two directors elected to take restricted stock grants in lieu of cash retainers for 2020. A total of 32,693 shares of restricted stock valued at approximately $93,500 was amortized to expense on a straight-line basis until January 9, 2021 when the stock vested in full.</w:t>
      </w:r>
    </w:p>
    <w:p>
      <w:pPr>
        <w:spacing w:after="0" w:line="162" w:lineRule="exact"/>
        <w:rPr>
          <w:sz w:val="20"/>
          <w:szCs w:val="20"/>
          <w:color w:val="auto"/>
        </w:rPr>
      </w:pPr>
    </w:p>
    <w:p>
      <w:pPr>
        <w:ind w:left="440" w:right="480"/>
        <w:spacing w:after="0" w:line="312" w:lineRule="auto"/>
        <w:rPr>
          <w:sz w:val="20"/>
          <w:szCs w:val="20"/>
          <w:color w:val="auto"/>
        </w:rPr>
      </w:pPr>
      <w:r>
        <w:rPr>
          <w:rFonts w:ascii="Times New Roman" w:cs="Times New Roman" w:eastAsia="Times New Roman" w:hAnsi="Times New Roman"/>
          <w:sz w:val="17"/>
          <w:szCs w:val="17"/>
          <w:color w:val="auto"/>
        </w:rPr>
        <w:t>In March 2021, one director elected to take a restricted stock grant in lieu of cash retainers for 2021. A total of 16,588 shares of restricted stock valued at approximately $35,000 is being amortized to expense on a straight-line basis until December 31, 2021 when the stock vested in full.</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Deferred Stock Units</w:t>
      </w:r>
    </w:p>
    <w:p>
      <w:pPr>
        <w:spacing w:after="0" w:line="229" w:lineRule="exact"/>
        <w:rPr>
          <w:sz w:val="20"/>
          <w:szCs w:val="20"/>
          <w:color w:val="auto"/>
        </w:rPr>
      </w:pPr>
    </w:p>
    <w:p>
      <w:pPr>
        <w:ind w:left="440" w:right="160"/>
        <w:spacing w:after="0" w:line="277" w:lineRule="auto"/>
        <w:rPr>
          <w:sz w:val="20"/>
          <w:szCs w:val="20"/>
          <w:color w:val="auto"/>
        </w:rPr>
      </w:pPr>
      <w:r>
        <w:rPr>
          <w:rFonts w:ascii="Times New Roman" w:cs="Times New Roman" w:eastAsia="Times New Roman" w:hAnsi="Times New Roman"/>
          <w:sz w:val="17"/>
          <w:szCs w:val="17"/>
          <w:color w:val="auto"/>
        </w:rPr>
        <w:t>In September 2020, the Company entered into an employment agreement with its new Chief Executive Officer whereby 20% of his base salary and performance bonuses will be paid in cash, and 80% will be paid in the form of deferred stock units (“</w:t>
      </w:r>
      <w:r>
        <w:rPr>
          <w:rFonts w:ascii="Times New Roman" w:cs="Times New Roman" w:eastAsia="Times New Roman" w:hAnsi="Times New Roman"/>
          <w:sz w:val="17"/>
          <w:szCs w:val="17"/>
          <w:u w:val="single" w:color="auto"/>
          <w:color w:val="auto"/>
        </w:rPr>
        <w:t>DSUs</w:t>
      </w:r>
      <w:r>
        <w:rPr>
          <w:rFonts w:ascii="Times New Roman" w:cs="Times New Roman" w:eastAsia="Times New Roman" w:hAnsi="Times New Roman"/>
          <w:sz w:val="17"/>
          <w:szCs w:val="17"/>
          <w:color w:val="auto"/>
        </w:rPr>
        <w:t>”) in accordance with the terms and subject to the provisions set forth in the DSU Agreement. DSUs credited to Mr. Lewis as of any date shall be fully vested and nonforfeitable at all times. The Company shall issue the shares underlying the outstanding whole number of DSUs credited to Mr. Lewis as follows: twenty five percent shall be issued on March 1, 2023, twenty five percent shall be issued on September 1, 2023 and fifty percent shall be issued on March 1, 2024.</w:t>
      </w:r>
    </w:p>
    <w:p>
      <w:pPr>
        <w:spacing w:after="0" w:line="168" w:lineRule="exact"/>
        <w:rPr>
          <w:sz w:val="20"/>
          <w:szCs w:val="20"/>
          <w:color w:val="auto"/>
        </w:rPr>
      </w:pPr>
    </w:p>
    <w:p>
      <w:pPr>
        <w:ind w:left="440"/>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2021, $400,000 of Mr. Lewis’ compensation was recorded as stock compensation expense representing 142,206 shares of common stock to be issued under the DSU agreement with a weighted average grant date fair value of $2.81 per share. Also, Mr. Lewis’ bonus for the year ended December 31, 2020 of $60,000 (which was included in accrued compensation at December 31, 2020) was approved in March 2021 and represents 27,027 shares of common stock to be issued under the DSU agreement with a grant date fair value of $2.22 per share. The $60,000 was reclassified from accrued compensation to additional paid in capital in March 2021. For the year ended December 31, 2020, approximately $132,000 of his compensation was recorded as stock compensation expense representing 50,307 shares of common stock to be issued under the DSU agreement with a weighted average grant date fair value of $2.62 per share. There is no unrecognized compensation expense related to the DSUs.</w:t>
      </w:r>
    </w:p>
    <w:p>
      <w:pPr>
        <w:spacing w:after="0" w:line="188" w:lineRule="exact"/>
        <w:rPr>
          <w:sz w:val="20"/>
          <w:szCs w:val="20"/>
          <w:color w:val="auto"/>
        </w:rPr>
      </w:pPr>
    </w:p>
    <w:p>
      <w:pPr>
        <w:ind w:left="500" w:hanging="492"/>
        <w:spacing w:after="0"/>
        <w:tabs>
          <w:tab w:leader="none" w:pos="5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Line of Credit – Related Party</w:t>
      </w:r>
    </w:p>
    <w:p>
      <w:pPr>
        <w:spacing w:after="0" w:line="229" w:lineRule="exact"/>
        <w:rPr>
          <w:sz w:val="20"/>
          <w:szCs w:val="20"/>
          <w:color w:val="auto"/>
        </w:rPr>
      </w:pPr>
    </w:p>
    <w:p>
      <w:pPr>
        <w:ind w:left="500" w:right="80"/>
        <w:spacing w:after="0" w:line="253" w:lineRule="auto"/>
        <w:rPr>
          <w:sz w:val="20"/>
          <w:szCs w:val="20"/>
          <w:color w:val="auto"/>
        </w:rPr>
      </w:pPr>
      <w:r>
        <w:rPr>
          <w:rFonts w:ascii="Times New Roman" w:cs="Times New Roman" w:eastAsia="Times New Roman" w:hAnsi="Times New Roman"/>
          <w:sz w:val="18"/>
          <w:szCs w:val="18"/>
          <w:color w:val="auto"/>
        </w:rPr>
        <w:t>The Company had a $10 million Line of Credit arrangement with Richard E. Uihlein, Chairman of Board of Directors and a shareholder pursuant to an agreement established in December, 2017 and amended in December, 2018 and January, 2019. The line of credit was terminated in conjunction with the December 2021 Convertible Note Payable (see Note ). Under the arrangement the Company was permitted borrow up to $10 million from Mr. Uihlein on an unsecured basis and with any borrowings bearing interest at the Applicable Federal Rate for short terms loans published by the Internal Revenue Service (0.13% in June 2021). Borrowings were to be made through December 31, 2021 with repayment due on December 31, 2022. In connection with the Line of Credit agreement, the Company issued to Mr. Uihlein warrants to purchase 1 million shares of the Company’s common stock for $5 per share. Half of the warrants vested at closing of the Line of Credit, and the other half would have vested ratably with borrowings under the agreement but expired with the termination of the Line of Credit. The 500,000 warrants that vested at closing were exercised in May 2019 for cash proceeds to the Company of $2.5 million. There were no borrowings under the Line of Credit prior to its termination in December 2021.</w:t>
      </w:r>
    </w:p>
    <w:p>
      <w:pPr>
        <w:spacing w:after="0" w:line="194" w:lineRule="exact"/>
        <w:rPr>
          <w:sz w:val="20"/>
          <w:szCs w:val="20"/>
          <w:color w:val="auto"/>
        </w:rPr>
      </w:pPr>
    </w:p>
    <w:p>
      <w:pPr>
        <w:ind w:left="500" w:right="20"/>
        <w:spacing w:after="0" w:line="255" w:lineRule="auto"/>
        <w:rPr>
          <w:sz w:val="20"/>
          <w:szCs w:val="20"/>
          <w:color w:val="auto"/>
        </w:rPr>
      </w:pPr>
      <w:r>
        <w:rPr>
          <w:rFonts w:ascii="Times New Roman" w:cs="Times New Roman" w:eastAsia="Times New Roman" w:hAnsi="Times New Roman"/>
          <w:sz w:val="18"/>
          <w:szCs w:val="18"/>
          <w:color w:val="auto"/>
        </w:rPr>
        <w:t>The fair value of the 500,000 warrants vested at closing in December 2017 was $696,000 at the date of issuance based on the following assumptions: an expected life of 7 years, volatility of 98%, risk free interest rate of 2.05% and zero dividends. The fair value of the vested warrants was recorded in other current assets and other assets (non-current) as a deferred financing cost and were to be amortized on a straight-line basis from December 19, 2017 through December 31, 2019. The remaining unamortized balance of the deferred financing cost on January 11, 2019 was adjusted to be recorded as expense on a straight-line basis through December 31, 2022. Upon termination of the Line of Credit in December 2021, all remaining unamortized costs were expensed. Amortization for the year ended December 31, 2021 and 2020 of $174,000 and $87,000, respectively, was recorded as interest expense.</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1" w:name="page82"/>
    <w:bookmarkEnd w:id="8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ind w:left="500" w:hanging="492"/>
        <w:spacing w:after="0"/>
        <w:tabs>
          <w:tab w:leader="none" w:pos="5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229" w:lineRule="exact"/>
        <w:rPr>
          <w:sz w:val="20"/>
          <w:szCs w:val="20"/>
          <w:color w:val="auto"/>
        </w:rPr>
      </w:pPr>
    </w:p>
    <w:p>
      <w:pPr>
        <w:ind w:left="440" w:right="20"/>
        <w:spacing w:after="0" w:line="261" w:lineRule="auto"/>
        <w:rPr>
          <w:sz w:val="20"/>
          <w:szCs w:val="20"/>
          <w:color w:val="auto"/>
        </w:rPr>
      </w:pPr>
      <w:r>
        <w:rPr>
          <w:rFonts w:ascii="Times New Roman" w:cs="Times New Roman" w:eastAsia="Times New Roman" w:hAnsi="Times New Roman"/>
          <w:sz w:val="18"/>
          <w:szCs w:val="18"/>
          <w:color w:val="auto"/>
        </w:rPr>
        <w:t>Basic net loss per common share is computed by dividing the net loss available to common stockholders by the weighted average number of common shares outstanding during the period. For the years ended December 31, 2021 and 2020, as the Company was in a net loss position, the diluted loss per share computations for such periods did not assume the exercise of warrants and stock options or the conversion of Convertible Notes, or the conversion of convertible preferred stock as they would have had an anti-dilutive effect on loss per share.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computations of diluted weighted average shares outstanding as of</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December 31, 2021 and 2020 as the inclusion thereof would have been anti-dilutive:</w:t>
      </w:r>
    </w:p>
    <w:p>
      <w:pPr>
        <w:spacing w:after="0" w:line="203"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8260" w:type="dxa"/>
            <w:vAlign w:val="bottom"/>
          </w:tcPr>
          <w:p>
            <w:pPr>
              <w:spacing w:after="0"/>
              <w:rPr>
                <w:sz w:val="18"/>
                <w:szCs w:val="18"/>
                <w:color w:val="auto"/>
              </w:rPr>
            </w:pPr>
          </w:p>
        </w:tc>
        <w:tc>
          <w:tcPr>
            <w:tcW w:w="2480" w:type="dxa"/>
            <w:vAlign w:val="bottom"/>
            <w:gridSpan w:val="4"/>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45"/>
        </w:trPr>
        <w:tc>
          <w:tcPr>
            <w:tcW w:w="8260" w:type="dxa"/>
            <w:vAlign w:val="bottom"/>
          </w:tcPr>
          <w:p>
            <w:pPr>
              <w:spacing w:after="0"/>
              <w:rPr>
                <w:sz w:val="21"/>
                <w:szCs w:val="21"/>
                <w:color w:val="auto"/>
              </w:rPr>
            </w:pPr>
          </w:p>
        </w:tc>
        <w:tc>
          <w:tcPr>
            <w:tcW w:w="248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194"/>
        </w:trPr>
        <w:tc>
          <w:tcPr>
            <w:tcW w:w="8260" w:type="dxa"/>
            <w:vAlign w:val="bottom"/>
          </w:tcPr>
          <w:p>
            <w:pPr>
              <w:spacing w:after="0"/>
              <w:rPr>
                <w:sz w:val="16"/>
                <w:szCs w:val="16"/>
                <w:color w:val="auto"/>
              </w:rPr>
            </w:pPr>
          </w:p>
        </w:tc>
        <w:tc>
          <w:tcPr>
            <w:tcW w:w="1080" w:type="dxa"/>
            <w:vAlign w:val="bottom"/>
            <w:tcBorders>
              <w:top w:val="single" w:sz="8" w:color="auto"/>
            </w:tcBorders>
          </w:tcPr>
          <w:p>
            <w:pPr>
              <w:jc w:val="right"/>
              <w:ind w:right="270"/>
              <w:spacing w:after="0" w:line="194" w:lineRule="exact"/>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270"/>
              <w:spacing w:after="0" w:line="194" w:lineRule="exact"/>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6"/>
                <w:szCs w:val="16"/>
                <w:color w:val="auto"/>
              </w:rPr>
            </w:pPr>
          </w:p>
        </w:tc>
      </w:tr>
      <w:tr>
        <w:trPr>
          <w:trHeight w:val="245"/>
        </w:trPr>
        <w:tc>
          <w:tcPr>
            <w:tcW w:w="8260" w:type="dxa"/>
            <w:vAlign w:val="bottom"/>
          </w:tcPr>
          <w:p>
            <w:pPr>
              <w:spacing w:after="0"/>
              <w:rPr>
                <w:sz w:val="21"/>
                <w:szCs w:val="21"/>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shares of common stock</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10,857,964</w:t>
            </w:r>
          </w:p>
        </w:tc>
        <w:tc>
          <w:tcPr>
            <w:tcW w:w="2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12,538,204</w:t>
            </w:r>
          </w:p>
        </w:tc>
        <w:tc>
          <w:tcPr>
            <w:tcW w:w="100" w:type="dxa"/>
            <w:vAlign w:val="bottom"/>
            <w:shd w:val="clear" w:color="auto" w:fill="CCEEFF"/>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shares of common stock</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4,895,561</w:t>
            </w: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3,987,575</w:t>
            </w: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common stock issuable upon conversion of convertible notes payable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5,214,806</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issuable upon conversion preferred stock</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510,424</w:t>
            </w:r>
          </w:p>
        </w:tc>
        <w:tc>
          <w:tcPr>
            <w:tcW w:w="2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510,424</w:t>
            </w:r>
          </w:p>
        </w:tc>
      </w:tr>
      <w:tr>
        <w:trPr>
          <w:trHeight w:val="257"/>
        </w:trPr>
        <w:tc>
          <w:tcPr>
            <w:tcW w:w="8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21,478,755</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17,036,203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12.</w:t>
        <w:tab/>
        <w:t>Commitments and Contingencies</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229" w:lineRule="exact"/>
        <w:rPr>
          <w:sz w:val="20"/>
          <w:szCs w:val="20"/>
          <w:color w:val="auto"/>
        </w:rPr>
      </w:pPr>
    </w:p>
    <w:p>
      <w:pPr>
        <w:ind w:left="440" w:right="20"/>
        <w:spacing w:after="0" w:line="255" w:lineRule="auto"/>
        <w:rPr>
          <w:sz w:val="20"/>
          <w:szCs w:val="20"/>
          <w:color w:val="auto"/>
        </w:rPr>
      </w:pPr>
      <w:r>
        <w:rPr>
          <w:rFonts w:ascii="Times New Roman" w:cs="Times New Roman" w:eastAsia="Times New Roman" w:hAnsi="Times New Roman"/>
          <w:sz w:val="18"/>
          <w:szCs w:val="18"/>
          <w:color w:val="auto"/>
        </w:rPr>
        <w:t>The Company has one operating lease for its office space which was amended effective January 1, 2019 for a term of 38 months with no residual value guarantees or material restrictive covenants. The amended lease provided for free rent for the first two months of the lease and continues the security deposit of $6,000. In addition to base rental payments included in the contractual obligations table below, the Company is responsible for our pro-rata share of the operating expenses for the building. Our lease cost for the years ended December 31, 2021 and 2020 was $44,000 and $44,000 and is included in general and administrative expenses. As of December 31, 2021, the right to use lease asset consisted of $7,000 and is included in other assets. Also, at December 31, 2021, current lease liability of $8,000 is included in accrued expenses. The Company renewed its existing office space lease effective in February 2022 for 38 months at substantially the same terms.</w:t>
      </w:r>
    </w:p>
    <w:p>
      <w:pPr>
        <w:spacing w:after="0" w:line="189"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Maturity of operating lease as of December 31, 2021 in thousands:</w:t>
            </w: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 w:type="dxa"/>
            <w:vAlign w:val="bottom"/>
            <w:vMerge w:val="restart"/>
          </w:tcPr>
          <w:p>
            <w:pPr>
              <w:spacing w:after="0"/>
              <w:rPr>
                <w:sz w:val="18"/>
                <w:szCs w:val="18"/>
                <w:color w:val="auto"/>
              </w:rPr>
            </w:pPr>
          </w:p>
        </w:tc>
        <w:tc>
          <w:tcPr>
            <w:tcW w:w="9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vMerge w:val="continue"/>
          </w:tcPr>
          <w:p>
            <w:pPr>
              <w:spacing w:after="0"/>
              <w:rPr>
                <w:sz w:val="19"/>
                <w:szCs w:val="19"/>
                <w:color w:val="auto"/>
              </w:rPr>
            </w:pPr>
          </w:p>
        </w:tc>
        <w:tc>
          <w:tcPr>
            <w:tcW w:w="9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9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5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discount rate used in calculating the present value of the lease payments was 11.04%.</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2" w:name="page83"/>
    <w:bookmarkEnd w:id="8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left="440" w:right="400"/>
        <w:spacing w:after="0" w:line="282" w:lineRule="auto"/>
        <w:rPr>
          <w:sz w:val="20"/>
          <w:szCs w:val="20"/>
          <w:color w:val="auto"/>
        </w:rPr>
      </w:pPr>
      <w:r>
        <w:rPr>
          <w:rFonts w:ascii="Times New Roman" w:cs="Times New Roman" w:eastAsia="Times New Roman" w:hAnsi="Times New Roman"/>
          <w:sz w:val="18"/>
          <w:szCs w:val="18"/>
          <w:color w:val="auto"/>
        </w:rPr>
        <w:t>The Company records accruals for such contingencies to the extent that the Company concludes that their occurrence is probable and the related damages are estimable. There are no pending legal proceedings.</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Clinical Trial and Research Contingencies</w:t>
      </w:r>
    </w:p>
    <w:p>
      <w:pPr>
        <w:spacing w:after="0" w:line="229" w:lineRule="exact"/>
        <w:rPr>
          <w:sz w:val="20"/>
          <w:szCs w:val="20"/>
          <w:color w:val="auto"/>
        </w:rPr>
      </w:pPr>
    </w:p>
    <w:p>
      <w:pPr>
        <w:ind w:left="440" w:right="240"/>
        <w:spacing w:after="0" w:line="282" w:lineRule="auto"/>
        <w:rPr>
          <w:sz w:val="20"/>
          <w:szCs w:val="20"/>
          <w:color w:val="auto"/>
        </w:rPr>
      </w:pPr>
      <w:r>
        <w:rPr>
          <w:rFonts w:ascii="Times New Roman" w:cs="Times New Roman" w:eastAsia="Times New Roman" w:hAnsi="Times New Roman"/>
          <w:sz w:val="18"/>
          <w:szCs w:val="18"/>
          <w:color w:val="auto"/>
        </w:rPr>
        <w:t>The Company has entered into agreements with contractors for research and development activities to further its product candidates. The contracts generally may be canceled at any time by providing thirty days’ notice.</w:t>
      </w:r>
    </w:p>
    <w:p>
      <w:pPr>
        <w:spacing w:after="0" w:line="158" w:lineRule="exact"/>
        <w:rPr>
          <w:sz w:val="20"/>
          <w:szCs w:val="20"/>
          <w:color w:val="auto"/>
        </w:rPr>
      </w:pPr>
    </w:p>
    <w:p>
      <w:pPr>
        <w:ind w:left="500" w:hanging="492"/>
        <w:spacing w:after="0"/>
        <w:tabs>
          <w:tab w:leader="none" w:pos="5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Galectin Sciences LLC</w:t>
      </w:r>
    </w:p>
    <w:p>
      <w:pPr>
        <w:spacing w:after="0" w:line="229" w:lineRule="exact"/>
        <w:rPr>
          <w:sz w:val="20"/>
          <w:szCs w:val="20"/>
          <w:color w:val="auto"/>
        </w:rPr>
      </w:pPr>
    </w:p>
    <w:p>
      <w:pPr>
        <w:ind w:left="440" w:right="20"/>
        <w:spacing w:after="0" w:line="252" w:lineRule="auto"/>
        <w:rPr>
          <w:sz w:val="20"/>
          <w:szCs w:val="20"/>
          <w:color w:val="auto"/>
        </w:rPr>
      </w:pPr>
      <w:r>
        <w:rPr>
          <w:rFonts w:ascii="Times New Roman" w:cs="Times New Roman" w:eastAsia="Times New Roman" w:hAnsi="Times New Roman"/>
          <w:sz w:val="18"/>
          <w:szCs w:val="18"/>
          <w:color w:val="auto"/>
        </w:rPr>
        <w:t>In January 2014, we created Galectin Sciences, LLC (the “LLC” or “Investee”), a collaborative joint venture co-owned by SBH Sciences, Inc. (“SBH”), to research and develop small organic molecule inhibitors of galectin-3 for oral administration. The LLC was initially capitalized with a $400,000 cash investment to fund future research and development activities, which was provided by the Company, and specific in-process research and development (“IPR&amp;D”) contributed by SBH. The estimated fair value of the IPR&amp;D contributed by SBH, on the date of contribution, was $400,000. Initially, the Company and SBH have a 50% equity ownership interest in the LLC, with neither party having control over the LLC. Accordingly, from inception through the fourth quarter of 2014, the Company accounted for its investment in the LLC using the equity method of accounting. Under the equity method of accounting, the Company’s investment was initially recorded at cost with subsequent adjustments to the carrying value to recognize additional investments in or distributions from the Investee, as well as the Company’s share of the Investee’s earnings, losses and/or changes in capital. The estimated fair value of the IPR&amp;D contributed to the LLC was immediately expensed upon contribution as there was no alternative future use available at the point of contribution. The operating agreement provides that if either party does not desire to contribute its equal share of funding required after the initial capitalization, then the other party, providing all of the funding, will have its ownership share increased in proportion to the total amount contributed from inception. In the fourth quarter of 2014, after the LLC had expended the $400,000 in cash, SBH decided not to contribute its share of the funding required. As a result, the Company contributed the $73,000 needed for the fourth quarter of 2014 expenses of the LLC and an additional $1,858,000 in total from 2015 through 2019. The Company contributed $226,000 and $448,000 for the LLC expenses (recorded in research and development expenses) in 2021 and 2020, and SBH contributed $35,000 in 2019 and a total of $123,000 in 2017 and 2016, respectively. As of December 31, 2021, the Company’s ownership percentage in the LLC was 84.4%. The Company accounts for the interest in the LLC as a consolidated, less than wholly owned subsidiary. Because the LLC’s equity is immaterial, the value of the non-controlling interest is also deemed to be immaterial. The Company’s portion of the LLC’s net loss for 2014, prior to the change in accounting discussed previously, was $400,000, which includes the Company’s proportionate share of the non-cash charge associated with the contributed IPR&amp;D of $200,000.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14.  Income Taxes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The components of the net deferred tax assets are as follows at December 31: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0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carryforwards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54,949</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46,203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Tax credit carryforwards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3,720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1,652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5,438</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8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60,321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52,551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(52,551)</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8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spacing w:after="0"/>
              <w:rPr>
                <w:sz w:val="18"/>
                <w:szCs w:val="18"/>
                <w:color w:val="auto"/>
              </w:rPr>
            </w:pP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86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The primary factors affecting the Company’s income tax rates were as follows:</w:t>
            </w: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86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0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 at U.S. statutory rates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State tax benefit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8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8100" w:type="dxa"/>
            <w:vAlign w:val="bottom"/>
            <w:vMerge w:val="restart"/>
          </w:tcPr>
          <w:p>
            <w:pPr>
              <w:ind w:left="4980"/>
              <w:spacing w:after="0"/>
              <w:rPr>
                <w:sz w:val="20"/>
                <w:szCs w:val="20"/>
                <w:color w:val="auto"/>
              </w:rPr>
            </w:pPr>
            <w:r>
              <w:rPr>
                <w:rFonts w:ascii="Times New Roman" w:cs="Times New Roman" w:eastAsia="Times New Roman" w:hAnsi="Times New Roman"/>
                <w:sz w:val="14"/>
                <w:szCs w:val="14"/>
                <w:color w:val="auto"/>
              </w:rPr>
              <w:t>F-21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500" w:type="dxa"/>
            <w:vAlign w:val="bottom"/>
          </w:tcPr>
          <w:p>
            <w:pPr>
              <w:spacing w:after="0"/>
              <w:rPr>
                <w:sz w:val="24"/>
                <w:szCs w:val="24"/>
                <w:color w:val="auto"/>
              </w:rPr>
            </w:pPr>
          </w:p>
        </w:tc>
        <w:tc>
          <w:tcPr>
            <w:tcW w:w="8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00" w:type="dxa"/>
            <w:vAlign w:val="bottom"/>
            <w:tcBorders>
              <w:bottom w:val="single" w:sz="8" w:color="auto"/>
            </w:tcBorders>
          </w:tcPr>
          <w:p>
            <w:pPr>
              <w:spacing w:after="0"/>
              <w:rPr>
                <w:sz w:val="3"/>
                <w:szCs w:val="3"/>
                <w:color w:val="auto"/>
              </w:rPr>
            </w:pPr>
          </w:p>
        </w:tc>
        <w:tc>
          <w:tcPr>
            <w:tcW w:w="8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83" w:name="page84"/>
    <w:bookmarkEnd w:id="8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left="440"/>
        <w:spacing w:after="0" w:line="254" w:lineRule="auto"/>
        <w:rPr>
          <w:sz w:val="20"/>
          <w:szCs w:val="20"/>
          <w:color w:val="auto"/>
        </w:rPr>
      </w:pPr>
      <w:r>
        <w:rPr>
          <w:rFonts w:ascii="Times New Roman" w:cs="Times New Roman" w:eastAsia="Times New Roman" w:hAnsi="Times New Roman"/>
          <w:sz w:val="18"/>
          <w:szCs w:val="18"/>
          <w:color w:val="auto"/>
        </w:rPr>
        <w:t>As of December 31, 2021, the Company has federal and state net operating loss carryforwards totaling $72,855,000 and $79,191,000, respectively, which will never expire as a result of the 2017 Tax Act. As of December 31, 2021, the Company has federal and state net operating loss carryforwards totaling $134,273,000 and $102,003,000 respectively, which expire through 2037. In addition, the Company has federal and state research and development credits of $2,437,000 and $1,282,000, respectively, which expire through 2035. Ownership changes, as defined by Section 382 of the Internal Revenue Code, may have limited the amount of net operating loss carryforwards that can be utilized annually to offset future taxable income. Past and subsequent ownership changes could further affect the limitation in future years. Because of the Company’s limited operating history and its recorded losses, management has provided, in each of the last two years, a 100% valuation allowance against the Company’s net deferred tax assets.</w:t>
      </w:r>
    </w:p>
    <w:p>
      <w:pPr>
        <w:spacing w:after="0" w:line="192" w:lineRule="exact"/>
        <w:rPr>
          <w:sz w:val="20"/>
          <w:szCs w:val="20"/>
          <w:color w:val="auto"/>
        </w:rPr>
      </w:pPr>
    </w:p>
    <w:p>
      <w:pPr>
        <w:jc w:val="both"/>
        <w:ind w:left="440" w:right="40"/>
        <w:spacing w:after="0" w:line="266" w:lineRule="auto"/>
        <w:rPr>
          <w:sz w:val="20"/>
          <w:szCs w:val="20"/>
          <w:color w:val="auto"/>
        </w:rPr>
      </w:pPr>
      <w:r>
        <w:rPr>
          <w:rFonts w:ascii="Times New Roman" w:cs="Times New Roman" w:eastAsia="Times New Roman" w:hAnsi="Times New Roman"/>
          <w:sz w:val="18"/>
          <w:szCs w:val="18"/>
          <w:color w:val="auto"/>
        </w:rPr>
        <w:t>The Company is subject to taxation in the U.S. and various states. Based on the history of net operating losses all jurisdictions and tax years are open for examination until the operating losses are utilized or the statute of limitations expires. As of December 31, 2021 and 2020, the Company does not have any significant uncertain tax positions.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21.1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REGISTRANT</w:t>
      </w:r>
    </w:p>
    <w:p>
      <w:pPr>
        <w:spacing w:after="0" w:line="256" w:lineRule="exact"/>
        <w:rPr>
          <w:sz w:val="20"/>
          <w:szCs w:val="20"/>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The following is a list of the Corporation’s subsidiaries as of December 31, 2021. The Corporation owns, directly or indirectly, 100% of the voting securities of each subsidiary, unless noted otherwise.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STATE OR JURISDICTION</w:t>
            </w:r>
          </w:p>
        </w:tc>
        <w:tc>
          <w:tcPr>
            <w:tcW w:w="0" w:type="dxa"/>
            <w:vAlign w:val="bottom"/>
          </w:tcPr>
          <w:p>
            <w:pPr>
              <w:spacing w:after="0"/>
              <w:rPr>
                <w:sz w:val="1"/>
                <w:szCs w:val="1"/>
                <w:color w:val="auto"/>
              </w:rPr>
            </w:pPr>
          </w:p>
        </w:tc>
      </w:tr>
      <w:tr>
        <w:trPr>
          <w:trHeight w:val="180"/>
        </w:trPr>
        <w:tc>
          <w:tcPr>
            <w:tcW w:w="5860" w:type="dxa"/>
            <w:vAlign w:val="bottom"/>
            <w:gridSpan w:val="2"/>
            <w:vMerge w:val="continue"/>
          </w:tcPr>
          <w:p>
            <w:pPr>
              <w:spacing w:after="0"/>
              <w:rPr>
                <w:sz w:val="15"/>
                <w:szCs w:val="15"/>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OF ORGANIZATION</w:t>
            </w:r>
          </w:p>
        </w:tc>
        <w:tc>
          <w:tcPr>
            <w:tcW w:w="0" w:type="dxa"/>
            <w:vAlign w:val="bottom"/>
          </w:tcPr>
          <w:p>
            <w:pPr>
              <w:spacing w:after="0"/>
              <w:rPr>
                <w:sz w:val="1"/>
                <w:szCs w:val="1"/>
                <w:color w:val="auto"/>
              </w:rPr>
            </w:pPr>
          </w:p>
        </w:tc>
      </w:tr>
      <w:tr>
        <w:trPr>
          <w:trHeight w:val="198"/>
        </w:trPr>
        <w:tc>
          <w:tcPr>
            <w:tcW w:w="57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Galectin Therapeutics Security Corp.</w:t>
            </w:r>
          </w:p>
        </w:tc>
        <w:tc>
          <w:tcPr>
            <w:tcW w:w="120" w:type="dxa"/>
            <w:vAlign w:val="bottom"/>
          </w:tcPr>
          <w:p>
            <w:pPr>
              <w:spacing w:after="0"/>
              <w:rPr>
                <w:sz w:val="17"/>
                <w:szCs w:val="17"/>
                <w:color w:val="auto"/>
              </w:rPr>
            </w:pPr>
          </w:p>
        </w:tc>
        <w:tc>
          <w:tcPr>
            <w:tcW w:w="53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Galectin Sciences LLC</w:t>
            </w: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Georgia</w:t>
            </w:r>
          </w:p>
        </w:tc>
        <w:tc>
          <w:tcPr>
            <w:tcW w:w="0" w:type="dxa"/>
            <w:vAlign w:val="bottom"/>
          </w:tcPr>
          <w:p>
            <w:pPr>
              <w:spacing w:after="0"/>
              <w:rPr>
                <w:sz w:val="1"/>
                <w:szCs w:val="1"/>
                <w:color w:val="auto"/>
              </w:rPr>
            </w:pPr>
          </w:p>
        </w:tc>
      </w:tr>
      <w:tr>
        <w:trPr>
          <w:trHeight w:val="601"/>
        </w:trPr>
        <w:tc>
          <w:tcPr>
            <w:tcW w:w="5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70"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 Nos. 333-198070, 333-225890, and 333-249955 on Form S-8, and Registration Statement Nos. 333-208674, 333-218112, and 333-226402, 333-230085, 333-233193 and 333-238151 , on Form S-3 of our report dated March 31, 2022 included in this Annual Report on Form 10-K of Galectin Therapeutics, Inc. and subsidiaries (the “Company”) relating to the consolidated balance sheets of the Company as of December 31, 2021 and 2020, and the related consolidated statements of operations, changes in redeemable convertible preferred stock and stockholders’ equity (deficit), and cash flows for each of the two years in the period ended December 31, 2021.</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CHERRY BEKAERT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 Act of 1934</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Joel Lewis, certify that:</w:t>
      </w:r>
    </w:p>
    <w:p>
      <w:pPr>
        <w:spacing w:after="0" w:line="158" w:lineRule="exact"/>
        <w:rPr>
          <w:sz w:val="20"/>
          <w:szCs w:val="20"/>
          <w:color w:val="auto"/>
        </w:rPr>
      </w:pPr>
    </w:p>
    <w:p>
      <w:pPr>
        <w:ind w:left="460" w:hanging="452"/>
        <w:spacing w:after="0"/>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Galectin Therapeutics Inc.;</w:t>
      </w:r>
    </w:p>
    <w:p>
      <w:pPr>
        <w:spacing w:after="0" w:line="157" w:lineRule="exact"/>
        <w:rPr>
          <w:rFonts w:ascii="Times New Roman" w:cs="Times New Roman" w:eastAsia="Times New Roman" w:hAnsi="Times New Roman"/>
          <w:sz w:val="18"/>
          <w:szCs w:val="18"/>
          <w:color w:val="auto"/>
        </w:rPr>
      </w:pPr>
    </w:p>
    <w:p>
      <w:pPr>
        <w:jc w:val="both"/>
        <w:ind w:left="460" w:right="300" w:hanging="452"/>
        <w:spacing w:after="0" w:line="266" w:lineRule="auto"/>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460" w:right="280" w:hanging="452"/>
        <w:spacing w:after="0" w:line="282" w:lineRule="auto"/>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ind w:left="460" w:right="300" w:hanging="452"/>
        <w:spacing w:after="0" w:line="266" w:lineRule="auto"/>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08" w:lineRule="exact"/>
        <w:rPr>
          <w:rFonts w:ascii="Times New Roman" w:cs="Times New Roman" w:eastAsia="Times New Roman" w:hAnsi="Times New Roman"/>
          <w:sz w:val="18"/>
          <w:szCs w:val="18"/>
          <w:color w:val="auto"/>
        </w:rPr>
      </w:pPr>
    </w:p>
    <w:p>
      <w:pPr>
        <w:ind w:left="1020" w:right="20" w:hanging="553"/>
        <w:spacing w:after="0" w:line="266"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020" w:right="320" w:hanging="553"/>
        <w:spacing w:after="0" w:line="266"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1020" w:right="500" w:hanging="553"/>
        <w:spacing w:after="0" w:line="312" w:lineRule="auto"/>
        <w:tabs>
          <w:tab w:leader="none" w:pos="102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1020" w:hanging="553"/>
        <w:spacing w:after="0" w:line="266"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460" w:right="200" w:hanging="452"/>
        <w:spacing w:after="0" w:line="282" w:lineRule="auto"/>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020" w:right="740" w:hanging="553"/>
        <w:spacing w:after="0" w:line="282"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020" w:right="420" w:hanging="553"/>
        <w:spacing w:after="0" w:line="282"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tabs>
          <w:tab w:leader="none" w:pos="5560" w:val="left"/>
        </w:tabs>
        <w:rPr>
          <w:sz w:val="20"/>
          <w:szCs w:val="20"/>
          <w:color w:val="auto"/>
        </w:rPr>
      </w:pPr>
      <w:r>
        <w:rPr>
          <w:rFonts w:ascii="Times New Roman" w:cs="Times New Roman" w:eastAsia="Times New Roman" w:hAnsi="Times New Roman"/>
          <w:sz w:val="18"/>
          <w:szCs w:val="18"/>
          <w:color w:val="auto"/>
        </w:rPr>
        <w:t>March 31, 2022</w:t>
      </w:r>
      <w:r>
        <w:rPr>
          <w:sz w:val="20"/>
          <w:szCs w:val="20"/>
          <w:color w:val="auto"/>
        </w:rPr>
        <w:tab/>
      </w:r>
      <w:r>
        <w:rPr>
          <w:rFonts w:ascii="Times New Roman" w:cs="Times New Roman" w:eastAsia="Times New Roman" w:hAnsi="Times New Roman"/>
          <w:sz w:val="18"/>
          <w:szCs w:val="18"/>
          <w:color w:val="auto"/>
        </w:rPr>
        <w:t>/s/ Joel Lewis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580" w:type="dxa"/>
            <w:vAlign w:val="bottom"/>
          </w:tcPr>
          <w:p>
            <w:pPr>
              <w:spacing w:after="0"/>
              <w:rPr>
                <w:sz w:val="18"/>
                <w:szCs w:val="18"/>
                <w:color w:val="auto"/>
              </w:rPr>
            </w:pPr>
          </w:p>
        </w:tc>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50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Joel Lewis</w:t>
            </w:r>
          </w:p>
        </w:tc>
      </w:tr>
      <w:tr>
        <w:trPr>
          <w:trHeight w:val="216"/>
        </w:trPr>
        <w:tc>
          <w:tcPr>
            <w:tcW w:w="6220" w:type="dxa"/>
            <w:vAlign w:val="bottom"/>
            <w:gridSpan w:val="2"/>
          </w:tcPr>
          <w:p>
            <w:pPr>
              <w:ind w:left="5580"/>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4"/>
        </w:trPr>
        <w:tc>
          <w:tcPr>
            <w:tcW w:w="5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01"/>
        </w:trPr>
        <w:tc>
          <w:tcPr>
            <w:tcW w:w="55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9"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 Act of 1934</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Jack W. Callicutt, certify that:</w:t>
      </w:r>
    </w:p>
    <w:p>
      <w:pPr>
        <w:spacing w:after="0" w:line="158" w:lineRule="exact"/>
        <w:rPr>
          <w:sz w:val="20"/>
          <w:szCs w:val="20"/>
          <w:color w:val="auto"/>
        </w:rPr>
      </w:pPr>
    </w:p>
    <w:p>
      <w:pPr>
        <w:ind w:left="460" w:hanging="452"/>
        <w:spacing w:after="0"/>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Galectin Therapeutics Inc.;</w:t>
      </w:r>
    </w:p>
    <w:p>
      <w:pPr>
        <w:spacing w:after="0" w:line="157" w:lineRule="exact"/>
        <w:rPr>
          <w:rFonts w:ascii="Times New Roman" w:cs="Times New Roman" w:eastAsia="Times New Roman" w:hAnsi="Times New Roman"/>
          <w:sz w:val="18"/>
          <w:szCs w:val="18"/>
          <w:color w:val="auto"/>
        </w:rPr>
      </w:pPr>
    </w:p>
    <w:p>
      <w:pPr>
        <w:jc w:val="both"/>
        <w:ind w:left="460" w:right="300" w:hanging="452"/>
        <w:spacing w:after="0" w:line="266" w:lineRule="auto"/>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460" w:right="280" w:hanging="452"/>
        <w:spacing w:after="0" w:line="282" w:lineRule="auto"/>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ind w:left="460" w:right="300" w:hanging="452"/>
        <w:spacing w:after="0" w:line="266" w:lineRule="auto"/>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08" w:lineRule="exact"/>
        <w:rPr>
          <w:rFonts w:ascii="Times New Roman" w:cs="Times New Roman" w:eastAsia="Times New Roman" w:hAnsi="Times New Roman"/>
          <w:sz w:val="18"/>
          <w:szCs w:val="18"/>
          <w:color w:val="auto"/>
        </w:rPr>
      </w:pPr>
    </w:p>
    <w:p>
      <w:pPr>
        <w:ind w:left="1020" w:right="20" w:hanging="553"/>
        <w:spacing w:after="0" w:line="266"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020" w:right="320" w:hanging="553"/>
        <w:spacing w:after="0" w:line="266"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1020" w:right="500" w:hanging="553"/>
        <w:spacing w:after="0" w:line="312" w:lineRule="auto"/>
        <w:tabs>
          <w:tab w:leader="none" w:pos="102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1020" w:hanging="553"/>
        <w:spacing w:after="0" w:line="266"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460" w:right="200" w:hanging="452"/>
        <w:spacing w:after="0" w:line="282" w:lineRule="auto"/>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020" w:right="740" w:hanging="553"/>
        <w:spacing w:after="0" w:line="282"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020" w:right="420" w:hanging="553"/>
        <w:spacing w:after="0" w:line="282"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tabs>
          <w:tab w:leader="none" w:pos="5560" w:val="left"/>
        </w:tabs>
        <w:rPr>
          <w:sz w:val="20"/>
          <w:szCs w:val="20"/>
          <w:color w:val="auto"/>
        </w:rPr>
      </w:pPr>
      <w:r>
        <w:rPr>
          <w:rFonts w:ascii="Times New Roman" w:cs="Times New Roman" w:eastAsia="Times New Roman" w:hAnsi="Times New Roman"/>
          <w:sz w:val="18"/>
          <w:szCs w:val="18"/>
          <w:color w:val="auto"/>
        </w:rPr>
        <w:t>March 31, 2022</w:t>
      </w:r>
      <w:r>
        <w:rPr>
          <w:sz w:val="20"/>
          <w:szCs w:val="20"/>
          <w:color w:val="auto"/>
        </w:rPr>
        <w:tab/>
      </w:r>
      <w:r>
        <w:rPr>
          <w:rFonts w:ascii="Times New Roman" w:cs="Times New Roman" w:eastAsia="Times New Roman" w:hAnsi="Times New Roman"/>
          <w:sz w:val="17"/>
          <w:szCs w:val="17"/>
          <w:color w:val="auto"/>
        </w:rPr>
        <w:t>/s/ Jack W. Callicutt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580" w:type="dxa"/>
            <w:vAlign w:val="bottom"/>
          </w:tcPr>
          <w:p>
            <w:pPr>
              <w:spacing w:after="0"/>
              <w:rPr>
                <w:sz w:val="18"/>
                <w:szCs w:val="18"/>
                <w:color w:val="auto"/>
              </w:rPr>
            </w:pPr>
          </w:p>
        </w:tc>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50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Jack W. Callicutt</w:t>
            </w:r>
          </w:p>
        </w:tc>
      </w:tr>
      <w:tr>
        <w:trPr>
          <w:trHeight w:val="216"/>
        </w:trPr>
        <w:tc>
          <w:tcPr>
            <w:tcW w:w="6220" w:type="dxa"/>
            <w:vAlign w:val="bottom"/>
            <w:gridSpan w:val="2"/>
          </w:tcPr>
          <w:p>
            <w:pPr>
              <w:ind w:left="5580"/>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358"/>
        </w:trPr>
        <w:tc>
          <w:tcPr>
            <w:tcW w:w="55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9"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Galectin Therapeutics Inc. (the “Company”) on Form 10-K for the period ended December 31, 2021 as filed with the Securities and Exchange Commission on the date hereof (the “Report”), I, Joel Lewis, Chief Executive Officer and President of the Company, certify, pursuant to 18 U.S.C. §1350, as adopted pursuant to §906 of the Sarbanes-Oxley Act of 2002, that, to my knowledge:</w:t>
      </w:r>
    </w:p>
    <w:p>
      <w:pPr>
        <w:spacing w:after="0" w:line="108" w:lineRule="exact"/>
        <w:rPr>
          <w:sz w:val="20"/>
          <w:szCs w:val="20"/>
          <w:color w:val="auto"/>
        </w:rPr>
      </w:pPr>
    </w:p>
    <w:p>
      <w:pPr>
        <w:ind w:left="460" w:hanging="452"/>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5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spacing w:after="0"/>
        <w:tabs>
          <w:tab w:leader="none" w:pos="5560" w:val="left"/>
        </w:tabs>
        <w:rPr>
          <w:sz w:val="20"/>
          <w:szCs w:val="20"/>
          <w:color w:val="auto"/>
        </w:rPr>
      </w:pPr>
      <w:r>
        <w:rPr>
          <w:rFonts w:ascii="Times New Roman" w:cs="Times New Roman" w:eastAsia="Times New Roman" w:hAnsi="Times New Roman"/>
          <w:sz w:val="18"/>
          <w:szCs w:val="18"/>
          <w:color w:val="auto"/>
        </w:rPr>
        <w:t>March 31, 2022</w:t>
      </w:r>
      <w:r>
        <w:rPr>
          <w:sz w:val="20"/>
          <w:szCs w:val="20"/>
          <w:color w:val="auto"/>
        </w:rPr>
        <w:tab/>
      </w:r>
      <w:r>
        <w:rPr>
          <w:rFonts w:ascii="Times New Roman" w:cs="Times New Roman" w:eastAsia="Times New Roman" w:hAnsi="Times New Roman"/>
          <w:sz w:val="18"/>
          <w:szCs w:val="18"/>
          <w:color w:val="auto"/>
        </w:rPr>
        <w:t>/s/ Joel Lewis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580" w:type="dxa"/>
            <w:vAlign w:val="bottom"/>
          </w:tcPr>
          <w:p>
            <w:pPr>
              <w:spacing w:after="0"/>
              <w:rPr>
                <w:sz w:val="18"/>
                <w:szCs w:val="18"/>
                <w:color w:val="auto"/>
              </w:rPr>
            </w:pPr>
          </w:p>
        </w:tc>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50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Joel Lewis</w:t>
            </w:r>
          </w:p>
        </w:tc>
      </w:tr>
      <w:tr>
        <w:trPr>
          <w:trHeight w:val="216"/>
        </w:trPr>
        <w:tc>
          <w:tcPr>
            <w:tcW w:w="6220" w:type="dxa"/>
            <w:vAlign w:val="bottom"/>
            <w:gridSpan w:val="2"/>
          </w:tcPr>
          <w:p>
            <w:pPr>
              <w:ind w:left="5580"/>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4"/>
        </w:trPr>
        <w:tc>
          <w:tcPr>
            <w:tcW w:w="5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01"/>
        </w:trPr>
        <w:tc>
          <w:tcPr>
            <w:tcW w:w="55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9"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ind w:right="4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Galectin Therapeutics Inc. (the “Company”) on Form 10-K for the period ended December 31, 2021 as filed with the Securities and Exchange Commission on the date hereof (the “Report”), I, Jack W. Callicutt, Chief Financial Officer, certify, pursuant to 18 U.S.C. §1350, as adopted pursuant to §906 of the Sarbanes-Oxley Act of 2002, that, to my knowledge:</w:t>
      </w:r>
    </w:p>
    <w:p>
      <w:pPr>
        <w:spacing w:after="0" w:line="108" w:lineRule="exact"/>
        <w:rPr>
          <w:sz w:val="20"/>
          <w:szCs w:val="20"/>
          <w:color w:val="auto"/>
        </w:rPr>
      </w:pPr>
    </w:p>
    <w:p>
      <w:pPr>
        <w:ind w:left="460" w:hanging="452"/>
        <w:spacing w:after="0"/>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5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spacing w:after="0"/>
        <w:tabs>
          <w:tab w:leader="none" w:pos="5560" w:val="left"/>
        </w:tabs>
        <w:rPr>
          <w:sz w:val="20"/>
          <w:szCs w:val="20"/>
          <w:color w:val="auto"/>
        </w:rPr>
      </w:pPr>
      <w:r>
        <w:rPr>
          <w:rFonts w:ascii="Times New Roman" w:cs="Times New Roman" w:eastAsia="Times New Roman" w:hAnsi="Times New Roman"/>
          <w:sz w:val="18"/>
          <w:szCs w:val="18"/>
          <w:color w:val="auto"/>
        </w:rPr>
        <w:t>March 31, 2022</w:t>
      </w:r>
      <w:r>
        <w:rPr>
          <w:sz w:val="20"/>
          <w:szCs w:val="20"/>
          <w:color w:val="auto"/>
        </w:rPr>
        <w:tab/>
      </w:r>
      <w:r>
        <w:rPr>
          <w:rFonts w:ascii="Times New Roman" w:cs="Times New Roman" w:eastAsia="Times New Roman" w:hAnsi="Times New Roman"/>
          <w:sz w:val="17"/>
          <w:szCs w:val="17"/>
          <w:color w:val="auto"/>
        </w:rPr>
        <w:t>/s/ Jack W. Callicutt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580" w:type="dxa"/>
            <w:vAlign w:val="bottom"/>
          </w:tcPr>
          <w:p>
            <w:pPr>
              <w:spacing w:after="0"/>
              <w:rPr>
                <w:sz w:val="18"/>
                <w:szCs w:val="18"/>
                <w:color w:val="auto"/>
              </w:rPr>
            </w:pPr>
          </w:p>
        </w:tc>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50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Jack W. Callicutt</w:t>
            </w:r>
          </w:p>
        </w:tc>
      </w:tr>
      <w:tr>
        <w:trPr>
          <w:trHeight w:val="216"/>
        </w:trPr>
        <w:tc>
          <w:tcPr>
            <w:tcW w:w="6220" w:type="dxa"/>
            <w:vAlign w:val="bottom"/>
            <w:gridSpan w:val="2"/>
          </w:tcPr>
          <w:p>
            <w:pPr>
              <w:ind w:left="5580"/>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 and President</w:t>
            </w:r>
          </w:p>
        </w:tc>
      </w:tr>
      <w:tr>
        <w:trPr>
          <w:trHeight w:val="234"/>
        </w:trPr>
        <w:tc>
          <w:tcPr>
            <w:tcW w:w="5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601"/>
        </w:trPr>
        <w:tc>
          <w:tcPr>
            <w:tcW w:w="55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1)"/>
      <w:numFmt w:val="lowerLetter"/>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lowerRoman"/>
      <w:start w:val="2"/>
    </w:lvl>
  </w:abstractNum>
  <w:abstractNum w:abstractNumId="23">
    <w:nsid w:val="3804823E"/>
    <w:multiLevelType w:val="hybridMultilevel"/>
    <w:lvl w:ilvl="0">
      <w:lvlJc w:val="left"/>
      <w:lvlText w:val="(%1)"/>
      <w:numFmt w:val="decimal"/>
      <w:start w:val="12"/>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1)"/>
      <w:numFmt w:val="decimal"/>
      <w:start w:val="3"/>
    </w:lvl>
  </w:abstractNum>
  <w:abstractNum w:abstractNumId="27">
    <w:nsid w:val="2463B9EA"/>
    <w:multiLevelType w:val="hybridMultilevel"/>
    <w:lvl w:ilvl="0">
      <w:lvlJc w:val="left"/>
      <w:lvlText w:val="(%1)"/>
      <w:numFmt w:val="decimal"/>
      <w:start w:val="10"/>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decimal"/>
      <w:start w:val="104"/>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1."/>
      <w:numFmt w:val="decimal"/>
      <w:start w:val="5"/>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decimal"/>
      <w:start w:val="2"/>
    </w:lvl>
  </w:abstractNum>
  <w:abstractNum w:abstractNumId="37">
    <w:nsid w:val="1D4ED43B"/>
    <w:multiLevelType w:val="hybridMultilevel"/>
    <w:lvl w:ilvl="0">
      <w:lvlJc w:val="left"/>
      <w:lvlText w:val="%1."/>
      <w:numFmt w:val="decimal"/>
      <w:start w:val="4"/>
    </w:lvl>
  </w:abstractNum>
  <w:abstractNum w:abstractNumId="38">
    <w:nsid w:val="725A06FB"/>
    <w:multiLevelType w:val="hybridMultilevel"/>
    <w:lvl w:ilvl="0">
      <w:lvlJc w:val="left"/>
      <w:lvlText w:val="%1."/>
      <w:numFmt w:val="decimal"/>
      <w:start w:val="6"/>
    </w:lvl>
  </w:abstractNum>
  <w:abstractNum w:abstractNumId="39">
    <w:nsid w:val="2CD89A32"/>
    <w:multiLevelType w:val="hybridMultilevel"/>
    <w:lvl w:ilvl="0">
      <w:lvlJc w:val="left"/>
      <w:lvlText w:val="%1."/>
      <w:numFmt w:val="decimal"/>
      <w:start w:val="7"/>
    </w:lvl>
  </w:abstractNum>
  <w:abstractNum w:abstractNumId="40">
    <w:nsid w:val="57E4CCAF"/>
    <w:multiLevelType w:val="hybridMultilevel"/>
    <w:lvl w:ilvl="0">
      <w:lvlJc w:val="left"/>
      <w:lvlText w:val="(%1)"/>
      <w:numFmt w:val="lowerRoman"/>
      <w:start w:val="1"/>
    </w:lvl>
  </w:abstractNum>
  <w:abstractNum w:abstractNumId="41">
    <w:nsid w:val="7A6D8D3C"/>
    <w:multiLevelType w:val="hybridMultilevel"/>
    <w:lvl w:ilvl="0">
      <w:lvlJc w:val="left"/>
      <w:lvlText w:val="%1."/>
      <w:numFmt w:val="decimal"/>
      <w:start w:val="9"/>
    </w:lvl>
  </w:abstractNum>
  <w:abstractNum w:abstractNumId="42">
    <w:nsid w:val="4B588F54"/>
    <w:multiLevelType w:val="hybridMultilevel"/>
    <w:lvl w:ilvl="0">
      <w:lvlJc w:val="left"/>
      <w:lvlText w:val="%1."/>
      <w:numFmt w:val="decimal"/>
      <w:start w:val="10"/>
    </w:lvl>
  </w:abstractNum>
  <w:abstractNum w:abstractNumId="43">
    <w:nsid w:val="542289EC"/>
    <w:multiLevelType w:val="hybridMultilevel"/>
    <w:lvl w:ilvl="0">
      <w:lvlJc w:val="left"/>
      <w:lvlText w:val="%1."/>
      <w:numFmt w:val="decimal"/>
      <w:start w:val="11"/>
    </w:lvl>
  </w:abstractNum>
  <w:abstractNum w:abstractNumId="44">
    <w:nsid w:val="6DE91B18"/>
    <w:multiLevelType w:val="hybridMultilevel"/>
    <w:lvl w:ilvl="0">
      <w:lvlJc w:val="left"/>
      <w:lvlText w:val="%1."/>
      <w:numFmt w:val="decimal"/>
      <w:start w:val="13"/>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86" Type="http://schemas.openxmlformats.org/officeDocument/2006/relationships/image" Target="media/image65.png"/><Relationship Id="rId88" Type="http://schemas.openxmlformats.org/officeDocument/2006/relationships/image" Target="media/image66.png"/><Relationship Id="rId105" Type="http://schemas.openxmlformats.org/officeDocument/2006/relationships/image" Target="media/image67.png"/><Relationship Id="rId106" Type="http://schemas.openxmlformats.org/officeDocument/2006/relationships/image" Target="media/image68.png"/><Relationship Id="rId107" Type="http://schemas.openxmlformats.org/officeDocument/2006/relationships/image" Target="media/image69.png"/><Relationship Id="rId108" Type="http://schemas.openxmlformats.org/officeDocument/2006/relationships/image" Target="media/image70.png"/><Relationship Id="rId109" Type="http://schemas.openxmlformats.org/officeDocument/2006/relationships/image" Target="media/image71.png"/><Relationship Id="rId110" Type="http://schemas.openxmlformats.org/officeDocument/2006/relationships/image" Target="media/image72.png"/><Relationship Id="rId111" Type="http://schemas.openxmlformats.org/officeDocument/2006/relationships/image" Target="media/image73.png"/><Relationship Id="rId112" Type="http://schemas.openxmlformats.org/officeDocument/2006/relationships/image" Target="media/image74.png"/><Relationship Id="rId113" Type="http://schemas.openxmlformats.org/officeDocument/2006/relationships/image" Target="media/image75.png"/><Relationship Id="rId114" Type="http://schemas.openxmlformats.org/officeDocument/2006/relationships/image" Target="media/image76.png"/><Relationship Id="rId115" Type="http://schemas.openxmlformats.org/officeDocument/2006/relationships/image" Target="media/image77.png"/><Relationship Id="rId116" Type="http://schemas.openxmlformats.org/officeDocument/2006/relationships/image" Target="media/image78.png"/><Relationship Id="rId117" Type="http://schemas.openxmlformats.org/officeDocument/2006/relationships/image" Target="media/image79.png"/><Relationship Id="rId118" Type="http://schemas.openxmlformats.org/officeDocument/2006/relationships/image" Target="media/image80.png"/><Relationship Id="rId119" Type="http://schemas.openxmlformats.org/officeDocument/2006/relationships/image" Target="media/image81.png"/><Relationship Id="rId120" Type="http://schemas.openxmlformats.org/officeDocument/2006/relationships/image" Target="media/image82.png"/><Relationship Id="rId121" Type="http://schemas.openxmlformats.org/officeDocument/2006/relationships/image" Target="media/image83.png"/><Relationship Id="rId122" Type="http://schemas.openxmlformats.org/officeDocument/2006/relationships/image" Target="media/image84.png"/><Relationship Id="rId123" Type="http://schemas.openxmlformats.org/officeDocument/2006/relationships/image" Target="media/image85.png"/><Relationship Id="rId124" Type="http://schemas.openxmlformats.org/officeDocument/2006/relationships/image" Target="media/image86.png"/><Relationship Id="rId125" Type="http://schemas.openxmlformats.org/officeDocument/2006/relationships/image" Target="media/image87.png"/><Relationship Id="rId126" Type="http://schemas.openxmlformats.org/officeDocument/2006/relationships/image" Target="media/image88.png"/><Relationship Id="rId127" Type="http://schemas.openxmlformats.org/officeDocument/2006/relationships/image" Target="media/image89.png"/><Relationship Id="rId128" Type="http://schemas.openxmlformats.org/officeDocument/2006/relationships/image" Target="media/image90.png"/><Relationship Id="rId129" Type="http://schemas.openxmlformats.org/officeDocument/2006/relationships/image" Target="media/image91.png"/><Relationship Id="rId130" Type="http://schemas.openxmlformats.org/officeDocument/2006/relationships/image" Target="media/image92.png"/><Relationship Id="rId131" Type="http://schemas.openxmlformats.org/officeDocument/2006/relationships/image" Target="media/image93.png"/><Relationship Id="rId132" Type="http://schemas.openxmlformats.org/officeDocument/2006/relationships/image" Target="media/image94.png"/><Relationship Id="rId133" Type="http://schemas.openxmlformats.org/officeDocument/2006/relationships/image" Target="media/image95.png"/><Relationship Id="rId134" Type="http://schemas.openxmlformats.org/officeDocument/2006/relationships/image" Target="media/image96.png"/><Relationship Id="rId135" Type="http://schemas.openxmlformats.org/officeDocument/2006/relationships/image" Target="media/image97.png"/><Relationship Id="rId136" Type="http://schemas.openxmlformats.org/officeDocument/2006/relationships/image" Target="media/image98.png"/><Relationship Id="rId72" Type="http://schemas.openxmlformats.org/officeDocument/2006/relationships/hyperlink" Target="https://www.sec.gov/Archives/edgar/data/1133416/000119312512252748/d359382dex31.htm" TargetMode="External"/><Relationship Id="rId73" Type="http://schemas.openxmlformats.org/officeDocument/2006/relationships/hyperlink" Target="https://www.sec.gov/Archives/edgar/data/1133416/000119312516721558/d269553dex53.htm" TargetMode="External"/><Relationship Id="rId74" Type="http://schemas.openxmlformats.org/officeDocument/2006/relationships/hyperlink" Target="https://www.sec.gov/Archives/edgar/data/1133416/000119312507214815/dex32.htm" TargetMode="External"/><Relationship Id="rId75" Type="http://schemas.openxmlformats.org/officeDocument/2006/relationships/hyperlink" Target="https://www.sec.gov/Archives/edgar/data/1133416/000119312517176606/d590602dex31.htm" TargetMode="External"/><Relationship Id="rId76" Type="http://schemas.openxmlformats.org/officeDocument/2006/relationships/hyperlink" Target="https://www.sec.gov/Archives/edgar/data/1133416/000119312511002455/dex31.htm" TargetMode="External"/><Relationship Id="rId77" Type="http://schemas.openxmlformats.org/officeDocument/2006/relationships/hyperlink" Target="https://www.sec.gov/Archives/edgar/data/1133416/000119312512129902/d322145dex31.htm" TargetMode="External"/><Relationship Id="rId78" Type="http://schemas.openxmlformats.org/officeDocument/2006/relationships/hyperlink" Target="https://www.sec.gov/Archives/edgar/data/1133416/000119312516806268/d314862dex41.htm" TargetMode="External"/><Relationship Id="rId79" Type="http://schemas.openxmlformats.org/officeDocument/2006/relationships/hyperlink" Target="https://www.sec.gov/Archives/edgar/data/1133416/000119312517373610/d466346dex41.htm" TargetMode="External"/><Relationship Id="rId80" Type="http://schemas.openxmlformats.org/officeDocument/2006/relationships/hyperlink" Target="https://www.sec.gov/Archives/edgar/data/1133416/000119312519001150/d685114dex41.htm" TargetMode="External"/><Relationship Id="rId81" Type="http://schemas.openxmlformats.org/officeDocument/2006/relationships/hyperlink" Target="https://www.sec.gov/Archives/edgar/data/1133416/000119312519009410/d684051dex42.htm" TargetMode="External"/><Relationship Id="rId82" Type="http://schemas.openxmlformats.org/officeDocument/2006/relationships/hyperlink" Target="https://www.sec.gov/Archives/edgar/data/1133416/000119312519009410/d684051dex43.htm" TargetMode="External"/><Relationship Id="rId83" Type="http://schemas.openxmlformats.org/officeDocument/2006/relationships/hyperlink" Target="https://www.sec.gov/Archives/edgar/data/1133416/000119312519064707/d626180dex417.htm" TargetMode="External"/><Relationship Id="rId84" Type="http://schemas.openxmlformats.org/officeDocument/2006/relationships/hyperlink" Target="https://www.sec.gov/Archives/edgar/data/1133416/000119312519064707/d626180dex418.htm" TargetMode="External"/><Relationship Id="rId85" Type="http://schemas.openxmlformats.org/officeDocument/2006/relationships/hyperlink" Target="https://www.sec.gov/Archives/edgar/data/1133416/000119312521101402/d30125dex420.htm" TargetMode="External"/><Relationship Id="rId87" Type="http://schemas.openxmlformats.org/officeDocument/2006/relationships/hyperlink" Target="https://www.sec.gov/Archives/edgar/data/1133416/000119312519064705/d675303dex107.htm" TargetMode="External"/><Relationship Id="rId89" Type="http://schemas.openxmlformats.org/officeDocument/2006/relationships/hyperlink" Target="https://www.sec.gov/Archives/edgar/data/1133416/000119312509067689/dex1039.htm" TargetMode="External"/><Relationship Id="rId90" Type="http://schemas.openxmlformats.org/officeDocument/2006/relationships/hyperlink" Target="https://www.sec.gov/Archives/edgar/data/1133416/000119312509067689/dex1040.htm" TargetMode="External"/><Relationship Id="rId91" Type="http://schemas.openxmlformats.org/officeDocument/2006/relationships/hyperlink" Target="https://www.sec.gov/Archives/edgar/data/1133416/000119312509067689/dex1041.htm" TargetMode="External"/><Relationship Id="rId92" Type="http://schemas.openxmlformats.org/officeDocument/2006/relationships/hyperlink" Target="https://www.sec.gov/Archives/edgar/data/1133416/000119312519268920/d814474ddef14a.htm#toc814474_22" TargetMode="External"/><Relationship Id="rId93" Type="http://schemas.openxmlformats.org/officeDocument/2006/relationships/hyperlink" Target="https://www.sec.gov/Archives/edgar/data/1133416/000119312513334603/d551206dex103.htm" TargetMode="External"/><Relationship Id="rId94" Type="http://schemas.openxmlformats.org/officeDocument/2006/relationships/hyperlink" Target="https://www.sec.gov/Archives/edgar/data/1133416/000119312517256668/d595775dex101.htm" TargetMode="External"/><Relationship Id="rId95" Type="http://schemas.openxmlformats.org/officeDocument/2006/relationships/hyperlink" Target="https://www.sec.gov/Archives/edgar/data/1133416/000119312515088298/d885387dex101.htm" TargetMode="External"/><Relationship Id="rId96" Type="http://schemas.openxmlformats.org/officeDocument/2006/relationships/hyperlink" Target="https://www.sec.gov/Archives/edgar/data/1133416/000119312516504330/d20778dex1050.htm" TargetMode="External"/><Relationship Id="rId97" Type="http://schemas.openxmlformats.org/officeDocument/2006/relationships/hyperlink" Target="https://www.sec.gov/Archives/edgar/data/1133416/000119312520042697/d882631dex101.htm" TargetMode="External"/><Relationship Id="rId98" Type="http://schemas.openxmlformats.org/officeDocument/2006/relationships/hyperlink" Target="https://www.sec.gov/Archives/edgar/data/1133416/000119312520075484/d883597dex101.htm" TargetMode="External"/><Relationship Id="rId99" Type="http://schemas.openxmlformats.org/officeDocument/2006/relationships/hyperlink" Target="https://www.sec.gov/Archives/edgar/data/1133416/000119312520075484/d883597dex102.htm" TargetMode="External"/><Relationship Id="rId100" Type="http://schemas.openxmlformats.org/officeDocument/2006/relationships/hyperlink" Target="https://www.sec.gov/Archives/edgar/data/1133416/000119312520181006/d944255dex101.htm" TargetMode="External"/><Relationship Id="rId101" Type="http://schemas.openxmlformats.org/officeDocument/2006/relationships/hyperlink" Target="https://www.sec.gov/Archives/edgar/data/1133416/000119312521120391/d135127dex101.htm" TargetMode="External"/><Relationship Id="rId102" Type="http://schemas.openxmlformats.org/officeDocument/2006/relationships/hyperlink" Target="https://www.sec.gov/Archives/edgar/data/1133416/000119312521277824/d213954dex101.htm" TargetMode="External"/><Relationship Id="rId103" Type="http://schemas.openxmlformats.org/officeDocument/2006/relationships/hyperlink" Target="https://www.sec.gov/Archives/edgar/data/1133416/000119312521277824/d213954dex102.htm" TargetMode="External"/><Relationship Id="rId104" Type="http://schemas.openxmlformats.org/officeDocument/2006/relationships/hyperlink" Target="https://www.sec.gov/Archives/edgar/data/1133416/000114036121042519/brhc1003208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2022-03-31T06:51:47Z</dcterms:created>
  <dcterms:modified xsi:type="dcterms:W3CDTF">2022-03-31T06:51:47Z</dcterms:modified>
</cp:coreProperties>
</file>