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19"/>
        <w:spacing w:after="0" w:line="237" w:lineRule="auto"/>
        <w:rPr>
          <w:sz w:val="20"/>
          <w:szCs w:val="20"/>
          <w:color w:val="auto"/>
        </w:rPr>
      </w:pPr>
      <w:r>
        <w:rPr>
          <w:rFonts w:ascii="Arial" w:cs="Arial" w:eastAsia="Arial" w:hAnsi="Arial"/>
          <w:sz w:val="32"/>
          <w:szCs w:val="32"/>
          <w:b w:val="1"/>
          <w:bCs w:val="1"/>
          <w:color w:val="auto"/>
        </w:rPr>
        <w:t>Washington, D.C. 20549</w:t>
      </w:r>
    </w:p>
    <w:p>
      <w:pPr>
        <w:jc w:val="center"/>
        <w:ind w:right="-719"/>
        <w:spacing w:after="0"/>
        <w:rPr>
          <w:sz w:val="20"/>
          <w:szCs w:val="20"/>
          <w:color w:val="auto"/>
        </w:rPr>
      </w:pPr>
      <w:r>
        <w:rPr>
          <w:rFonts w:ascii="Arial" w:cs="Arial" w:eastAsia="Arial" w:hAnsi="Arial"/>
          <w:sz w:val="32"/>
          <w:szCs w:val="32"/>
          <w:b w:val="1"/>
          <w:bCs w:val="1"/>
          <w:color w:val="auto"/>
        </w:rPr>
        <w:t>SCHEDULE 14A</w:t>
      </w:r>
    </w:p>
    <w:p>
      <w:pPr>
        <w:jc w:val="center"/>
        <w:ind w:right="-719"/>
        <w:spacing w:after="0"/>
        <w:rPr>
          <w:sz w:val="20"/>
          <w:szCs w:val="20"/>
          <w:color w:val="auto"/>
        </w:rPr>
      </w:pPr>
      <w:r>
        <w:rPr>
          <w:rFonts w:ascii="Arial" w:cs="Arial" w:eastAsia="Arial" w:hAnsi="Arial"/>
          <w:sz w:val="22"/>
          <w:szCs w:val="22"/>
          <w:b w:val="1"/>
          <w:bCs w:val="1"/>
          <w:color w:val="auto"/>
        </w:rPr>
        <w:t>(Rule 14a-101)</w:t>
      </w:r>
    </w:p>
    <w:p>
      <w:pPr>
        <w:spacing w:after="0" w:line="277"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right="2720" w:hanging="466"/>
        <w:spacing w:after="0" w:line="332" w:lineRule="auto"/>
        <w:tabs>
          <w:tab w:leader="none" w:pos="898"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-4533265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-4053205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-3435985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-2955290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-2475230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-1300480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-768985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242570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0720"/>
          </w:cols>
          <w:pgMar w:left="240" w:top="206" w:right="939" w:bottom="904"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the 2008 Annual Meeting of Stockholders of Pro-Pharmaceuticals, Inc. The meeting will be held at 2:00 p.m. on Wednesday, May 21, 2008, at the Sheraton Needham Hotel, 100 Cabot Street, Needham, Massachusetts.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the following pages, you will find the Notice of our 2008 Annual Meeting of Stockholders and the Proxy Statement that describes the matters to be considered at the Annual Meeting. We also have enclosed your Proxy Card and our Annual Report for the year ended December 31, 2007.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1340"/>
          </w:cols>
          <w:pgMar w:left="240" w:top="27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Wednesday, May 21, 2008 at 2:00 p.m., local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elect nine members of the Board of Directors to one-year terms.</w:t>
      </w:r>
    </w:p>
    <w:p>
      <w:pPr>
        <w:spacing w:after="0" w:line="90" w:lineRule="exact"/>
        <w:rPr>
          <w:sz w:val="20"/>
          <w:szCs w:val="20"/>
          <w:color w:val="auto"/>
        </w:rPr>
      </w:pPr>
    </w:p>
    <w:p>
      <w:pPr>
        <w:ind w:left="780" w:right="100" w:hanging="324"/>
        <w:spacing w:after="0" w:line="268" w:lineRule="auto"/>
        <w:rPr>
          <w:sz w:val="20"/>
          <w:szCs w:val="20"/>
          <w:color w:val="auto"/>
        </w:rPr>
      </w:pPr>
      <w:r>
        <w:rPr>
          <w:rFonts w:ascii="Arial" w:cs="Arial" w:eastAsia="Arial" w:hAnsi="Arial"/>
          <w:sz w:val="18"/>
          <w:szCs w:val="18"/>
          <w:color w:val="auto"/>
        </w:rPr>
        <w:t>— To consider and act upon a proposal to ratify the appointment of Deloitte &amp; Touche LLP as our independent registered public accounting firm to audit our financial statements for 2008.</w:t>
      </w:r>
    </w:p>
    <w:p>
      <w:pPr>
        <w:spacing w:after="0" w:line="50" w:lineRule="exact"/>
        <w:rPr>
          <w:sz w:val="20"/>
          <w:szCs w:val="20"/>
          <w:color w:val="auto"/>
        </w:rPr>
      </w:pPr>
    </w:p>
    <w:p>
      <w:pPr>
        <w:ind w:left="780" w:right="720" w:hanging="324"/>
        <w:spacing w:after="0" w:line="268" w:lineRule="auto"/>
        <w:rPr>
          <w:sz w:val="20"/>
          <w:szCs w:val="20"/>
          <w:color w:val="auto"/>
        </w:rPr>
      </w:pPr>
      <w:r>
        <w:rPr>
          <w:rFonts w:ascii="Arial" w:cs="Arial" w:eastAsia="Arial" w:hAnsi="Arial"/>
          <w:sz w:val="18"/>
          <w:szCs w:val="18"/>
          <w:color w:val="auto"/>
        </w:rPr>
        <w:t>— To approve an amendment to our Articles of Incorporation increasing the number of authorized shares of common stock from 100,000,000 to 200,000,000.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11, 2008.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 2008</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 2008</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2008 ANNUAL MEETING OF STOCKHOLDERS</w:t>
      </w:r>
    </w:p>
    <w:p>
      <w:pPr>
        <w:spacing w:after="0" w:line="7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May 21, 2008, 2:00 p.m. local time,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Sheraton Needham Hotel, 100 Cabot Street, Needham, Massachusetts</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Proxy Statement is being provided to you by Pro-Pharmaceuticals’ Board of Directors in connection with our 2008 Annual Meeting of Stockholders. The Annual Meeting will be held at 2:00 p.m. on Wednesday, May 21, 2008 at the Sheraton Needham Hotel, 100 Cabot Street, Needham, Massachusetts 02494, for the purposes set forth in the accompanying Notice of Annual Meeting. We intend to mail this Proxy Statement and the accompanying Notice of Annual Meeting on or about April —, 2008, to all stockholders entitled to vote at the Annual Meeting.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Annual Meeting, stockholders will consider and act upon proposals (1) to elect nine directors to one-year terms, (2) to ratify the appointment of Deloitte &amp; Touche LLP as our independent registered public accounting firm to audit our financial statements for 2008, (3) to consider a management proposal to amend our articles of incorporation increasing the number of authorized shares of common stock from 100,000,000 to 200,000,000, and (4) to consider such other business as may properly come before the meeting.</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urge you to sign the enclosed Proxy Card and return it promptly in the return envelope by following the instructions on the proxy card (both are enclosed with these materials). Proxies will be voted as directed. Any Proxy Card returned without directions given will be voted “FOR” (i) the election of directors, (ii) the ratification of the appointment of Deloitte &amp; Touche LLP, (iii) the increase in the number of authorized shares of our common stock, and (iv) as to any other business that may come before the Annual Meeting, in accordance with the judgment of the person or persons named in the proxy. You may revoke your proxy at any time before the Annual Meeting by sending a notice of revocation to Pro-Pharmaceuticals, Inc. at 7 Wells Avenue, Newton, Massachusetts 02459, Attention: Anthony D. Squeglia, Chief Financial Officer. You may also revoke it by submitting a more recently dated proxy to us before the Annual Meeting or by attending the meeting and voting in person.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Securities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Stockholders of record at the close of business on April 11, 2008 will be entitled to notice of the Annual Meeting and to vote at the meeting. Our voting stock is our common stock of which 47,864,792 shares were issued and outstanding on April 11, 2008, and our Series A 12% Convertible Preferred Stock (which votes in accordance with the formula set forth in the Certificate of Designation of Preferences, Rights and Limitations of the Series A 12% Convertible Preferred Stock), of which 1,742,500 shares were issued and outstanding as of April 11, 2008. The shares of Series A 12% Convertible Preferred Stock vote with the shares of our common stock as a single class. Neither the common stock nor the Series A 12% Convertible Preferred Stock is entitled to cumulative voting.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 and Votes Required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representation in person or by proxy of at least one third of the shares of capital stock entitled to vote is necessary to establish a quorum for the transaction of business. Shares which abstain from voting as to a particular matter, and shares held in “street name” by brokers or nominees who indicate on their proxies that they do not have discretionary authority to vote as to a particular matter (“broker non-votes”), will be counted for purposes of determining whether a quorum is present for the transaction of business at the Annual Meeting, but will not be considered as voting on such matters. Accordingly, neither abstentions nor broker non-votes will have any effect with respect to the election of directors or the ratification of our independent registered public accounting firm, each of which requires an affirmative vote of a majority of the common stock present or represented by proxy and voting on the matter, or the proposal to increase the number of our authorized shares of common stock, which requires an affirmative vote of a majority of the common stock outstanding.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following table sets forth, as of April 11, 2008, certain information concerning the beneficial ownership of each class of our voting securities by</w:t>
      </w:r>
    </w:p>
    <w:p>
      <w:pPr>
        <w:spacing w:after="0" w:line="38" w:lineRule="exact"/>
        <w:rPr>
          <w:sz w:val="20"/>
          <w:szCs w:val="20"/>
          <w:color w:val="auto"/>
        </w:rPr>
      </w:pPr>
    </w:p>
    <w:p>
      <w:pPr>
        <w:ind w:right="440" w:firstLine="8"/>
        <w:spacing w:after="0" w:line="323"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person known by us to own beneficially five per cent (5%) or more of the outstanding shares of our common stock or our Series A 12% Convertible Preferred Stock (“Series A Preferred”), (ii) each of our directors and named executive officers, and (iii) all executive officers and directors as a group.</w:t>
      </w:r>
    </w:p>
    <w:p>
      <w:pPr>
        <w:spacing w:after="0" w:line="9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number of shares beneficially owned by each 5% stockholder, director or executive officer is determined under rules of the United States Securities and Exchange Commission (SEC) and the information is not necessarily indicative of beneficial ownership for any other purpose. Under those rules, beneficial ownership includes any shares to which the individual or entity has sole or shared voting power or investment power and also any shares that the individual or entity has the right to acquire within 60 days after April 11, 2008 through the exercise of any stock option, warrant or other right, or conversion of any security. Unless otherwise indicated, each person or entity has sole investment and voting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9"/>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93"/>
        </w:trPr>
        <w:tc>
          <w:tcPr>
            <w:tcW w:w="436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3780" w:type="dxa"/>
            <w:vAlign w:val="bottom"/>
          </w:tcPr>
          <w:p>
            <w:pPr>
              <w:spacing w:after="0"/>
              <w:rPr>
                <w:sz w:val="16"/>
                <w:szCs w:val="16"/>
                <w:color w:val="auto"/>
              </w:rPr>
            </w:pPr>
          </w:p>
        </w:tc>
        <w:tc>
          <w:tcPr>
            <w:tcW w:w="2480" w:type="dxa"/>
            <w:vAlign w:val="bottom"/>
            <w:gridSpan w:val="2"/>
          </w:tcPr>
          <w:p>
            <w:pPr>
              <w:jc w:val="right"/>
              <w:ind w:right="1100"/>
              <w:spacing w:after="0" w:line="193" w:lineRule="exact"/>
              <w:rPr>
                <w:sz w:val="20"/>
                <w:szCs w:val="20"/>
                <w:color w:val="auto"/>
              </w:rPr>
            </w:pPr>
            <w:r>
              <w:rPr>
                <w:rFonts w:ascii="Arial" w:cs="Arial" w:eastAsia="Arial" w:hAnsi="Arial"/>
                <w:sz w:val="14"/>
                <w:szCs w:val="14"/>
                <w:b w:val="1"/>
                <w:bCs w:val="1"/>
                <w:color w:val="auto"/>
                <w:w w:val="84"/>
              </w:rPr>
              <w:t>Beneficial Ownership</w:t>
            </w:r>
            <w:r>
              <w:rPr>
                <w:rFonts w:ascii="Arial" w:cs="Arial" w:eastAsia="Arial" w:hAnsi="Arial"/>
                <w:sz w:val="22"/>
                <w:szCs w:val="22"/>
                <w:b w:val="1"/>
                <w:bCs w:val="1"/>
                <w:color w:val="auto"/>
                <w:w w:val="84"/>
                <w:vertAlign w:val="superscript"/>
              </w:rPr>
              <w:t>(3)</w:t>
            </w:r>
          </w:p>
        </w:tc>
        <w:tc>
          <w:tcPr>
            <w:tcW w:w="800" w:type="dxa"/>
            <w:vAlign w:val="bottom"/>
            <w:gridSpan w:val="2"/>
          </w:tcPr>
          <w:p>
            <w:pPr>
              <w:jc w:val="right"/>
              <w:ind w:right="180"/>
              <w:spacing w:after="0" w:line="193" w:lineRule="exact"/>
              <w:rPr>
                <w:sz w:val="20"/>
                <w:szCs w:val="20"/>
                <w:color w:val="auto"/>
              </w:rPr>
            </w:pPr>
            <w:r>
              <w:rPr>
                <w:rFonts w:ascii="Arial" w:cs="Arial" w:eastAsia="Arial" w:hAnsi="Arial"/>
                <w:sz w:val="14"/>
                <w:szCs w:val="14"/>
                <w:b w:val="1"/>
                <w:bCs w:val="1"/>
                <w:color w:val="auto"/>
                <w:w w:val="82"/>
              </w:rPr>
              <w:t>of Class</w:t>
            </w:r>
            <w:r>
              <w:rPr>
                <w:rFonts w:ascii="Arial" w:cs="Arial" w:eastAsia="Arial" w:hAnsi="Arial"/>
                <w:sz w:val="22"/>
                <w:szCs w:val="22"/>
                <w:b w:val="1"/>
                <w:bCs w:val="1"/>
                <w:color w:val="auto"/>
                <w:w w:val="82"/>
                <w:vertAlign w:val="superscript"/>
              </w:rPr>
              <w:t>(2)</w:t>
            </w: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5% Stockholders</w:t>
            </w:r>
          </w:p>
        </w:tc>
        <w:tc>
          <w:tcPr>
            <w:tcW w:w="30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6260" w:type="dxa"/>
            <w:vAlign w:val="bottom"/>
            <w:gridSpan w:val="3"/>
          </w:tcPr>
          <w:p>
            <w:pPr>
              <w:jc w:val="right"/>
              <w:ind w:right="980"/>
              <w:spacing w:after="0"/>
              <w:rPr>
                <w:sz w:val="20"/>
                <w:szCs w:val="20"/>
                <w:color w:val="auto"/>
              </w:rPr>
            </w:pPr>
            <w:r>
              <w:rPr>
                <w:rFonts w:ascii="Arial" w:cs="Arial" w:eastAsia="Arial" w:hAnsi="Arial"/>
                <w:sz w:val="18"/>
                <w:szCs w:val="18"/>
                <w:color w:val="auto"/>
              </w:rPr>
              <w:t>3,535,347</w:t>
            </w:r>
            <w:r>
              <w:rPr>
                <w:rFonts w:ascii="Arial" w:cs="Arial" w:eastAsia="Arial" w:hAnsi="Arial"/>
                <w:sz w:val="11"/>
                <w:szCs w:val="11"/>
                <w:color w:val="auto"/>
              </w:rPr>
              <w:t>(4)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4,686,468</w:t>
            </w:r>
            <w:r>
              <w:rPr>
                <w:rFonts w:ascii="Arial" w:cs="Arial" w:eastAsia="Arial" w:hAnsi="Arial"/>
                <w:sz w:val="11"/>
                <w:szCs w:val="11"/>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322"/>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3,535,347</w:t>
            </w:r>
            <w:r>
              <w:rPr>
                <w:rFonts w:ascii="Arial" w:cs="Arial" w:eastAsia="Arial" w:hAnsi="Arial"/>
                <w:sz w:val="11"/>
                <w:szCs w:val="11"/>
                <w:color w:val="auto"/>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Mildred S. Christian, Ph.D.</w:t>
            </w:r>
          </w:p>
        </w:tc>
        <w:tc>
          <w:tcPr>
            <w:tcW w:w="6260" w:type="dxa"/>
            <w:vAlign w:val="bottom"/>
            <w:gridSpan w:val="3"/>
          </w:tcPr>
          <w:p>
            <w:pPr>
              <w:jc w:val="right"/>
              <w:ind w:right="980"/>
              <w:spacing w:after="0"/>
              <w:rPr>
                <w:sz w:val="20"/>
                <w:szCs w:val="20"/>
                <w:color w:val="auto"/>
              </w:rPr>
            </w:pPr>
            <w:r>
              <w:rPr>
                <w:rFonts w:ascii="Arial" w:cs="Arial" w:eastAsia="Arial" w:hAnsi="Arial"/>
                <w:sz w:val="18"/>
                <w:szCs w:val="18"/>
                <w:color w:val="auto"/>
              </w:rPr>
              <w:t>192,208</w:t>
            </w:r>
            <w:r>
              <w:rPr>
                <w:rFonts w:ascii="Arial" w:cs="Arial" w:eastAsia="Arial" w:hAnsi="Arial"/>
                <w:sz w:val="11"/>
                <w:szCs w:val="11"/>
                <w:color w:val="auto"/>
              </w:rPr>
              <w:t>(6)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H. Conaway, D.V.M.</w:t>
            </w:r>
          </w:p>
        </w:tc>
        <w:tc>
          <w:tcPr>
            <w:tcW w:w="626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98,306</w:t>
            </w:r>
            <w:r>
              <w:rPr>
                <w:rFonts w:ascii="Arial" w:cs="Arial" w:eastAsia="Arial" w:hAnsi="Arial"/>
                <w:sz w:val="11"/>
                <w:szCs w:val="11"/>
                <w:color w:val="auto"/>
              </w:rPr>
              <w:t>(7)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3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9"/>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93"/>
        </w:trPr>
        <w:tc>
          <w:tcPr>
            <w:tcW w:w="83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300" w:type="dxa"/>
            <w:vAlign w:val="bottom"/>
            <w:gridSpan w:val="2"/>
          </w:tcPr>
          <w:p>
            <w:pPr>
              <w:jc w:val="right"/>
              <w:ind w:right="920"/>
              <w:spacing w:after="0" w:line="193" w:lineRule="exact"/>
              <w:rPr>
                <w:sz w:val="20"/>
                <w:szCs w:val="20"/>
                <w:color w:val="auto"/>
              </w:rPr>
            </w:pPr>
            <w:r>
              <w:rPr>
                <w:rFonts w:ascii="Arial" w:cs="Arial" w:eastAsia="Arial" w:hAnsi="Arial"/>
                <w:sz w:val="14"/>
                <w:szCs w:val="14"/>
                <w:b w:val="1"/>
                <w:bCs w:val="1"/>
                <w:color w:val="auto"/>
                <w:w w:val="84"/>
              </w:rPr>
              <w:t>Beneficial Ownership</w:t>
            </w:r>
            <w:r>
              <w:rPr>
                <w:rFonts w:ascii="Arial" w:cs="Arial" w:eastAsia="Arial" w:hAnsi="Arial"/>
                <w:sz w:val="22"/>
                <w:szCs w:val="22"/>
                <w:b w:val="1"/>
                <w:bCs w:val="1"/>
                <w:color w:val="auto"/>
                <w:w w:val="84"/>
                <w:vertAlign w:val="superscript"/>
              </w:rPr>
              <w:t>(3)</w:t>
            </w:r>
          </w:p>
        </w:tc>
        <w:tc>
          <w:tcPr>
            <w:tcW w:w="800" w:type="dxa"/>
            <w:vAlign w:val="bottom"/>
            <w:gridSpan w:val="2"/>
          </w:tcPr>
          <w:p>
            <w:pPr>
              <w:jc w:val="right"/>
              <w:ind w:right="180"/>
              <w:spacing w:after="0" w:line="193" w:lineRule="exact"/>
              <w:rPr>
                <w:sz w:val="20"/>
                <w:szCs w:val="20"/>
                <w:color w:val="auto"/>
              </w:rPr>
            </w:pPr>
            <w:r>
              <w:rPr>
                <w:rFonts w:ascii="Arial" w:cs="Arial" w:eastAsia="Arial" w:hAnsi="Arial"/>
                <w:sz w:val="14"/>
                <w:szCs w:val="14"/>
                <w:b w:val="1"/>
                <w:bCs w:val="1"/>
                <w:color w:val="auto"/>
                <w:w w:val="82"/>
              </w:rPr>
              <w:t>of Class</w:t>
            </w:r>
            <w:r>
              <w:rPr>
                <w:rFonts w:ascii="Arial" w:cs="Arial" w:eastAsia="Arial" w:hAnsi="Arial"/>
                <w:sz w:val="22"/>
                <w:szCs w:val="22"/>
                <w:b w:val="1"/>
                <w:bCs w:val="1"/>
                <w:color w:val="auto"/>
                <w:w w:val="82"/>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35,500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James T. Gourzis, M.D.,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6,500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33,000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215,844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Theodore D. Zucconi,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296,343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916,668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2300" w:type="dxa"/>
            <w:vAlign w:val="bottom"/>
            <w:gridSpan w:val="2"/>
          </w:tcPr>
          <w:p>
            <w:pPr>
              <w:jc w:val="right"/>
              <w:ind w:right="920"/>
              <w:spacing w:after="0"/>
              <w:rPr>
                <w:sz w:val="20"/>
                <w:szCs w:val="20"/>
                <w:color w:val="auto"/>
              </w:rPr>
            </w:pPr>
            <w:r>
              <w:rPr>
                <w:rFonts w:ascii="Arial" w:cs="Arial" w:eastAsia="Arial" w:hAnsi="Arial"/>
                <w:sz w:val="18"/>
                <w:szCs w:val="18"/>
                <w:color w:val="auto"/>
              </w:rPr>
              <w:t>686,668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(12 persons)</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6,253,552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7 Wells Avenue, Newton, MA 02459 except Mr. Czirr whose address is 425 Janish Drive, Sandpoint, ID 83864.</w:t>
      </w: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person and group included in this table, percentage ownership is calculated by dividing the number of shares beneficially owned by such person or group by the sum of 47,864,792 shares of common stock outstanding as of April 11, 2008, plus the number of shares of common stock that such person has the right to acquire within 60 days after April 11, 2008.</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that were exercisable within 60 days after April 11, 2008: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auto"/>
                <w:w w:val="87"/>
              </w:rPr>
              <w:t>Options Exercisable Within 60 Days</w:t>
            </w:r>
          </w:p>
        </w:tc>
      </w:tr>
      <w:tr>
        <w:trPr>
          <w:trHeight w:val="210"/>
        </w:trPr>
        <w:tc>
          <w:tcPr>
            <w:tcW w:w="2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Platt:</w:t>
            </w:r>
          </w:p>
        </w:tc>
        <w:tc>
          <w:tcPr>
            <w:tcW w:w="684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Dr. Christian:</w:t>
            </w:r>
          </w:p>
        </w:tc>
        <w:tc>
          <w:tcPr>
            <w:tcW w:w="2080" w:type="dxa"/>
            <w:vAlign w:val="bottom"/>
          </w:tcPr>
          <w:p>
            <w:pPr>
              <w:jc w:val="right"/>
              <w:spacing w:after="0"/>
              <w:rPr>
                <w:sz w:val="20"/>
                <w:szCs w:val="20"/>
                <w:color w:val="auto"/>
              </w:rPr>
            </w:pPr>
            <w:r>
              <w:rPr>
                <w:rFonts w:ascii="Arial" w:cs="Arial" w:eastAsia="Arial" w:hAnsi="Arial"/>
                <w:sz w:val="18"/>
                <w:szCs w:val="18"/>
                <w:color w:val="auto"/>
              </w:rPr>
              <w:t>114,354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Conaway: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Dr. Esber:</w:t>
            </w:r>
          </w:p>
        </w:tc>
        <w:tc>
          <w:tcPr>
            <w:tcW w:w="2080" w:type="dxa"/>
            <w:vAlign w:val="bottom"/>
          </w:tcPr>
          <w:p>
            <w:pPr>
              <w:jc w:val="right"/>
              <w:spacing w:after="0"/>
              <w:rPr>
                <w:sz w:val="20"/>
                <w:szCs w:val="20"/>
                <w:color w:val="auto"/>
              </w:rPr>
            </w:pPr>
            <w:r>
              <w:rPr>
                <w:rFonts w:ascii="Arial" w:cs="Arial" w:eastAsia="Arial" w:hAnsi="Arial"/>
                <w:sz w:val="18"/>
                <w:szCs w:val="18"/>
                <w:color w:val="auto"/>
              </w:rPr>
              <w:t>35,500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Gourzis: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Mr. Neill:</w:t>
            </w:r>
          </w:p>
        </w:tc>
        <w:tc>
          <w:tcPr>
            <w:tcW w:w="2080" w:type="dxa"/>
            <w:vAlign w:val="bottom"/>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Prelack:</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Mr. Rome:</w:t>
            </w:r>
          </w:p>
        </w:tc>
        <w:tc>
          <w:tcPr>
            <w:tcW w:w="2080" w:type="dxa"/>
            <w:vAlign w:val="bottom"/>
          </w:tcPr>
          <w:p>
            <w:pPr>
              <w:jc w:val="right"/>
              <w:spacing w:after="0"/>
              <w:rPr>
                <w:sz w:val="20"/>
                <w:szCs w:val="20"/>
                <w:color w:val="auto"/>
              </w:rPr>
            </w:pPr>
            <w:r>
              <w:rPr>
                <w:rFonts w:ascii="Arial" w:cs="Arial" w:eastAsia="Arial" w:hAnsi="Arial"/>
                <w:sz w:val="18"/>
                <w:szCs w:val="18"/>
                <w:color w:val="auto"/>
              </w:rPr>
              <w:t>56,500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Zucconi:</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Ms. Foley:</w:t>
            </w:r>
          </w:p>
        </w:tc>
        <w:tc>
          <w:tcPr>
            <w:tcW w:w="2080" w:type="dxa"/>
            <w:vAlign w:val="bottom"/>
          </w:tcPr>
          <w:p>
            <w:pPr>
              <w:jc w:val="right"/>
              <w:spacing w:after="0"/>
              <w:rPr>
                <w:sz w:val="20"/>
                <w:szCs w:val="20"/>
                <w:color w:val="auto"/>
              </w:rPr>
            </w:pPr>
            <w:r>
              <w:rPr>
                <w:rFonts w:ascii="Arial" w:cs="Arial" w:eastAsia="Arial" w:hAnsi="Arial"/>
                <w:sz w:val="18"/>
                <w:szCs w:val="18"/>
                <w:color w:val="auto"/>
              </w:rPr>
              <w:t>911,667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Zomer: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686,668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All named executive officers and directors as a group:</w:t>
            </w:r>
          </w:p>
        </w:tc>
        <w:tc>
          <w:tcPr>
            <w:tcW w:w="2080" w:type="dxa"/>
            <w:vAlign w:val="bottom"/>
          </w:tcPr>
          <w:p>
            <w:pPr>
              <w:jc w:val="right"/>
              <w:spacing w:after="0"/>
              <w:rPr>
                <w:sz w:val="20"/>
                <w:szCs w:val="20"/>
                <w:color w:val="auto"/>
              </w:rPr>
            </w:pPr>
            <w:r>
              <w:rPr>
                <w:rFonts w:ascii="Arial" w:cs="Arial" w:eastAsia="Arial" w:hAnsi="Arial"/>
                <w:sz w:val="18"/>
                <w:szCs w:val="18"/>
                <w:color w:val="auto"/>
              </w:rPr>
              <w:t>2,215,189</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right="16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7,379 shares of common stock owned by Dr. Platt’s wife as to which he disclaims beneficial ownership, and (ii) 100,000 shares of Series A Preferred convertible into 100,000 shares of common stock. Such number of shares of Series A Preferred represents 5% or more of the outstanding shares of this class of securities.</w:t>
      </w:r>
    </w:p>
    <w:p>
      <w:pPr>
        <w:ind w:left="460" w:right="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28,200 shares owned by a child of Mr. Czirr as to which Mr. Czirr disclaims beneficial ownership, and (ii) 100,000 shares of Series A Preferred convertible into 100,000 shares of common stock. Such number of shares of Series A Preferred represents 5% or more of the outstanding shares of this class of securities.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25,000 shares of Series A Preferred convertible into 25,000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10,000 shares of Series A Preferred convertible into 10,000 shares of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nine members of our current Board of Directors to be re-elected at the Annual Meeting to serve one-year terms until the 2009 annual meeting of stockholders and until their respective successors are elected and shall qualify. Each nominee has agreed to serve if elected.</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11, 2008, including their ages, positions with Pro-Pharmaceuticals, recent employment and other directorships.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to the Board of each nominee.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members of the Board of Directors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Age as of 3/22/08</w:t>
            </w:r>
          </w:p>
        </w:tc>
        <w:tc>
          <w:tcPr>
            <w:tcW w:w="32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r>
      <w:tr>
        <w:trPr>
          <w:trHeight w:val="201"/>
        </w:trPr>
        <w:tc>
          <w:tcPr>
            <w:tcW w:w="1540" w:type="dxa"/>
            <w:vAlign w:val="bottom"/>
          </w:tcPr>
          <w:p>
            <w:pPr>
              <w:spacing w:after="0" w:line="201" w:lineRule="exact"/>
              <w:rPr>
                <w:sz w:val="20"/>
                <w:szCs w:val="20"/>
                <w:color w:val="auto"/>
              </w:rPr>
            </w:pPr>
            <w:r>
              <w:rPr>
                <w:rFonts w:ascii="Arial" w:cs="Arial" w:eastAsia="Arial" w:hAnsi="Arial"/>
                <w:sz w:val="18"/>
                <w:szCs w:val="18"/>
                <w:color w:val="auto"/>
              </w:rPr>
              <w:t>David Platt, Ph.D.</w:t>
            </w:r>
          </w:p>
        </w:tc>
        <w:tc>
          <w:tcPr>
            <w:tcW w:w="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3760" w:type="dxa"/>
            <w:vAlign w:val="bottom"/>
            <w:gridSpan w:val="2"/>
          </w:tcPr>
          <w:p>
            <w:pPr>
              <w:ind w:left="740"/>
              <w:spacing w:after="0" w:line="201" w:lineRule="exact"/>
              <w:rPr>
                <w:sz w:val="20"/>
                <w:szCs w:val="20"/>
                <w:color w:val="auto"/>
              </w:rPr>
            </w:pPr>
            <w:r>
              <w:rPr>
                <w:rFonts w:ascii="Arial" w:cs="Arial" w:eastAsia="Arial" w:hAnsi="Arial"/>
                <w:sz w:val="18"/>
                <w:szCs w:val="18"/>
                <w:color w:val="auto"/>
                <w:w w:val="99"/>
              </w:rPr>
              <w:t>Chief Executive Officer and Chairman</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Mildred S. Christian, Ph.D.</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Dale H. Conaway, D.V.M.</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Henry J. Esber, Ph.D.</w:t>
            </w: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James T. Gourzis, M.D., Ph.D.</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S. Colin Neill</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Jerald K. Rome</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Director</w:t>
            </w: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Theodore D. Zucconi, Ph.D.</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President and Director</w:t>
            </w: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Dr. Platt, Chief Executive Officer and Chairman of the Board of Directors, is a co-founder of the Company and co-developer of our core technology. From 1995 to 2000, Dr. Platt was Chief Executive Officer and Chairman of the Board of Directors of SafeScience Inc., a company he founded. From 1992 to 1995, Dr. Platt was the Chief Executive Officer, Chairman of the Board and a founder of International Gene Group, Inc., the predecessor company to SafeScience.</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Dr. Platt received a Ph.D. in Chemistry in 1988 from Hebrew University in Jerusalem. In 1989, Dr. Platt was a research fellow at the Weizmann Institute of Science, Rehovot, Israel, and from 1989 to 1991, was a research fellow at the Michigan Cancer Foundation (re-named Barbara Ann Karmanos Cancer Institute). From 1991 to 1992, Dr. Platt was a research scientist with the Department of Internal Medicine at the University of Michigan. Dr. Platt has published peer-reviewed articles and holds many patents, primarily in the field of carbohydrate chemistry.</w:t>
      </w:r>
    </w:p>
    <w:p>
      <w:pPr>
        <w:spacing w:after="0" w:line="11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Dr. Christian, a Director of the Company since 2002, is President and CEO of Argus International, Inc., a provider of consulting services in regulatory affairs, and Chairman and CEO of Argus Health Products, LLC, a developer and distributor of preventive and maintenance healthcare products. Until 2002, Dr. Christian was Executive Director, Science and Compliance, of Charles River Laboratories and Primedica Corporation.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more than 1,800 pre-clinical studies, from protocol to final report. Dr. Christian is a member of several professional organizations, including service as Councilor of the European Teratology Society and Secretary/Treasurer of the Academy of Toxicological Sciences. She has authored more than 120 papers and abstracts published in U.S. and international journals. Dr. Christian earned her Ph.D. from Thomas Jefferson University in developmental anatomy and pharmacology.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Dr. Conaway, a Director of the Company since May 2001, is the Chief Veterinary Medical Officer for the Office of Research Oversight, an office within the Veterans Health Administration under the U.S. Department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Veterans Affairs. From 2001 to 2006, Dr. Conway was the Deputy Regional Director (Southern Region). From 1998 to 2001, Dr. Conaway served as Manager of the Equine Drug Testing and Animal Disease Surveillance Laboratories for the Michigan Department of Agriculture. From 1994 to 1998, he was Regulatory Affairs Manager for the Michigan Department of Public Health Vaccine Production Division. Dr. Conaway received a D.V.M. degree from Tuskegee Institute and an M.S. degree in pathology from the College of Veterinary Medicine at Michigan State University.</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Dr. Esber, a Director of the Company since April 2006, has been a Principal in Esber D&amp;D consulting since 2005. From 2003 to 2005, Dr. Esber was a Senior Consultant, Business Development at Charles River Labs, Discovery and Development Services. From 2005 to 2006, Dr. Esber was a consultant and from 2006, he was Senior Vice President and Chief Business Officer for Bio-Quant. Dr. Esber is the co-founder of BioSignature Diagnostics, Inc. and Advanced Drug Delivery, Inc. He serves on the Scientific Advisory Boards of several biotechnology companies and is the author of more than 130 technical publications.</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Dr. Esber has more than 25 years of experience in the areas of oncology/tumor immunology and immunotherapy as well as strong knowledge in the field of toxicology and regulatory affairs. Dr. Esber received a B.S. degree in biology/pre-med from the College of William and Mary, an M.S. degree in public health and parasitology from the University of North Carolina, and a Ph.D. in immunology/microbiology from West Virginia University Medical Center.</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Dr. Gourzis, a Director of the Company since December 2006, has extensive experience in formulating scientific and regulatory strategy and heading clinical development teams for pharmaceutical and biotechnology products, small molecules and biologics. Therapeutic area experience includes: oncology, cardiovascular, virology, immunology, central nervous system, allergy, anti-inflammatory, infectious disease, pain management and gastrointestinal disease. Dr. Gourzis is Principal, MEDRAND Associates from 2002 to present, providing consulting services with respect to scientific, strategic and regulatory considerations associated with the development of drugs and biologics. Dr. Gourzis received an A.B. degree in biology from Harvard University, an A.M. degree in pharmacology from Boston University and an M.D., Ph.D. in pharmacology/medicine from the University of Manitoba.</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Neill, a Director of the Company since May 2007, became President of Pharmos Corp. (Nasdaq: PARS) in January 2008, and since October 2006, was its Senior Vice President, Chief Financial Officer, Secretary, and Treasurer. From 2003 to 2006, Mr. Neill served as Chief Financial Officer, Treasurer and Secretary of Axonyx Inc., a biopharmaceutical company that develops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 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 Mr. Neill serves on the board of OXIS International, Inc. (OXIS:BB).</w:t>
      </w:r>
    </w:p>
    <w:p>
      <w:pPr>
        <w:spacing w:after="0" w:line="121"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Mr. Prelack, a Director of the Company since April 2003, has served as Senior Vice President, Chief Financial Officer and Treasurer of VelQuest Corporation since 2001, a provider of automated compliance management solutions for the pharmaceutical industry. In this capacity, Mr. Prelack oversees business development, financial, administrative and other functions and is responsible for VelQuest’s transition from a development-stage company to an operating company. Mr. Prelack is a director of Codeco Corporation,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designer and manufacturer of custom resisters and switches, and of Sight Code, Inc., which specializes in OPM, a systems design and architecture platform.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Prelack, a Certified Public Accountant, received a B.B.A. degree from the University of Massachusetts at Amherst in 1979.</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Rome, a Director of the Company since March 2004, has been a private investor since 1996. Mr. Rome founded Amberline Pharmaceutical Care Corp., a marketer of 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Zucconi, a Director and President of the Company since October 2007, was formerly, since 2002, President of Implementation Edge, a management consulting firm that specializes in organizational performance improvement. From 1994 until 2002, Dr. Zucconi served in various capacities at Motorola, including Director of Motorola University. Prior to Motorola, Dr. Zucconi held technical, operational, and scientific positions at various high technology companies. Dr. Zucconi received his Ph.D. in analytical chemistry from State University of New York in 1977. Dr. Zucconi also received a Master’s Certificate in international management from Thunderbird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Platt, Ph.D., Chief Executive Officer (see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Theodore Zucconi, Ph.D., President (see Board of Directors)</w:t>
      </w:r>
    </w:p>
    <w:p>
      <w:pPr>
        <w:spacing w:after="0" w:line="17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Eliezer Zomer, Ph.D., is Executive Vice President of Manufacturing and Product Development. Prior to joining the company in 2002, Dr. Zomer was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Anatole Klyosov, Ph.D., D.Sc., is Chief Scientist, a co-inventor of our patented technology, and a founder of the Company.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230 peer-reviewed articles in scientific journals, authored books on enzymes, carbohydrates, and biotechnology, and holds more than 20 patents. Dr. Klyosov earned his Ph.D. and D.Sc. degrees in physical chemistry, and an M.S. degree in enzyme kinetics, from Moscow State University.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Anthony Squeglia became Chief Financial Officer in October 2007 and from 2003 served as Vice President of Investor Relations. From 2001 to 2003, Mr. Squeglia was a Partner in JFS Advisors, a management consulting firm that delivered strategic services to entrepreneurial businesses that includes raising funds, business planning, positioning, branding, marketing and sales channel development. From 1996 to 2001, Mr. Squeglia was Director of Investor Relations and Corporate Communications for Quentra/Coyote Networks. Previously, Mr. Squeglia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management positions with Summa Four, Unisys, AT&amp;T, Timeplex, Colonial Penn and ITT. Mr. Squeglia received an M.B.A. from Pepperdine University and a B.B.A. from The Wharton School, University of Pennsylvania.</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Maureen Foley is Chief Operating Officer since October 2001 and formerly Manager of Operations. Ms. Foley’s experience with start-up companies includes: From June 2000 to December 2000, she provided business operations services for eHealthDirect, Inc., a developer of medical records processing software. From October 1999 to May 2000, Ms. Foley managed business operations services for ArsDigita, Inc., a developer of business software and programs. From June 1996 to August 1999, Ms. Foley served with Thermo Fibergen, Inc., a subsidiary of Thermo Electron Corporation, a developer of composite materials. Ms. Foley is a graduate of The Wyndham School, Boston, Massachusetts, with a major in Mechanical Engineering.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During the year ended December 31, 2007, our Board of Directors held 18 meetings. During 2007, the Board had three standing committees: the Compensation Committee, the Audit Committee and the Nominating and Corporate Governance Committee. Our Board of Directors has determined that, other than Dr. Platt and Dr. Zucconi, neither of whom serves on a standing committee, all of the directors are “independent” within the meaning of American Stock Exchange listing standards. As required by the stock exchange rules, we held at least one meeting of the Board attended only by the independent (non-management) directors. During 2007, one director, James Gourzis, attended fewer than 75% of the combined total number of meetings of the Board.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Compensation Committee, whose members are Mildred Christian (chair) and Henry Esber, met three times during 2007.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Audit Committee, whose members are Steven Prelack (chair), Dale Conaway and Jerald Rome, met seven times during 2007.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w:t>
      </w:r>
    </w:p>
    <w:p>
      <w:pPr>
        <w:spacing w:after="0" w:line="2" w:lineRule="exact"/>
        <w:rPr>
          <w:sz w:val="20"/>
          <w:szCs w:val="20"/>
          <w:color w:val="auto"/>
        </w:rPr>
      </w:pPr>
    </w:p>
    <w:p>
      <w:pPr>
        <w:ind w:right="2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Nominating and Corporate Governance Committee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whose members are Jerald Rome (chair), Dale Conaway and Mildred Christian, met five times during 2007.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Anthony D. Squeglia, Chief Financial Officer, Pro-Pharmaceuticals, Inc., 7 Wells Avenue, Newton, Massachusetts 02459, or by calling (617) 559-0033. All communications will be received and reviewed by our Chief Financial Officer. Stockholder concerns about our accounting, internal controls, auditing matters or business practices will be reported to the Audit Committee. All other concerns will be reported to the appropriate committee(s) of the Board.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Six members of the Board attended our 2007 annual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3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NAMED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summarizes the compensation paid to our Named Executive Officers for the fiscal year ended December 31, 2007.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4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4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4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2007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86,250</w:t>
            </w:r>
          </w:p>
        </w:tc>
        <w:tc>
          <w:tcPr>
            <w:tcW w:w="94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4"/>
              </w:rPr>
              <w:t>49,850</w:t>
            </w:r>
            <w:r>
              <w:rPr>
                <w:rFonts w:ascii="Arial" w:cs="Arial" w:eastAsia="Arial" w:hAnsi="Arial"/>
                <w:sz w:val="22"/>
                <w:szCs w:val="22"/>
                <w:color w:val="auto"/>
                <w:w w:val="84"/>
                <w:vertAlign w:val="superscript"/>
              </w:rPr>
              <w:t>(2)</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331,100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260,000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45,832</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50,917</w:t>
            </w:r>
            <w:r>
              <w:rPr>
                <w:rFonts w:ascii="Arial" w:cs="Arial" w:eastAsia="Arial" w:hAnsi="Arial"/>
                <w:sz w:val="22"/>
                <w:szCs w:val="22"/>
                <w:color w:val="auto"/>
                <w:w w:val="84"/>
                <w:vertAlign w:val="superscript"/>
              </w:rPr>
              <w:t>(3)</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356,749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165,000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85,651</w:t>
            </w:r>
          </w:p>
        </w:tc>
        <w:tc>
          <w:tcPr>
            <w:tcW w:w="940" w:type="dxa"/>
            <w:vAlign w:val="bottom"/>
          </w:tcPr>
          <w:p>
            <w:pPr>
              <w:jc w:val="center"/>
              <w:spacing w:after="0" w:line="208" w:lineRule="exact"/>
              <w:rPr>
                <w:sz w:val="20"/>
                <w:szCs w:val="20"/>
                <w:color w:val="auto"/>
              </w:rPr>
            </w:pPr>
            <w:r>
              <w:rPr>
                <w:rFonts w:ascii="Arial" w:cs="Arial" w:eastAsia="Arial" w:hAnsi="Arial"/>
                <w:sz w:val="18"/>
                <w:szCs w:val="18"/>
                <w:color w:val="auto"/>
                <w:w w:val="84"/>
              </w:rPr>
              <w:t>26,870</w:t>
            </w:r>
            <w:r>
              <w:rPr>
                <w:rFonts w:ascii="Arial" w:cs="Arial" w:eastAsia="Arial" w:hAnsi="Arial"/>
                <w:sz w:val="22"/>
                <w:szCs w:val="22"/>
                <w:color w:val="auto"/>
                <w:w w:val="84"/>
                <w:vertAlign w:val="superscript"/>
              </w:rPr>
              <w:t>(4)</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86"/>
              </w:rPr>
              <w:t>277,521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of Manufacturing and Product Development</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220,000</w:t>
            </w:r>
          </w:p>
        </w:tc>
        <w:tc>
          <w:tcPr>
            <w:tcW w:w="400" w:type="dxa"/>
            <w:vAlign w:val="bottom"/>
          </w:tcPr>
          <w:p>
            <w:pPr>
              <w:spacing w:after="0"/>
              <w:rPr>
                <w:sz w:val="19"/>
                <w:szCs w:val="19"/>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59,484</w:t>
            </w:r>
          </w:p>
        </w:tc>
        <w:tc>
          <w:tcPr>
            <w:tcW w:w="940" w:type="dxa"/>
            <w:vAlign w:val="bottom"/>
          </w:tcPr>
          <w:p>
            <w:pPr>
              <w:jc w:val="center"/>
              <w:spacing w:after="0" w:line="224" w:lineRule="exact"/>
              <w:rPr>
                <w:sz w:val="20"/>
                <w:szCs w:val="20"/>
                <w:color w:val="auto"/>
              </w:rPr>
            </w:pPr>
            <w:r>
              <w:rPr>
                <w:rFonts w:ascii="Arial" w:cs="Arial" w:eastAsia="Arial" w:hAnsi="Arial"/>
                <w:sz w:val="18"/>
                <w:szCs w:val="18"/>
                <w:color w:val="auto"/>
                <w:w w:val="84"/>
              </w:rPr>
              <w:t>29,194</w:t>
            </w:r>
            <w:r>
              <w:rPr>
                <w:rFonts w:ascii="Arial" w:cs="Arial" w:eastAsia="Arial" w:hAnsi="Arial"/>
                <w:sz w:val="22"/>
                <w:szCs w:val="22"/>
                <w:color w:val="auto"/>
                <w:w w:val="84"/>
                <w:vertAlign w:val="superscript"/>
              </w:rPr>
              <w:t>(5)</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w w:val="89"/>
              </w:rPr>
              <w:t>308,678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138,750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85,651</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18,620</w:t>
            </w:r>
            <w:r>
              <w:rPr>
                <w:rFonts w:ascii="Arial" w:cs="Arial" w:eastAsia="Arial" w:hAnsi="Arial"/>
                <w:sz w:val="22"/>
                <w:szCs w:val="22"/>
                <w:color w:val="auto"/>
                <w:w w:val="84"/>
                <w:vertAlign w:val="superscript"/>
              </w:rPr>
              <w:t>(6)</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243,021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185,000</w:t>
            </w: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59,484</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22,372</w:t>
            </w:r>
            <w:r>
              <w:rPr>
                <w:rFonts w:ascii="Arial" w:cs="Arial" w:eastAsia="Arial" w:hAnsi="Arial"/>
                <w:sz w:val="22"/>
                <w:szCs w:val="22"/>
                <w:color w:val="auto"/>
                <w:w w:val="84"/>
                <w:vertAlign w:val="superscript"/>
              </w:rPr>
              <w:t>(7)</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266,856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2"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Reference is made to Note 8 “Stock Based Compensation” in our Form 10-K for the year ended December 31, 2007 filed with the SEC on March 28, 2008, which identifies assumptions made in the valuation of option awards in accordance with SFAS No. 123(R). The amounts listed in this column represent the amount of stock based compensation recognized for financial statement reporting purposes for the year ended December 31, 2007, in accordance with SFAS No. 123(R) and thus may include amounts from awards granted in or prior to 2007 in our operating expenses for the named executive officers for the year ended December 31, 2007.</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$22,220 for health insurance, $17,795 for automobile expenses, $7,800 for company 401(k) contributions and $2,035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$21,785 for health insurance, $15,956 for automobile expenses, $8,800 for company 401(k) contributions and $4,376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$19,937 for health insurance expenses, $6,533 for company 401(k) contributions and $400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$19,572 for health insurance expenses, $8,800 for company 401(k) contributions and $822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$13,070 for health insurance expenses and $5,550 for company 401(k)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$13,572 for health insurance expenses and $8,800 for company 401(k) contributions.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beginning in July 2007.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Chief Executive Officer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an employment contract with Dr. Platt that was filed as an exhibit to our Annual Report on Form 10-K for the year ended December 31, 2003 on March 30, 2004. The agreement, which became effective on January 2, 2004, provides that Dr. Platt shall serve as President and Chief Executive Officer at an initial base salary of $220,000 per year, subject to annual review, and shall receive our standard employee life, disability and health insurance benefits. Dr. Platt is also entitled to receive bonus compensation as follows:</w:t>
      </w:r>
    </w:p>
    <w:p>
      <w:pPr>
        <w:spacing w:after="0" w:line="62" w:lineRule="exact"/>
        <w:rPr>
          <w:sz w:val="20"/>
          <w:szCs w:val="20"/>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consummation of a transaction with a pharmaceutical company expected to result in at least $10,000,000 of equity investment or $50,000,000 of royalty revenue or other substantial benefit as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9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may determine, a cash bonus of $200,000 and fully vested 10-year stock options exercisable at not less than the market value to purchase at least 200,000 of our shares of common stock;</w:t>
      </w:r>
    </w:p>
    <w:p>
      <w:pPr>
        <w:spacing w:after="0" w:line="64" w:lineRule="exact"/>
        <w:rPr>
          <w:sz w:val="20"/>
          <w:szCs w:val="20"/>
          <w:color w:val="auto"/>
        </w:rPr>
      </w:pPr>
    </w:p>
    <w:p>
      <w:pPr>
        <w:ind w:left="900" w:right="3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stock options;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approval by the FDA of each new drug application filed by us for any drug, a cash bonus of $400,000 and 400,000 of stock options; and</w:t>
      </w:r>
    </w:p>
    <w:p>
      <w:pPr>
        <w:spacing w:after="0" w:line="11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Dr.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agreement requires Dr. Platt to assign inventions and other intellectual property to Pro-Pharmaceuticals which he conceives or reduces to practice during employment and for such period as the company pays severance, contains protective provisions concerning confidential information, non-competition and non-solicitation of employees, and provides for indemnification of Dr. Platt.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annual review provided for in his employment agreement, Dr. Platt’s salary was adjusted to $260,000 for 2005.</w:t>
      </w:r>
    </w:p>
    <w:p>
      <w:pPr>
        <w:spacing w:after="0" w:line="252" w:lineRule="exact"/>
        <w:rPr>
          <w:sz w:val="20"/>
          <w:szCs w:val="20"/>
          <w:color w:val="auto"/>
        </w:rPr>
      </w:pPr>
    </w:p>
    <w:p>
      <w:pPr>
        <w:ind w:left="460" w:right="122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and Maureen Foley, Chief Operating Officer </w:t>
      </w:r>
      <w:r>
        <w:rPr>
          <w:rFonts w:ascii="Arial" w:cs="Arial" w:eastAsia="Arial" w:hAnsi="Arial"/>
          <w:sz w:val="18"/>
          <w:szCs w:val="18"/>
          <w:color w:val="auto"/>
        </w:rPr>
        <w:t>We do not have a written employment agreement with Dr. Zomer or Ms. Foley.</w:t>
      </w:r>
    </w:p>
    <w:p>
      <w:pPr>
        <w:spacing w:after="0" w:line="132" w:lineRule="exact"/>
        <w:rPr>
          <w:sz w:val="20"/>
          <w:szCs w:val="20"/>
          <w:color w:val="auto"/>
        </w:rPr>
      </w:pPr>
    </w:p>
    <w:p>
      <w:pPr>
        <w:ind w:left="460" w:right="4840"/>
        <w:spacing w:after="0" w:line="344" w:lineRule="auto"/>
        <w:rPr>
          <w:sz w:val="20"/>
          <w:szCs w:val="20"/>
          <w:color w:val="auto"/>
        </w:rPr>
      </w:pPr>
      <w:r>
        <w:rPr>
          <w:rFonts w:ascii="Arial" w:cs="Arial" w:eastAsia="Arial" w:hAnsi="Arial"/>
          <w:sz w:val="18"/>
          <w:szCs w:val="18"/>
          <w:i w:val="1"/>
          <w:iCs w:val="1"/>
          <w:color w:val="auto"/>
        </w:rPr>
        <w:t>Material Terms of Employment Agreements with Other Key Employees and Executives Theodore D. Zucconi, President</w:t>
      </w:r>
    </w:p>
    <w:p>
      <w:pPr>
        <w:spacing w:after="0" w:line="1"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entered into an employment agreement with Dr. Zucconi on December 19, 2007, which amends and restates his prior employment agreement effective October 1, 2007, and was filed as an exhibit to our Form 8-K Current Report on December 26, 2007. The agreement provides for a monthly salary of $9,167 in 2007, and an annual salary of $220,000 in 2008, payment of 50% of which is deferred until October 1, 2008. He shall be paid a cash bonus of $27,500 before June 1, 2008. Dr. Zucconi is entitled to insurance and other employee benefits, as well as $54,000 for relocation costs and airfare reimbursement for up to 14 round trips to his home in Phoenix, Arizona. The agreement provided for a “sign-on” bonus of 200,000 stock options, which were granted in December 2007. It also entitles him to 10,000 incentive stock options for each $1 million of financing received by us from investors identified by him, as well as 100,000 options if the trading price of our common stock exceeds $5.00 for 20 consecutive trading days prior to October 3, 2008. The agreement provides that all stock options are fully vested on the applicable grant date, have an exercise price equal to the fair market value of our common stock on the grant date, and are exercisable for five years, whether or not Dr. Zucconi is then employed by us. If we enter into a partnership or joint venture with another company resulting in payment to us of upfront fees and milestone payments in excess of $20 million, Dr. Zucconi is entitled to a cash bonus equal to 1% of such fees and payments. The employment agreement has a term of one year, and contains provisions for compensation if Dr. Zucconi’s employment is terminated with or without cause. The agreement requires Dr. Zucconi to assign intellectual property and contains protective provisions including non-competition and non-solicitation.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Anthony D. Squeglia, Chief Financial Officer</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connection with Mr. Squeglia’s appointment effective October 1, 2007 as our Chief Financial Officer, we entered into an employment agreement with him dated December 20, 2007, which was filed as an exhibit to our Form 8-K Current Report on December 20, 2007. Mr. Squeglia’s employment agreement provides for an initial base salary of $180,000 per year, subject to annual review, and our standard health insurance benefits. In the event his employment is terminated “without cause” he is entitled to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Anatole Klyosov, Chief Scientist</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Dr. Klyosov’s employment agreement provides for an initial base salary of $220,000 per year, subject to annual review, and our standard health insurance benefits. In the event his employment is terminated “without cause” he is entitled to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26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summarizes outstanding equity awards held by the named executive officers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Unexercised</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5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5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60" w:type="dxa"/>
            <w:vAlign w:val="bottom"/>
            <w:gridSpan w:val="3"/>
          </w:tcPr>
          <w:p>
            <w:pPr>
              <w:spacing w:after="0"/>
              <w:rPr>
                <w:sz w:val="20"/>
                <w:szCs w:val="20"/>
                <w:color w:val="auto"/>
              </w:rPr>
            </w:pPr>
            <w:r>
              <w:rPr>
                <w:rFonts w:ascii="Arial" w:cs="Arial" w:eastAsia="Arial" w:hAnsi="Arial"/>
                <w:sz w:val="18"/>
                <w:szCs w:val="18"/>
                <w:color w:val="auto"/>
              </w:rPr>
              <w:t>Eliezer Zomer, Ph.D.</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11/14/2012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tcPr>
          <w:p>
            <w:pPr>
              <w:jc w:val="right"/>
              <w:spacing w:after="0"/>
              <w:rPr>
                <w:sz w:val="20"/>
                <w:szCs w:val="20"/>
                <w:color w:val="auto"/>
              </w:rPr>
            </w:pPr>
            <w:r>
              <w:rPr>
                <w:rFonts w:ascii="Arial" w:cs="Arial" w:eastAsia="Arial" w:hAnsi="Arial"/>
                <w:sz w:val="18"/>
                <w:szCs w:val="18"/>
                <w:color w:val="auto"/>
              </w:rPr>
              <w:t>425,000</w:t>
            </w: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09/02/2013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12/21/2014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tcPr>
          <w:p>
            <w:pPr>
              <w:jc w:val="right"/>
              <w:spacing w:after="0"/>
              <w:rPr>
                <w:sz w:val="20"/>
                <w:szCs w:val="20"/>
                <w:color w:val="auto"/>
              </w:rPr>
            </w:pPr>
            <w:r>
              <w:rPr>
                <w:rFonts w:ascii="Arial" w:cs="Arial" w:eastAsia="Arial" w:hAnsi="Arial"/>
                <w:sz w:val="18"/>
                <w:szCs w:val="18"/>
                <w:color w:val="auto"/>
              </w:rPr>
              <w:t>16,667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03/09/2011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03/08/2012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12/14/2011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11/14/2012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03/08/2007</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Options vest annually, in equal increments, over three years beginning the first anniversary of the grant date, provided the grantee is then an employee. The exercise price of the options is set at the closing price of our stock on the date of grant. Grants of options are recommended by the Compensation Committee and adopted by the Board of Directors. No options were exercised in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or Paid</w:t>
            </w: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3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13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Cash</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Awards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60" w:type="dxa"/>
            <w:vAlign w:val="bottom"/>
            <w:gridSpan w:val="3"/>
            <w:vMerge w:val="continue"/>
          </w:tcPr>
          <w:p>
            <w:pPr>
              <w:spacing w:after="0"/>
              <w:rPr>
                <w:sz w:val="15"/>
                <w:szCs w:val="15"/>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215"/>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1"/>
              </w:rPr>
              <w:t>($)</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$19,436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Dale H. Conaway, D.V.M.</w:t>
            </w:r>
          </w:p>
        </w:tc>
        <w:tc>
          <w:tcPr>
            <w:tcW w:w="13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89"/>
              </w:rPr>
              <w:t>$18,983</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$15,008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James T. Gourzis, M.D, Ph.D.</w:t>
            </w:r>
          </w:p>
        </w:tc>
        <w:tc>
          <w:tcPr>
            <w:tcW w:w="13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96"/>
              </w:rPr>
              <w:t>$ 3,076</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96"/>
              </w:rPr>
              <w:t>$ 2,471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  71,200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215"/>
              <w:spacing w:after="0"/>
              <w:rPr>
                <w:sz w:val="20"/>
                <w:szCs w:val="20"/>
                <w:color w:val="auto"/>
              </w:rPr>
            </w:pPr>
            <w:r>
              <w:rPr>
                <w:rFonts w:ascii="Arial" w:cs="Arial" w:eastAsia="Arial" w:hAnsi="Arial"/>
                <w:sz w:val="18"/>
                <w:szCs w:val="18"/>
                <w:color w:val="auto"/>
                <w:w w:val="96"/>
              </w:rPr>
              <w:t>$ 3,333</w:t>
            </w:r>
          </w:p>
        </w:tc>
        <w:tc>
          <w:tcPr>
            <w:tcW w:w="3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215"/>
              <w:spacing w:after="0"/>
              <w:rPr>
                <w:sz w:val="20"/>
                <w:szCs w:val="20"/>
                <w:color w:val="auto"/>
              </w:rPr>
            </w:pPr>
            <w:r>
              <w:rPr>
                <w:rFonts w:ascii="Arial" w:cs="Arial" w:eastAsia="Arial" w:hAnsi="Arial"/>
                <w:sz w:val="18"/>
                <w:szCs w:val="18"/>
                <w:color w:val="auto"/>
                <w:w w:val="89"/>
              </w:rPr>
              <w:t>$19,755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David Platt and Theodore Zucconi who are employees.</w:t>
      </w:r>
    </w:p>
    <w:p>
      <w:pPr>
        <w:spacing w:after="0" w:line="15" w:lineRule="exact"/>
        <w:rPr>
          <w:rFonts w:ascii="Arial" w:cs="Arial" w:eastAsia="Arial" w:hAnsi="Arial"/>
          <w:sz w:val="18"/>
          <w:szCs w:val="18"/>
          <w:color w:val="auto"/>
        </w:rPr>
      </w:pPr>
    </w:p>
    <w:p>
      <w:pPr>
        <w:ind w:left="460" w:right="280" w:hanging="452"/>
        <w:spacing w:after="0" w:line="30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Reflects the dollar amount recognized for financial statement reporting purposes for the fiscal year ended December 31, 2007, in accordance with SFAS No. 123(R) for awards granted in 2007. Reference is made to Note 8 “Stock Based Compensation” in our Form 10-K for the year ended December 31, 2007 filed with the SEC on March 28, 2008, which identifies the assumptions made in the calculation of these amounts.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for in our 2003 Non-employee Directors Stock Incentive Plan, each non-employee director receives a grant of 500 non-qualified stock options for each meeting of our Board, and each meeting of a standing committee of the Board, that such director attended during a year of service. We paid Mr. Prelack $68,000 for service as Chair of the Audit Committee and $3,200 for service on a special committee of the Board providing oversight of our litigation. In March 2007, we made the following supplemental grants of stock options to members of the Board for services provided during 2006: Mildred S. Christian, 18,000; Dale H. Conaway, 17,000; Henry J. Esber, 15,000; and Jerald K. Rome, 17,000.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REGISTERED INDEPENDENT PUBLIC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FIRM</w:t>
      </w:r>
    </w:p>
    <w:p>
      <w:pPr>
        <w:spacing w:after="0" w:line="16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Board of Directors has, subject to the ratification of the stockholders, appointed Deloitte &amp; Touche LLP as the registered independent public accounting firm for Pro-Pharmaceuticals for the fiscal year ending December 31, 2008. Deloitte &amp; Touche LLP has served as in this capacity since February 2002. We do not expect a representative of Deloitte &amp; Touche LLP to be present at the Annual Meeting.</w:t>
      </w:r>
    </w:p>
    <w:p>
      <w:pPr>
        <w:spacing w:after="0" w:line="101"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the registered independent public accounting firm for Pro-Pharmaceuticals for the fiscal year ending December 31, 2008.</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during our 2007 and 2006 fiscal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61"/>
        </w:trPr>
        <w:tc>
          <w:tcPr>
            <w:tcW w:w="11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948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522,494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350,068</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26,500</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20" w:type="dxa"/>
            <w:vAlign w:val="bottom"/>
          </w:tcPr>
          <w:p>
            <w:pPr>
              <w:spacing w:after="0"/>
              <w:rPr>
                <w:sz w:val="18"/>
                <w:szCs w:val="18"/>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583,554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392,308</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583,554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392,308</w:t>
            </w:r>
          </w:p>
        </w:tc>
      </w:tr>
      <w:tr>
        <w:trPr>
          <w:trHeight w:val="20"/>
        </w:trPr>
        <w:tc>
          <w:tcPr>
            <w:tcW w:w="11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included in our Annual Report on Form 10-K,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financial statements included in our Quarterly Reports on Form 10-Q filings, the restatement of our September 30, 2006 and June 30, 2006 Form 10-Q’s, filed on Form 10-Q/A and services that are normally in connection with statutory and regulatory filings or engagements for such fiscal year.</w:t>
      </w:r>
    </w:p>
    <w:p>
      <w:pPr>
        <w:spacing w:after="0" w:line="1"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consultation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its principal auditor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Deloitte &amp; Touche LLP the matters required to be discussed by the Statement on Auditing Standards No. 61, </w:t>
      </w:r>
      <w:r>
        <w:rPr>
          <w:rFonts w:ascii="Arial" w:cs="Arial" w:eastAsia="Arial" w:hAnsi="Arial"/>
          <w:sz w:val="16"/>
          <w:szCs w:val="16"/>
          <w:i w:val="1"/>
          <w:iCs w:val="1"/>
          <w:color w:val="auto"/>
        </w:rPr>
        <w:t>Communication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Audit Committees, As Amended, </w:t>
      </w:r>
      <w:r>
        <w:rPr>
          <w:rFonts w:ascii="Arial" w:cs="Arial" w:eastAsia="Arial" w:hAnsi="Arial"/>
          <w:sz w:val="16"/>
          <w:szCs w:val="16"/>
          <w:color w:val="auto"/>
        </w:rPr>
        <w:t>which includes, among other items, matters related to the conduct of the annual audit of our company’s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has also received and reviewed the written disclosures and the letter from Deloitte &amp; Touche LLP required by The Securities Acts administered by the Securities and Exchange Commission, concerning their independence, as required under applicable independence standards for auditors of public companies, and has discussed with Deloitte &amp; Touche LLP its independence from Pro-Pharmaceuticals.</w:t>
      </w:r>
    </w:p>
    <w:p>
      <w:pPr>
        <w:spacing w:after="0" w:line="118" w:lineRule="exact"/>
        <w:rPr>
          <w:sz w:val="20"/>
          <w:szCs w:val="20"/>
          <w:color w:val="auto"/>
        </w:rPr>
      </w:pPr>
    </w:p>
    <w:p>
      <w:pPr>
        <w:ind w:right="74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2007 fiscal year be included in Annual Report filed on Form 10-K for the year ended December 31, 2007.</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COMMON STOCK FROM 100,000,000 TO 200,000,000</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has approved and has recommended that our stockholders approve, an amendment to our Articles of Incorporation providing for an increase in the number of authorized shares of our common stock from 100,000,000 to 200,000,000. This amendment is attached as an Appendix to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11, 2008:</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47,864,792 shares of our common stock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were 6,000,000 shares of our common stock reserved for future issuance under our stock incentive plans and outstanding options,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1,742,500 shares of our common stock reserved for future issuance upon the conversion of outstanding shares of our Series A 12% Convertible Preferred Stock,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28,762,354 shares of our common stock reserved for issuance upon exercise of outstanding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as of April 11, 2008, there were an aggregate of 82,047,500 shares outstanding or reserved for issuance.</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additional 100,000,000 authorized shares of common stock would be available for issuance in the future for corporate purposes, such as financings, acquisitions, stock splits, stock dividends and management incentive and employee benefit plans, as our Board of Directors may deem advisable, without the necessity of further stockholder action.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issuance of additional shares of our common stock would have the effect of diluting our current stockholders and could have the effect of making it more difficult for a third party to acquire, or discouraging a third party from attempting to acquire, control of us. We are not aware of any attempts on the part of a third party to effect a change of control of us and the amendment has been proposed for the reasons stated above and not for any possible anti-takeover effects it may have.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shareholder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1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The Board of Directors recommends you vote FOR the proposal to approve an amendment to our Articles of Incorporation providing for an increase in the number of authorized shares of our common stock from 100,000,000 to 200,000,000.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2007.</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officers and directors, and persons who own more than ten percent of our common stock, to file reports of ownership and changes of ownership of such securities with the SEC. Based on a review of our records, we believe a Form 3 was filed late with respect to Mr. Neill.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2009 ANNUAL MEETING</w:t>
      </w:r>
    </w:p>
    <w:p>
      <w:pPr>
        <w:spacing w:after="0" w:line="1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2009 annual meeting of stockholders, the proposal must be received by us, attention: Anthony D. Squeglia, Chief Financial Officer, at our principal executive offices by December 21, 2008. Also in accordance with SEC guidelines, if a stockholder notifies us of that stockholder’s intent to present a proposal at our 2009 annual meeting of stockholders after March 5, 2009, we may, acting through the persons named as proxies in the proxy materials for that meeting, exercise discretionary voting authority with respect to the proposal without including information about the proposal in our proxy materials. However, in either case, if the date of the 2009 annual meeting is changed by more than 30 days from the date of the 2008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2007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Newton, Massachusetts 02459, Attention: Chief Financial Officer;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 2008</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Appendix contains a copy of the Certificate of Amendment, to be filed with the Secretary of State of the State of Nevada,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amendment described in the proxy statement to which this Exhibit is attached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 of Amendment to Articles of Incorporation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Nevada Profit Corporations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NRS 78.385 and 78.390—After Issuance of Stock)</w:t>
      </w:r>
    </w:p>
    <w:p>
      <w:pPr>
        <w:spacing w:after="0" w:line="20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corporation: Pro-Pharmaceuticals,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17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Article III of the Articles of Incorporation of Pro-Pharmaceuticals, Inc. has been amended to increase the number of authorized common voting shares to 200,000,000, and shall read in its entirety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Authorized Shares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corporation shall have authority to issue an aggregate of 200,000,000 shares, which shall be common voting shares having a par value of $0.001 per share, and 10,000,000 undesignated shares having a par value of $0.01 per share. The Board of Directors may, from time to time, prescribe by resolution different classes or series of the undesignated shares, the number of shares of such class or series within the limit of the authorized undesignated shares, and the voting powers, designations, rights, preferences, restrictions and the relative rights of said shares in each such class or series.</w:t>
      </w:r>
    </w:p>
    <w:p>
      <w:pPr>
        <w:spacing w:after="0" w:line="153" w:lineRule="exact"/>
        <w:rPr>
          <w:sz w:val="20"/>
          <w:szCs w:val="20"/>
          <w:color w:val="auto"/>
        </w:rPr>
      </w:pPr>
    </w:p>
    <w:p>
      <w:pPr>
        <w:ind w:left="460" w:right="44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[to be completed]</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-13970</wp:posOffset>
            </wp:positionV>
            <wp:extent cx="1923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0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Officer Signature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-13970</wp:posOffset>
            </wp:positionV>
            <wp:extent cx="2146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8"/>
          <w:szCs w:val="18"/>
          <w:color w:val="auto"/>
        </w:rPr>
        <w:t>Theodore D. Zucconi, President</w:t>
      </w:r>
    </w:p>
    <w:p>
      <w:pPr>
        <w:sectPr>
          <w:pgSz w:w="11900" w:h="16838" w:orient="portrait"/>
          <w:cols w:equalWidth="0" w:num="1">
            <w:col w:w="11420"/>
          </w:cols>
          <w:pgMar w:left="240" w:top="274"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PROXY</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231"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11, 2008 at the 2008 Annual Meeting of Stockholders of Pro-Pharmaceuticals, Inc. to be held on May 21, 2008 or at any adjournment thereof.</w:t>
      </w:r>
    </w:p>
    <w:p>
      <w:pPr>
        <w:spacing w:after="0" w:line="200" w:lineRule="exact"/>
        <w:rPr>
          <w:sz w:val="20"/>
          <w:szCs w:val="20"/>
          <w:color w:val="auto"/>
        </w:rPr>
      </w:pPr>
    </w:p>
    <w:p>
      <w:pPr>
        <w:spacing w:after="0" w:line="279"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21" w:name="page22"/>
    <w:bookmarkEnd w:id="21"/>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PRO-PHARMACEUTICALS, INC.</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320"/>
        <w:spacing w:after="0"/>
        <w:rPr>
          <w:sz w:val="20"/>
          <w:szCs w:val="20"/>
          <w:color w:val="auto"/>
        </w:rPr>
      </w:pPr>
      <w:r>
        <w:rPr>
          <w:rFonts w:ascii="Arial" w:cs="Arial" w:eastAsia="Arial" w:hAnsi="Arial"/>
          <w:sz w:val="18"/>
          <w:szCs w:val="18"/>
          <w:b w:val="1"/>
          <w:bCs w:val="1"/>
          <w:color w:val="auto"/>
        </w:rPr>
        <w:t>q FOLD AND DETACH HERE AND READ THE REVERSE SIDE q</w:t>
      </w:r>
    </w:p>
    <w:p>
      <w:pPr>
        <w:spacing w:after="0" w:line="25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PROXY</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THIS PROXY WILL BE VOTED AS DIRECTED. IF NO DIRECTION IS INDICATED FOR PROPOSALS 1, 2 &amp; 3 EACH WILL BE VOTED “FOR” THE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220" w:right="140" w:hanging="303"/>
        <w:spacing w:after="0" w:line="355" w:lineRule="exact"/>
        <w:rPr>
          <w:sz w:val="20"/>
          <w:szCs w:val="20"/>
          <w:color w:val="auto"/>
        </w:rPr>
      </w:pPr>
      <w:r>
        <w:rPr>
          <w:rFonts w:ascii="Arial" w:cs="Arial" w:eastAsia="Arial" w:hAnsi="Arial"/>
          <w:sz w:val="14"/>
          <w:szCs w:val="14"/>
          <w:color w:val="auto"/>
        </w:rPr>
        <w:t>your votes like</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this</w:t>
      </w:r>
    </w:p>
    <w:p>
      <w:pPr>
        <w:spacing w:after="0" w:line="256" w:lineRule="exact"/>
        <w:rPr>
          <w:sz w:val="20"/>
          <w:szCs w:val="20"/>
          <w:color w:val="auto"/>
        </w:rPr>
      </w:pPr>
    </w:p>
    <w:p>
      <w:pPr>
        <w:sectPr>
          <w:pgSz w:w="11900" w:h="16838" w:orient="portrait"/>
          <w:cols w:equalWidth="0" w:num="2">
            <w:col w:w="9100" w:space="700"/>
            <w:col w:w="1620"/>
          </w:cols>
          <w:pgMar w:left="240" w:top="144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VOTE FOR ALL</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WITHHOLD</w:t>
            </w:r>
          </w:p>
        </w:tc>
        <w:tc>
          <w:tcPr>
            <w:tcW w:w="0" w:type="dxa"/>
            <w:vAlign w:val="bottom"/>
          </w:tcPr>
          <w:p>
            <w:pPr>
              <w:spacing w:after="0"/>
              <w:rPr>
                <w:sz w:val="1"/>
                <w:szCs w:val="1"/>
                <w:color w:val="auto"/>
              </w:rPr>
            </w:pPr>
          </w:p>
        </w:tc>
      </w:tr>
      <w:tr>
        <w:trPr>
          <w:trHeight w:val="172"/>
        </w:trPr>
        <w:tc>
          <w:tcPr>
            <w:tcW w:w="1880" w:type="dxa"/>
            <w:vAlign w:val="bottom"/>
            <w:vMerge w:val="restart"/>
          </w:tcPr>
          <w:p>
            <w:pPr>
              <w:spacing w:after="0"/>
              <w:rPr>
                <w:sz w:val="20"/>
                <w:szCs w:val="20"/>
                <w:color w:val="auto"/>
              </w:rPr>
            </w:pPr>
            <w:r>
              <w:rPr>
                <w:rFonts w:ascii="Arial" w:cs="Arial" w:eastAsia="Arial" w:hAnsi="Arial"/>
                <w:sz w:val="14"/>
                <w:szCs w:val="14"/>
                <w:color w:val="auto"/>
                <w:w w:val="95"/>
              </w:rPr>
              <w:t>1. ELECTION OF DIRECTORS</w:t>
            </w:r>
          </w:p>
        </w:tc>
        <w:tc>
          <w:tcPr>
            <w:tcW w:w="1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NOMINEES</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AUTHORITY</w:t>
            </w:r>
          </w:p>
        </w:tc>
        <w:tc>
          <w:tcPr>
            <w:tcW w:w="0" w:type="dxa"/>
            <w:vAlign w:val="bottom"/>
          </w:tcPr>
          <w:p>
            <w:pPr>
              <w:spacing w:after="0"/>
              <w:rPr>
                <w:sz w:val="1"/>
                <w:szCs w:val="1"/>
                <w:color w:val="auto"/>
              </w:rPr>
            </w:pPr>
          </w:p>
        </w:tc>
      </w:tr>
      <w:tr>
        <w:trPr>
          <w:trHeight w:val="28"/>
        </w:trPr>
        <w:tc>
          <w:tcPr>
            <w:tcW w:w="188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The Board of Directors recommends a vote “FOR” the listed</w:t>
            </w:r>
          </w:p>
        </w:tc>
        <w:tc>
          <w:tcPr>
            <w:tcW w:w="11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b w:val="1"/>
                <w:bCs w:val="1"/>
                <w:color w:val="auto"/>
              </w:rPr>
              <w:t>nominees.</w:t>
            </w:r>
          </w:p>
        </w:tc>
        <w:tc>
          <w:tcPr>
            <w:tcW w:w="18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To withhold authority to vote for any individual nominee, strike</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a line through that nominee’s name below:</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Mildred S. Christian, Ph.D.</w:t>
            </w: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Dale H. Conaway, D.V.M.</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7"/>
              </w:rPr>
              <w:t>Henry J. Esber, Ph.D.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w w:val="97"/>
              </w:rPr>
              <w:t>James T. Gourzis, M.D., Ph.D.</w:t>
            </w:r>
          </w:p>
        </w:tc>
        <w:tc>
          <w:tcPr>
            <w:tcW w:w="1800" w:type="dxa"/>
            <w:vAlign w:val="bottom"/>
          </w:tcPr>
          <w:p>
            <w:pPr>
              <w:ind w:left="100"/>
              <w:spacing w:after="0" w:line="149" w:lineRule="exact"/>
              <w:rPr>
                <w:sz w:val="20"/>
                <w:szCs w:val="20"/>
                <w:color w:val="auto"/>
              </w:rPr>
            </w:pPr>
            <w:r>
              <w:rPr>
                <w:rFonts w:ascii="Arial" w:cs="Arial" w:eastAsia="Arial" w:hAnsi="Arial"/>
                <w:sz w:val="14"/>
                <w:szCs w:val="14"/>
                <w:color w:val="auto"/>
              </w:rPr>
              <w:t>S. Colin Neill</w:t>
            </w: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David Platt, Ph.D.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Arial" w:cs="Arial" w:eastAsia="Arial" w:hAnsi="Arial"/>
                <w:sz w:val="14"/>
                <w:szCs w:val="14"/>
                <w:color w:val="auto"/>
              </w:rPr>
              <w:t>Steven Prelack</w:t>
            </w:r>
          </w:p>
        </w:tc>
        <w:tc>
          <w:tcPr>
            <w:tcW w:w="1800" w:type="dxa"/>
            <w:vAlign w:val="bottom"/>
          </w:tcPr>
          <w:p>
            <w:pPr>
              <w:ind w:left="80"/>
              <w:spacing w:after="0"/>
              <w:rPr>
                <w:sz w:val="20"/>
                <w:szCs w:val="20"/>
                <w:color w:val="auto"/>
              </w:rPr>
            </w:pPr>
            <w:r>
              <w:rPr>
                <w:rFonts w:ascii="Arial" w:cs="Arial" w:eastAsia="Arial" w:hAnsi="Arial"/>
                <w:sz w:val="14"/>
                <w:szCs w:val="14"/>
                <w:color w:val="auto"/>
              </w:rPr>
              <w:t>Jerald K. Rome</w:t>
            </w:r>
          </w:p>
        </w:tc>
        <w:tc>
          <w:tcPr>
            <w:tcW w:w="1980" w:type="dxa"/>
            <w:vAlign w:val="bottom"/>
            <w:gridSpan w:val="2"/>
          </w:tcPr>
          <w:p>
            <w:pPr>
              <w:ind w:left="40"/>
              <w:spacing w:after="0"/>
              <w:rPr>
                <w:sz w:val="20"/>
                <w:szCs w:val="20"/>
                <w:color w:val="auto"/>
              </w:rPr>
            </w:pPr>
            <w:r>
              <w:rPr>
                <w:rFonts w:ascii="Arial" w:cs="Arial" w:eastAsia="Arial" w:hAnsi="Arial"/>
                <w:sz w:val="14"/>
                <w:szCs w:val="14"/>
                <w:color w:val="auto"/>
              </w:rPr>
              <w:t>Theodore Zucconi,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25" w:right="20" w:hanging="225"/>
        <w:spacing w:after="0" w:line="263" w:lineRule="auto"/>
        <w:tabs>
          <w:tab w:leader="none" w:pos="144"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RATIFICATION OF APPOINTMENT OF DELOITTE &amp; TOUCHE LLP AS THE REGISTERED INDEPENDENT PUBLIC ACCOUNTING FIRM FOR PRO-PHARMACEUTICALS FOR 2008. </w:t>
      </w:r>
      <w:r>
        <w:rPr>
          <w:rFonts w:ascii="Arial" w:cs="Arial" w:eastAsia="Arial" w:hAnsi="Arial"/>
          <w:sz w:val="12"/>
          <w:szCs w:val="12"/>
          <w:b w:val="1"/>
          <w:bCs w:val="1"/>
          <w:color w:val="auto"/>
        </w:rPr>
        <w:t>The Board of</w:t>
      </w:r>
    </w:p>
    <w:p>
      <w:pPr>
        <w:spacing w:after="0" w:line="1" w:lineRule="exact"/>
        <w:rPr>
          <w:rFonts w:ascii="Arial" w:cs="Arial" w:eastAsia="Arial" w:hAnsi="Arial"/>
          <w:sz w:val="12"/>
          <w:szCs w:val="12"/>
          <w:color w:val="auto"/>
        </w:rPr>
      </w:pPr>
    </w:p>
    <w:p>
      <w:pPr>
        <w:ind w:left="225"/>
        <w:spacing w:after="0"/>
        <w:rPr>
          <w:rFonts w:ascii="Arial" w:cs="Arial" w:eastAsia="Arial" w:hAnsi="Arial"/>
          <w:sz w:val="12"/>
          <w:szCs w:val="12"/>
          <w:color w:val="auto"/>
        </w:rPr>
      </w:pPr>
      <w:r>
        <w:rPr>
          <w:rFonts w:ascii="Arial" w:cs="Arial" w:eastAsia="Arial" w:hAnsi="Arial"/>
          <w:sz w:val="12"/>
          <w:szCs w:val="12"/>
          <w:b w:val="1"/>
          <w:bCs w:val="1"/>
          <w:color w:val="auto"/>
        </w:rPr>
        <w:t>Directors recommends a vote “FOR” this proposal.</w:t>
      </w:r>
    </w:p>
    <w:p>
      <w:pPr>
        <w:spacing w:after="0" w:line="160" w:lineRule="exact"/>
        <w:rPr>
          <w:rFonts w:ascii="Arial" w:cs="Arial" w:eastAsia="Arial" w:hAnsi="Arial"/>
          <w:sz w:val="12"/>
          <w:szCs w:val="12"/>
          <w:color w:val="auto"/>
        </w:rPr>
      </w:pPr>
    </w:p>
    <w:p>
      <w:pPr>
        <w:ind w:left="225" w:hanging="225"/>
        <w:spacing w:after="0" w:line="270" w:lineRule="auto"/>
        <w:tabs>
          <w:tab w:leader="none" w:pos="137"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APPROVAL OF AN AMENDMENT TO THE ARTICLES OF INCORPORATION OF PRO-PHARMACEUTICALS INCREASING THE NUMBER OF AUTHORIZED SHARES OF COMMON STOCK FROM 100,000,000 TO 200,000,000. </w:t>
      </w:r>
      <w:r>
        <w:rPr>
          <w:rFonts w:ascii="Arial" w:cs="Arial" w:eastAsia="Arial" w:hAnsi="Arial"/>
          <w:sz w:val="12"/>
          <w:szCs w:val="12"/>
          <w:b w:val="1"/>
          <w:bCs w:val="1"/>
          <w:color w:val="auto"/>
        </w:rPr>
        <w:t>The Board of Directors recommends a</w:t>
      </w:r>
      <w:r>
        <w:rPr>
          <w:rFonts w:ascii="Arial" w:cs="Arial" w:eastAsia="Arial" w:hAnsi="Arial"/>
          <w:sz w:val="12"/>
          <w:szCs w:val="12"/>
          <w:color w:val="auto"/>
        </w:rPr>
        <w:t xml:space="preserve"> </w:t>
      </w:r>
      <w:r>
        <w:rPr>
          <w:rFonts w:ascii="Arial" w:cs="Arial" w:eastAsia="Arial" w:hAnsi="Arial"/>
          <w:sz w:val="12"/>
          <w:szCs w:val="12"/>
          <w:b w:val="1"/>
          <w:bCs w:val="1"/>
          <w:color w:val="auto"/>
        </w:rPr>
        <w:t>vote “FOR” this proposal.</w:t>
      </w:r>
    </w:p>
    <w:p>
      <w:pPr>
        <w:spacing w:after="0" w:line="20" w:lineRule="exact"/>
        <w:rPr>
          <w:sz w:val="20"/>
          <w:szCs w:val="20"/>
          <w:color w:val="auto"/>
        </w:rPr>
      </w:pPr>
      <w:r>
        <w:rPr>
          <w:sz w:val="20"/>
          <w:szCs w:val="20"/>
          <w:color w:val="auto"/>
        </w:rPr>
        <w:br w:type="column"/>
      </w:r>
    </w:p>
    <w:p>
      <w:pPr>
        <w:ind w:left="20"/>
        <w:spacing w:after="0"/>
        <w:tabs>
          <w:tab w:leader="none" w:pos="620" w:val="left"/>
          <w:tab w:leader="none" w:pos="13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11" w:lineRule="exact"/>
        <w:rPr>
          <w:sz w:val="20"/>
          <w:szCs w:val="20"/>
          <w:color w:val="auto"/>
        </w:rPr>
      </w:pPr>
    </w:p>
    <w:p>
      <w:pPr>
        <w:spacing w:after="0" w:line="321" w:lineRule="exact"/>
        <w:tabs>
          <w:tab w:leader="none" w:pos="760" w:val="left"/>
          <w:tab w:leader="none" w:pos="150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30"/>
          <w:szCs w:val="30"/>
          <w:color w:val="auto"/>
        </w:rPr>
        <w:t>☐</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620" w:val="left"/>
          <w:tab w:leader="none" w:pos="13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0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30"/>
          <w:szCs w:val="30"/>
          <w:color w:val="auto"/>
        </w:rPr>
        <w:t>☐</w:t>
      </w:r>
    </w:p>
    <w:p>
      <w:pPr>
        <w:spacing w:after="0" w:line="655" w:lineRule="exact"/>
        <w:rPr>
          <w:sz w:val="20"/>
          <w:szCs w:val="20"/>
          <w:color w:val="auto"/>
        </w:rPr>
      </w:pPr>
    </w:p>
    <w:p>
      <w:pPr>
        <w:sectPr>
          <w:pgSz w:w="11900" w:h="16838" w:orient="portrait"/>
          <w:cols w:equalWidth="0" w:num="3">
            <w:col w:w="5660" w:space="115"/>
            <w:col w:w="3385" w:space="300"/>
            <w:col w:w="1960"/>
          </w:cols>
          <w:pgMar w:left="240" w:top="1440" w:right="239" w:bottom="1440" w:gutter="0" w:footer="0" w:header="0"/>
          <w:type w:val="continuous"/>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40" w:type="dxa"/>
            <w:vAlign w:val="bottom"/>
            <w:gridSpan w:val="3"/>
          </w:tcPr>
          <w:p>
            <w:pPr>
              <w:jc w:val="center"/>
              <w:ind w:left="2772"/>
              <w:spacing w:after="0"/>
              <w:rPr>
                <w:sz w:val="20"/>
                <w:szCs w:val="20"/>
                <w:color w:val="auto"/>
              </w:rPr>
            </w:pPr>
            <w:r>
              <w:rPr>
                <w:rFonts w:ascii="Arial" w:cs="Arial" w:eastAsia="Arial" w:hAnsi="Arial"/>
                <w:sz w:val="18"/>
                <w:szCs w:val="18"/>
                <w:b w:val="1"/>
                <w:bCs w:val="1"/>
                <w:color w:val="auto"/>
                <w:w w:val="99"/>
              </w:rPr>
              <w:t>COMPANY ID:</w:t>
            </w:r>
          </w:p>
        </w:tc>
        <w:tc>
          <w:tcPr>
            <w:tcW w:w="20" w:type="dxa"/>
            <w:vAlign w:val="bottom"/>
          </w:tcPr>
          <w:p>
            <w:pPr>
              <w:spacing w:after="0"/>
              <w:rPr>
                <w:sz w:val="19"/>
                <w:szCs w:val="19"/>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PROXY NUMBER:</w:t>
            </w:r>
          </w:p>
        </w:tc>
        <w:tc>
          <w:tcPr>
            <w:tcW w:w="20" w:type="dxa"/>
            <w:vAlign w:val="bottom"/>
          </w:tcPr>
          <w:p>
            <w:pPr>
              <w:spacing w:after="0"/>
              <w:rPr>
                <w:sz w:val="24"/>
                <w:szCs w:val="24"/>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ACCOUNT NUMBER:</w:t>
            </w:r>
          </w:p>
        </w:tc>
        <w:tc>
          <w:tcPr>
            <w:tcW w:w="20" w:type="dxa"/>
            <w:vAlign w:val="bottom"/>
          </w:tcPr>
          <w:p>
            <w:pPr>
              <w:spacing w:after="0"/>
              <w:rPr>
                <w:sz w:val="24"/>
                <w:szCs w:val="24"/>
                <w:color w:val="auto"/>
              </w:rPr>
            </w:pPr>
          </w:p>
        </w:tc>
      </w:tr>
      <w:tr>
        <w:trPr>
          <w:trHeight w:val="515"/>
        </w:trPr>
        <w:tc>
          <w:tcPr>
            <w:tcW w:w="64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79"/>
              </w:rPr>
              <w:t>,</w:t>
            </w: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2008</w:t>
            </w:r>
          </w:p>
        </w:tc>
        <w:tc>
          <w:tcPr>
            <w:tcW w:w="304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0" w:lineRule="exact"/>
        <w:rPr>
          <w:sz w:val="20"/>
          <w:szCs w:val="20"/>
          <w:color w:val="auto"/>
        </w:rPr>
      </w:pPr>
    </w:p>
    <w:p>
      <w:pPr>
        <w:jc w:val="both"/>
        <w:ind w:right="20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lvl w:ilvl="1">
      <w:lvlJc w:val="left"/>
      <w:lvlText w:val="(%2)"/>
      <w:numFmt w:val="decimal"/>
      <w:start w:val="1"/>
    </w:lvl>
  </w:abstractNum>
  <w:abstractNum w:abstractNumId="4">
    <w:nsid w:val="140E0F76"/>
    <w:multiLevelType w:val="hybridMultilevel"/>
    <w:lvl w:ilvl="0">
      <w:lvlJc w:val="left"/>
      <w:lvlText w:val="\emdash "/>
      <w:numFmt w:val="bullet"/>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4"/>
    </w:lvl>
  </w:abstractNum>
  <w:abstractNum w:abstractNumId="9">
    <w:nsid w:val="1BEFD79F"/>
    <w:multiLevelType w:val="hybridMultilevel"/>
    <w:lvl w:ilvl="0">
      <w:lvlJc w:val="left"/>
      <w:lvlText w:val="(%1)"/>
      <w:numFmt w:val="lowerRoman"/>
      <w:start w:val="5"/>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2019-12-11T15:43:13Z</dcterms:created>
  <dcterms:modified xsi:type="dcterms:W3CDTF">2019-12-11T15:43:13Z</dcterms:modified>
</cp:coreProperties>
</file>