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276225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22" w:lineRule="exact"/>
        <w:rPr>
          <w:sz w:val="24"/>
          <w:szCs w:val="24"/>
          <w:color w:val="auto"/>
        </w:rPr>
      </w:pPr>
    </w:p>
    <w:p>
      <w:pPr>
        <w:ind w:left="460" w:hanging="453"/>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2" w:lineRule="exact"/>
        <w:rPr>
          <w:sz w:val="24"/>
          <w:szCs w:val="24"/>
          <w:color w:val="auto"/>
        </w:rPr>
      </w:pPr>
    </w:p>
    <w:p>
      <w:pPr>
        <w:ind w:left="34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-8255</wp:posOffset>
            </wp:positionV>
            <wp:extent cx="1287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tbl>
      <w:tblPr>
        <w:tblLayout w:type="fixed"/>
        <w:tblInd w:w="1120" w:type="dxa"/>
        <w:tblCellMar>
          <w:top w:w="0" w:type="dxa"/>
          <w:left w:w="0" w:type="dxa"/>
          <w:bottom w:w="0" w:type="dxa"/>
          <w:right w:w="0" w:type="dxa"/>
        </w:tblCellMar>
      </w:tblPr>
      <w:tr>
        <w:trPr>
          <w:trHeight w:val="215"/>
        </w:trPr>
        <w:tc>
          <w:tcPr>
            <w:tcW w:w="366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Nevada</w:t>
            </w:r>
          </w:p>
        </w:tc>
        <w:tc>
          <w:tcPr>
            <w:tcW w:w="5020" w:type="dxa"/>
            <w:vAlign w:val="bottom"/>
          </w:tcPr>
          <w:p>
            <w:pPr>
              <w:jc w:val="right"/>
              <w:ind w:right="851"/>
              <w:spacing w:after="0"/>
              <w:rPr>
                <w:sz w:val="20"/>
                <w:szCs w:val="20"/>
                <w:color w:val="auto"/>
              </w:rPr>
            </w:pPr>
            <w:r>
              <w:rPr>
                <w:rFonts w:ascii="Arial" w:cs="Arial" w:eastAsia="Arial" w:hAnsi="Arial"/>
                <w:sz w:val="18"/>
                <w:szCs w:val="18"/>
                <w:b w:val="1"/>
                <w:bCs w:val="1"/>
                <w:color w:val="auto"/>
              </w:rPr>
              <w:t>04-3562325</w:t>
            </w:r>
          </w:p>
        </w:tc>
      </w:tr>
      <w:tr>
        <w:trPr>
          <w:trHeight w:val="233"/>
        </w:trPr>
        <w:tc>
          <w:tcPr>
            <w:tcW w:w="366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5020" w:type="dxa"/>
            <w:vAlign w:val="bottom"/>
          </w:tcPr>
          <w:p>
            <w:pPr>
              <w:jc w:val="center"/>
              <w:ind w:left="2191"/>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1"/>
        </w:trPr>
        <w:tc>
          <w:tcPr>
            <w:tcW w:w="366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4960 Peachtree Industrial Blvd.,</w:t>
            </w:r>
          </w:p>
        </w:tc>
        <w:tc>
          <w:tcPr>
            <w:tcW w:w="5020" w:type="dxa"/>
            <w:vAlign w:val="bottom"/>
          </w:tcPr>
          <w:p>
            <w:pPr>
              <w:spacing w:after="0"/>
              <w:rPr>
                <w:sz w:val="24"/>
                <w:szCs w:val="24"/>
                <w:color w:val="auto"/>
              </w:rPr>
            </w:pPr>
          </w:p>
        </w:tc>
      </w:tr>
      <w:tr>
        <w:trPr>
          <w:trHeight w:val="215"/>
        </w:trPr>
        <w:tc>
          <w:tcPr>
            <w:tcW w:w="3660" w:type="dxa"/>
            <w:vAlign w:val="bottom"/>
          </w:tcPr>
          <w:p>
            <w:pPr>
              <w:jc w:val="center"/>
              <w:ind w:right="191"/>
              <w:spacing w:after="0"/>
              <w:rPr>
                <w:sz w:val="20"/>
                <w:szCs w:val="20"/>
                <w:color w:val="auto"/>
              </w:rPr>
            </w:pPr>
            <w:r>
              <w:rPr>
                <w:rFonts w:ascii="Arial" w:cs="Arial" w:eastAsia="Arial" w:hAnsi="Arial"/>
                <w:sz w:val="18"/>
                <w:szCs w:val="18"/>
                <w:b w:val="1"/>
                <w:bCs w:val="1"/>
                <w:color w:val="auto"/>
                <w:w w:val="88"/>
              </w:rPr>
              <w:t>Suite 240, Norcross, GA</w:t>
            </w:r>
          </w:p>
        </w:tc>
        <w:tc>
          <w:tcPr>
            <w:tcW w:w="5020" w:type="dxa"/>
            <w:vAlign w:val="bottom"/>
          </w:tcPr>
          <w:p>
            <w:pPr>
              <w:jc w:val="right"/>
              <w:ind w:right="1051"/>
              <w:spacing w:after="0"/>
              <w:rPr>
                <w:sz w:val="20"/>
                <w:szCs w:val="20"/>
                <w:color w:val="auto"/>
              </w:rPr>
            </w:pPr>
            <w:r>
              <w:rPr>
                <w:rFonts w:ascii="Arial" w:cs="Arial" w:eastAsia="Arial" w:hAnsi="Arial"/>
                <w:sz w:val="18"/>
                <w:szCs w:val="18"/>
                <w:b w:val="1"/>
                <w:bCs w:val="1"/>
                <w:color w:val="auto"/>
              </w:rPr>
              <w:t>30071</w:t>
            </w:r>
          </w:p>
        </w:tc>
      </w:tr>
      <w:tr>
        <w:trPr>
          <w:trHeight w:val="233"/>
        </w:trPr>
        <w:tc>
          <w:tcPr>
            <w:tcW w:w="366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5020" w:type="dxa"/>
            <w:vAlign w:val="bottom"/>
          </w:tcPr>
          <w:p>
            <w:pPr>
              <w:jc w:val="center"/>
              <w:ind w:left="2191"/>
              <w:spacing w:after="0"/>
              <w:rPr>
                <w:sz w:val="20"/>
                <w:szCs w:val="20"/>
                <w:color w:val="auto"/>
              </w:rPr>
            </w:pPr>
            <w:r>
              <w:rPr>
                <w:rFonts w:ascii="Arial" w:cs="Arial" w:eastAsia="Arial" w:hAnsi="Arial"/>
                <w:sz w:val="18"/>
                <w:szCs w:val="18"/>
                <w:b w:val="1"/>
                <w:bCs w:val="1"/>
                <w:color w:val="auto"/>
                <w:w w:val="92"/>
              </w:rPr>
              <w:t>(Zip Code)</w:t>
            </w:r>
          </w:p>
        </w:tc>
      </w:tr>
      <w:tr>
        <w:trPr>
          <w:trHeight w:val="429"/>
        </w:trPr>
        <w:tc>
          <w:tcPr>
            <w:tcW w:w="3660" w:type="dxa"/>
            <w:vAlign w:val="bottom"/>
          </w:tcPr>
          <w:p>
            <w:pPr>
              <w:spacing w:after="0"/>
              <w:rPr>
                <w:sz w:val="24"/>
                <w:szCs w:val="24"/>
                <w:color w:val="auto"/>
              </w:rPr>
            </w:pPr>
          </w:p>
        </w:tc>
        <w:tc>
          <w:tcPr>
            <w:tcW w:w="5020" w:type="dxa"/>
            <w:vAlign w:val="bottom"/>
          </w:tcPr>
          <w:p>
            <w:pPr>
              <w:jc w:val="right"/>
              <w:ind w:right="3511"/>
              <w:spacing w:after="0"/>
              <w:rPr>
                <w:sz w:val="20"/>
                <w:szCs w:val="20"/>
                <w:color w:val="auto"/>
              </w:rPr>
            </w:pPr>
            <w:r>
              <w:rPr>
                <w:rFonts w:ascii="Arial" w:cs="Arial" w:eastAsia="Arial" w:hAnsi="Arial"/>
                <w:sz w:val="18"/>
                <w:szCs w:val="18"/>
                <w:b w:val="1"/>
                <w:bCs w:val="1"/>
                <w:color w:val="auto"/>
              </w:rPr>
              <w:t>(678) 620 -3186</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640" w:type="dxa"/>
            <w:vAlign w:val="bottom"/>
          </w:tcPr>
          <w:p>
            <w:pPr>
              <w:spacing w:after="0"/>
              <w:rPr>
                <w:sz w:val="20"/>
                <w:szCs w:val="20"/>
                <w:color w:val="auto"/>
              </w:rPr>
            </w:pPr>
          </w:p>
        </w:tc>
        <w:tc>
          <w:tcPr>
            <w:tcW w:w="8600" w:type="dxa"/>
            <w:vAlign w:val="bottom"/>
            <w:gridSpan w:val="2"/>
          </w:tcPr>
          <w:p>
            <w:pPr>
              <w:jc w:val="center"/>
              <w:ind w:right="2531"/>
              <w:spacing w:after="0"/>
              <w:rPr>
                <w:sz w:val="20"/>
                <w:szCs w:val="20"/>
                <w:color w:val="auto"/>
              </w:rPr>
            </w:pPr>
            <w:r>
              <w:rPr>
                <w:rFonts w:ascii="Arial" w:cs="Arial" w:eastAsia="Arial" w:hAnsi="Arial"/>
                <w:sz w:val="18"/>
                <w:szCs w:val="18"/>
                <w:b w:val="1"/>
                <w:bCs w:val="1"/>
                <w:color w:val="auto"/>
                <w:w w:val="88"/>
              </w:rPr>
              <w:t>Securities registered or to be registered pursuant to Section 12(b) of the Act.</w:t>
            </w:r>
          </w:p>
        </w:tc>
      </w:tr>
      <w:tr>
        <w:trPr>
          <w:trHeight w:val="411"/>
        </w:trPr>
        <w:tc>
          <w:tcPr>
            <w:tcW w:w="2640" w:type="dxa"/>
            <w:vAlign w:val="bottom"/>
          </w:tcPr>
          <w:p>
            <w:pPr>
              <w:spacing w:after="0"/>
              <w:rPr>
                <w:sz w:val="24"/>
                <w:szCs w:val="24"/>
                <w:color w:val="auto"/>
              </w:rPr>
            </w:pPr>
          </w:p>
        </w:tc>
        <w:tc>
          <w:tcPr>
            <w:tcW w:w="4540" w:type="dxa"/>
            <w:vAlign w:val="bottom"/>
          </w:tcPr>
          <w:p>
            <w:pPr>
              <w:jc w:val="center"/>
              <w:ind w:left="1351"/>
              <w:spacing w:after="0"/>
              <w:rPr>
                <w:sz w:val="20"/>
                <w:szCs w:val="20"/>
                <w:color w:val="auto"/>
              </w:rPr>
            </w:pPr>
            <w:r>
              <w:rPr>
                <w:rFonts w:ascii="Arial" w:cs="Arial" w:eastAsia="Arial" w:hAnsi="Arial"/>
                <w:sz w:val="18"/>
                <w:szCs w:val="18"/>
                <w:b w:val="1"/>
                <w:bCs w:val="1"/>
                <w:color w:val="auto"/>
                <w:w w:val="93"/>
              </w:rPr>
              <w:t>Trading</w:t>
            </w:r>
          </w:p>
        </w:tc>
        <w:tc>
          <w:tcPr>
            <w:tcW w:w="4060" w:type="dxa"/>
            <w:vAlign w:val="bottom"/>
          </w:tcPr>
          <w:p>
            <w:pPr>
              <w:jc w:val="center"/>
              <w:ind w:left="231"/>
              <w:spacing w:after="0"/>
              <w:rPr>
                <w:sz w:val="20"/>
                <w:szCs w:val="20"/>
                <w:color w:val="auto"/>
              </w:rPr>
            </w:pPr>
            <w:r>
              <w:rPr>
                <w:rFonts w:ascii="Arial" w:cs="Arial" w:eastAsia="Arial" w:hAnsi="Arial"/>
                <w:sz w:val="18"/>
                <w:szCs w:val="18"/>
                <w:b w:val="1"/>
                <w:bCs w:val="1"/>
                <w:color w:val="auto"/>
                <w:w w:val="86"/>
              </w:rPr>
              <w:t>Name of each exchange</w:t>
            </w:r>
          </w:p>
        </w:tc>
      </w:tr>
      <w:tr>
        <w:trPr>
          <w:trHeight w:val="240"/>
        </w:trPr>
        <w:tc>
          <w:tcPr>
            <w:tcW w:w="2640" w:type="dxa"/>
            <w:vAlign w:val="bottom"/>
            <w:tcBorders>
              <w:bottom w:val="single" w:sz="8" w:color="auto"/>
            </w:tcBorders>
          </w:tcPr>
          <w:p>
            <w:pPr>
              <w:jc w:val="center"/>
              <w:ind w:left="1031"/>
              <w:spacing w:after="0"/>
              <w:rPr>
                <w:sz w:val="20"/>
                <w:szCs w:val="20"/>
                <w:color w:val="auto"/>
              </w:rPr>
            </w:pPr>
            <w:r>
              <w:rPr>
                <w:rFonts w:ascii="Arial" w:cs="Arial" w:eastAsia="Arial" w:hAnsi="Arial"/>
                <w:sz w:val="18"/>
                <w:szCs w:val="18"/>
                <w:b w:val="1"/>
                <w:bCs w:val="1"/>
                <w:color w:val="auto"/>
                <w:w w:val="87"/>
              </w:rPr>
              <w:t>Title of each class</w:t>
            </w:r>
          </w:p>
        </w:tc>
        <w:tc>
          <w:tcPr>
            <w:tcW w:w="4540" w:type="dxa"/>
            <w:vAlign w:val="bottom"/>
            <w:tcBorders>
              <w:bottom w:val="single" w:sz="8" w:color="auto"/>
            </w:tcBorders>
          </w:tcPr>
          <w:p>
            <w:pPr>
              <w:jc w:val="center"/>
              <w:ind w:left="1331"/>
              <w:spacing w:after="0"/>
              <w:rPr>
                <w:sz w:val="20"/>
                <w:szCs w:val="20"/>
                <w:color w:val="auto"/>
              </w:rPr>
            </w:pPr>
            <w:r>
              <w:rPr>
                <w:rFonts w:ascii="Arial" w:cs="Arial" w:eastAsia="Arial" w:hAnsi="Arial"/>
                <w:sz w:val="18"/>
                <w:szCs w:val="18"/>
                <w:b w:val="1"/>
                <w:bCs w:val="1"/>
                <w:color w:val="auto"/>
                <w:w w:val="87"/>
              </w:rPr>
              <w:t>Symbol(s)</w:t>
            </w:r>
          </w:p>
        </w:tc>
        <w:tc>
          <w:tcPr>
            <w:tcW w:w="406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b w:val="1"/>
                <w:bCs w:val="1"/>
                <w:color w:val="auto"/>
                <w:w w:val="88"/>
              </w:rPr>
              <w:t>on which registered</w:t>
            </w:r>
          </w:p>
        </w:tc>
      </w:tr>
      <w:tr>
        <w:trPr>
          <w:trHeight w:val="233"/>
        </w:trPr>
        <w:tc>
          <w:tcPr>
            <w:tcW w:w="2640" w:type="dxa"/>
            <w:vAlign w:val="bottom"/>
          </w:tcPr>
          <w:p>
            <w:pPr>
              <w:jc w:val="center"/>
              <w:ind w:left="1031"/>
              <w:spacing w:after="0"/>
              <w:rPr>
                <w:sz w:val="20"/>
                <w:szCs w:val="20"/>
                <w:color w:val="auto"/>
              </w:rPr>
            </w:pPr>
            <w:r>
              <w:rPr>
                <w:rFonts w:ascii="Arial" w:cs="Arial" w:eastAsia="Arial" w:hAnsi="Arial"/>
                <w:sz w:val="18"/>
                <w:szCs w:val="18"/>
                <w:b w:val="1"/>
                <w:bCs w:val="1"/>
                <w:color w:val="auto"/>
                <w:w w:val="87"/>
              </w:rPr>
              <w:t>Common Stock</w:t>
            </w:r>
          </w:p>
        </w:tc>
        <w:tc>
          <w:tcPr>
            <w:tcW w:w="4540" w:type="dxa"/>
            <w:vAlign w:val="bottom"/>
          </w:tcPr>
          <w:p>
            <w:pPr>
              <w:jc w:val="center"/>
              <w:ind w:left="1331"/>
              <w:spacing w:after="0"/>
              <w:rPr>
                <w:sz w:val="20"/>
                <w:szCs w:val="20"/>
                <w:color w:val="auto"/>
              </w:rPr>
            </w:pPr>
            <w:r>
              <w:rPr>
                <w:rFonts w:ascii="Arial" w:cs="Arial" w:eastAsia="Arial" w:hAnsi="Arial"/>
                <w:sz w:val="18"/>
                <w:szCs w:val="18"/>
                <w:b w:val="1"/>
                <w:bCs w:val="1"/>
                <w:color w:val="auto"/>
                <w:w w:val="97"/>
              </w:rPr>
              <w:t>GALT</w:t>
            </w:r>
          </w:p>
        </w:tc>
        <w:tc>
          <w:tcPr>
            <w:tcW w:w="4060" w:type="dxa"/>
            <w:vAlign w:val="bottom"/>
          </w:tcPr>
          <w:p>
            <w:pPr>
              <w:jc w:val="center"/>
              <w:ind w:left="231"/>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182" w:lineRule="exact"/>
        <w:rPr>
          <w:sz w:val="24"/>
          <w:szCs w:val="24"/>
          <w:color w:val="auto"/>
        </w:rPr>
      </w:pPr>
    </w:p>
    <w:p>
      <w:pPr>
        <w:ind w:right="3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3" w:lineRule="exact"/>
        <w:rPr>
          <w:sz w:val="24"/>
          <w:szCs w:val="24"/>
          <w:color w:val="auto"/>
        </w:rPr>
      </w:pPr>
    </w:p>
    <w:p>
      <w:pPr>
        <w:ind w:right="180"/>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3"/>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3" w:lineRule="exact"/>
        <w:rPr>
          <w:sz w:val="24"/>
          <w:szCs w:val="24"/>
          <w:color w:val="auto"/>
        </w:rPr>
      </w:pPr>
    </w:p>
    <w:p>
      <w:pPr>
        <w:ind w:right="180"/>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302"/>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9"/>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9"/>
        </w:trPr>
        <w:tc>
          <w:tcPr>
            <w:tcW w:w="2100" w:type="dxa"/>
            <w:vAlign w:val="bottom"/>
          </w:tcPr>
          <w:p>
            <w:pPr>
              <w:spacing w:after="0"/>
              <w:rPr>
                <w:sz w:val="20"/>
                <w:szCs w:val="20"/>
                <w:color w:val="auto"/>
              </w:rPr>
            </w:pPr>
            <w:r>
              <w:rPr>
                <w:rFonts w:ascii="Arial" w:cs="Arial" w:eastAsia="Arial" w:hAnsi="Arial"/>
                <w:sz w:val="18"/>
                <w:szCs w:val="18"/>
                <w:color w:val="auto"/>
                <w:w w:val="97"/>
              </w:rPr>
              <w:t>Emerging growth company</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72" w:lineRule="exact"/>
        <w:rPr>
          <w:sz w:val="24"/>
          <w:szCs w:val="24"/>
          <w:color w:val="auto"/>
        </w:rPr>
      </w:pPr>
    </w:p>
    <w:p>
      <w:pPr>
        <w:jc w:val="both"/>
        <w:ind w:right="40"/>
        <w:spacing w:after="0" w:line="23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28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May 8, 2023 was 59,582,253.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295275</wp:posOffset>
            </wp:positionV>
            <wp:extent cx="7132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448945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0" w:type="dxa"/>
            <w:vAlign w:val="bottom"/>
            <w:gridSpan w:val="9"/>
          </w:tcPr>
          <w:p>
            <w:pPr>
              <w:jc w:val="center"/>
              <w:ind w:right="3300"/>
              <w:spacing w:after="0"/>
              <w:rPr>
                <w:sz w:val="20"/>
                <w:szCs w:val="20"/>
                <w:color w:val="auto"/>
              </w:rPr>
            </w:pPr>
            <w:r>
              <w:rPr>
                <w:rFonts w:ascii="Arial" w:cs="Arial" w:eastAsia="Arial" w:hAnsi="Arial"/>
                <w:sz w:val="18"/>
                <w:szCs w:val="18"/>
                <w:color w:val="auto"/>
                <w:w w:val="97"/>
              </w:rPr>
              <w:t>PART I — FINANCIAL INFORMATION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15"/>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660" w:type="dxa"/>
            <w:vAlign w:val="bottom"/>
          </w:tcPr>
          <w:p>
            <w:pPr>
              <w:spacing w:after="0"/>
              <w:rPr>
                <w:sz w:val="18"/>
                <w:szCs w:val="18"/>
                <w:color w:val="auto"/>
              </w:rPr>
            </w:pPr>
          </w:p>
        </w:tc>
      </w:tr>
      <w:tr>
        <w:trPr>
          <w:trHeight w:val="214"/>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880" w:type="dxa"/>
            <w:vAlign w:val="bottom"/>
            <w:shd w:val="clear" w:color="auto" w:fill="CCEEFF"/>
          </w:tcPr>
          <w:p>
            <w:pPr>
              <w:spacing w:after="0"/>
              <w:rPr>
                <w:sz w:val="16"/>
                <w:szCs w:val="16"/>
                <w:color w:val="auto"/>
              </w:rPr>
            </w:pP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Condensed Consolidated Balance Sheets as of March 31, 2023 and December 31, 2022</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3</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rPr>
                <w:sz w:val="16"/>
                <w:szCs w:val="16"/>
                <w:color w:val="auto"/>
              </w:rPr>
            </w:pP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Condensed Consolidated Statements of Operations for the Three Months Ended March 31, 2023 and 2022</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4</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rPr>
                <w:sz w:val="16"/>
                <w:szCs w:val="16"/>
                <w:color w:val="auto"/>
              </w:rPr>
            </w:pP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Condensed Consolidated Statements of Cash Flows for the Three Months Ended March 31, 2023 and 2022</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5</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4"/>
        </w:trPr>
        <w:tc>
          <w:tcPr>
            <w:tcW w:w="880" w:type="dxa"/>
            <w:vAlign w:val="bottom"/>
            <w:shd w:val="clear" w:color="auto" w:fill="CCEEFF"/>
          </w:tcPr>
          <w:p>
            <w:pPr>
              <w:spacing w:after="0"/>
              <w:rPr>
                <w:sz w:val="15"/>
                <w:szCs w:val="15"/>
                <w:color w:val="auto"/>
              </w:rPr>
            </w:pP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w w:val="90"/>
              </w:rPr>
              <w:t>Condensed Consolidated Statements of Changes in Redeemable Convertible Preferred Stock and Stockholders’ Equity (Deficit) for the</w:t>
            </w:r>
          </w:p>
        </w:tc>
        <w:tc>
          <w:tcPr>
            <w:tcW w:w="660" w:type="dxa"/>
            <w:vAlign w:val="bottom"/>
            <w:shd w:val="clear" w:color="auto" w:fill="CCEEFF"/>
          </w:tcPr>
          <w:p>
            <w:pPr>
              <w:spacing w:after="0"/>
              <w:rPr>
                <w:sz w:val="15"/>
                <w:szCs w:val="15"/>
                <w:color w:val="auto"/>
              </w:rPr>
            </w:pPr>
          </w:p>
        </w:tc>
      </w:tr>
      <w:tr>
        <w:trPr>
          <w:trHeight w:val="215"/>
        </w:trPr>
        <w:tc>
          <w:tcPr>
            <w:tcW w:w="88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0000EE"/>
            </w:tcBorders>
            <w:gridSpan w:val="16"/>
            <w:shd w:val="clear" w:color="auto" w:fill="CCEEFF"/>
          </w:tcPr>
          <w:p>
            <w:pPr>
              <w:spacing w:after="0" w:line="195" w:lineRule="exact"/>
              <w:rPr>
                <w:sz w:val="20"/>
                <w:szCs w:val="20"/>
                <w:color w:val="auto"/>
              </w:rPr>
            </w:pPr>
            <w:r>
              <w:rPr>
                <w:rFonts w:ascii="Arial" w:cs="Arial" w:eastAsia="Arial" w:hAnsi="Arial"/>
                <w:sz w:val="18"/>
                <w:szCs w:val="18"/>
                <w:color w:val="0000EE"/>
              </w:rPr>
              <w:t>three months ended March 31, 2023 and 2022</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171"/>
              <w:spacing w:after="0" w:line="195" w:lineRule="exact"/>
              <w:rPr>
                <w:sz w:val="20"/>
                <w:szCs w:val="20"/>
                <w:color w:val="auto"/>
              </w:rPr>
            </w:pPr>
            <w:r>
              <w:rPr>
                <w:rFonts w:ascii="Arial" w:cs="Arial" w:eastAsia="Arial" w:hAnsi="Arial"/>
                <w:sz w:val="18"/>
                <w:szCs w:val="18"/>
                <w:color w:val="auto"/>
              </w:rPr>
              <w:t>6</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rPr>
                <w:sz w:val="16"/>
                <w:szCs w:val="16"/>
                <w:color w:val="auto"/>
              </w:rPr>
            </w:pP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Notes to Unaudited Condensed Consolidated Financial Statements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7</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14</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Quantitative and Qualitative Disclosures about Market Risk</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21</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Controls and Procedures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5"/>
        </w:trPr>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0" w:type="dxa"/>
            <w:vAlign w:val="bottom"/>
            <w:gridSpan w:val="9"/>
            <w:shd w:val="clear" w:color="auto" w:fill="CCEEFF"/>
          </w:tcPr>
          <w:p>
            <w:pPr>
              <w:jc w:val="center"/>
              <w:ind w:right="3300"/>
              <w:spacing w:after="0"/>
              <w:rPr>
                <w:sz w:val="20"/>
                <w:szCs w:val="20"/>
                <w:color w:val="auto"/>
              </w:rPr>
            </w:pPr>
            <w:r>
              <w:rPr>
                <w:rFonts w:ascii="Arial" w:cs="Arial" w:eastAsia="Arial" w:hAnsi="Arial"/>
                <w:sz w:val="18"/>
                <w:szCs w:val="18"/>
                <w:color w:val="auto"/>
                <w:w w:val="96"/>
              </w:rPr>
              <w:t>PART II — OTHER INFORMATION</w:t>
            </w:r>
          </w:p>
        </w:tc>
        <w:tc>
          <w:tcPr>
            <w:tcW w:w="660" w:type="dxa"/>
            <w:vAlign w:val="bottom"/>
            <w:shd w:val="clear" w:color="auto" w:fill="CCEEFF"/>
          </w:tcPr>
          <w:p>
            <w:pPr>
              <w:spacing w:after="0"/>
              <w:rPr>
                <w:sz w:val="18"/>
                <w:szCs w:val="18"/>
                <w:color w:val="auto"/>
              </w:rPr>
            </w:pPr>
          </w:p>
        </w:tc>
      </w:tr>
      <w:tr>
        <w:trPr>
          <w:trHeight w:val="215"/>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Legal Proceedings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1A.</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Risk Factors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Unregistered Sales of Equity Securities and Use of Proceeds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Defaults Upon Senior Securities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Mine Safety Disclosures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5.</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Other Information</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6.</w:t>
            </w:r>
          </w:p>
        </w:tc>
        <w:tc>
          <w:tcPr>
            <w:tcW w:w="9700" w:type="dxa"/>
            <w:vAlign w:val="bottom"/>
            <w:gridSpan w:val="17"/>
            <w:shd w:val="clear" w:color="auto" w:fill="CCEEFF"/>
          </w:tcPr>
          <w:p>
            <w:pPr>
              <w:spacing w:after="0" w:line="175" w:lineRule="exact"/>
              <w:rPr>
                <w:sz w:val="20"/>
                <w:szCs w:val="20"/>
                <w:color w:val="auto"/>
              </w:rPr>
            </w:pPr>
            <w:r>
              <w:rPr>
                <w:rFonts w:ascii="Arial" w:cs="Arial" w:eastAsia="Arial" w:hAnsi="Arial"/>
                <w:sz w:val="18"/>
                <w:szCs w:val="18"/>
                <w:color w:val="0000EE"/>
              </w:rPr>
              <w:t>Exhibits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22</w:t>
            </w:r>
          </w:p>
        </w:tc>
      </w:tr>
      <w:tr>
        <w:trPr>
          <w:trHeight w:val="215"/>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5"/>
        </w:trPr>
        <w:tc>
          <w:tcPr>
            <w:tcW w:w="1058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SIGNATURES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24</w:t>
            </w:r>
          </w:p>
        </w:tc>
      </w:tr>
      <w:tr>
        <w:trPr>
          <w:trHeight w:val="396"/>
        </w:trPr>
        <w:tc>
          <w:tcPr>
            <w:tcW w:w="8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0"/>
        </w:trPr>
        <w:tc>
          <w:tcPr>
            <w:tcW w:w="8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5"/>
          </w:tcPr>
          <w:p>
            <w:pPr>
              <w:jc w:val="right"/>
              <w:ind w:right="611"/>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866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66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8"/>
                <w:szCs w:val="18"/>
                <w:color w:val="auto"/>
              </w:rPr>
            </w:pP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2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Convertible notes payable and accrued interest, net of discounts – related party (Note 3)</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(Note 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Borrowing and accrued interest under convertible line of credit, net of debt discount – related party (Note 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60" w:type="dxa"/>
            <w:vAlign w:val="bottom"/>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 stock; 1,000 shares authorized, 176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60" w:type="dxa"/>
            <w:vAlign w:val="bottom"/>
          </w:tcPr>
          <w:p>
            <w:pPr>
              <w:ind w:left="160"/>
              <w:spacing w:after="0"/>
              <w:rPr>
                <w:sz w:val="20"/>
                <w:szCs w:val="20"/>
                <w:color w:val="auto"/>
              </w:rPr>
            </w:pPr>
            <w:r>
              <w:rPr>
                <w:rFonts w:ascii="Arial" w:cs="Arial" w:eastAsia="Arial" w:hAnsi="Arial"/>
                <w:sz w:val="18"/>
                <w:szCs w:val="18"/>
                <w:color w:val="auto"/>
                <w:w w:val="91"/>
              </w:rPr>
              <w:t>outstanding at March 31, 2023 and December 31, 2022, redemption value: $8,256,000, liquidation value: $1,760,000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160"/>
              <w:spacing w:after="0"/>
              <w:rPr>
                <w:sz w:val="20"/>
                <w:szCs w:val="20"/>
                <w:color w:val="auto"/>
              </w:rPr>
            </w:pPr>
            <w:r>
              <w:rPr>
                <w:rFonts w:ascii="Arial" w:cs="Arial" w:eastAsia="Arial" w:hAnsi="Arial"/>
                <w:sz w:val="18"/>
                <w:szCs w:val="18"/>
                <w:color w:val="auto"/>
              </w:rPr>
              <w:t>at March 31, 2023</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60" w:type="dxa"/>
            <w:vAlign w:val="bottom"/>
          </w:tcPr>
          <w:p>
            <w:pPr>
              <w:ind w:left="320"/>
              <w:spacing w:after="0" w:line="201" w:lineRule="exact"/>
              <w:rPr>
                <w:sz w:val="20"/>
                <w:szCs w:val="20"/>
                <w:color w:val="auto"/>
              </w:rPr>
            </w:pPr>
            <w:r>
              <w:rPr>
                <w:rFonts w:ascii="Arial" w:cs="Arial" w:eastAsia="Arial" w:hAnsi="Arial"/>
                <w:sz w:val="18"/>
                <w:szCs w:val="18"/>
                <w:color w:val="auto"/>
                <w:w w:val="90"/>
              </w:rPr>
              <w:t>Undesignated stock, $0.01 par value; 20,000,000 shares authorized, 20,000,000 designated at March 31, 2023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500"/>
              <w:spacing w:after="0"/>
              <w:rPr>
                <w:sz w:val="20"/>
                <w:szCs w:val="20"/>
                <w:color w:val="auto"/>
              </w:rPr>
            </w:pPr>
            <w:r>
              <w:rPr>
                <w:rFonts w:ascii="Arial" w:cs="Arial" w:eastAsia="Arial" w:hAnsi="Arial"/>
                <w:sz w:val="18"/>
                <w:szCs w:val="18"/>
                <w:color w:val="auto"/>
              </w:rPr>
              <w:t>December 31, 2022, respectively</w:t>
            </w:r>
          </w:p>
        </w:tc>
        <w:tc>
          <w:tcPr>
            <w:tcW w:w="12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86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Series A 12% convertible preferred stock; 1,742,500 shares authorized, 1,260,000 issued and outstanding at March</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 2023 and December 31, 2022, liquidation value $1,260,500 at March 31, 2023</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660" w:type="dxa"/>
            <w:vAlign w:val="bottom"/>
          </w:tcPr>
          <w:p>
            <w:pPr>
              <w:ind w:left="320"/>
              <w:spacing w:after="0" w:line="201" w:lineRule="exact"/>
              <w:rPr>
                <w:sz w:val="20"/>
                <w:szCs w:val="20"/>
                <w:color w:val="auto"/>
              </w:rPr>
            </w:pPr>
            <w:r>
              <w:rPr>
                <w:rFonts w:ascii="Arial" w:cs="Arial" w:eastAsia="Arial" w:hAnsi="Arial"/>
                <w:sz w:val="18"/>
                <w:szCs w:val="18"/>
                <w:color w:val="auto"/>
                <w:w w:val="95"/>
              </w:rPr>
              <w:t>Common stock, $0.001 par value; 150,000,000 shares authorized at March 31, 2023 and December 31, 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500"/>
              <w:spacing w:after="0"/>
              <w:rPr>
                <w:sz w:val="20"/>
                <w:szCs w:val="20"/>
                <w:color w:val="auto"/>
              </w:rPr>
            </w:pPr>
            <w:r>
              <w:rPr>
                <w:rFonts w:ascii="Arial" w:cs="Arial" w:eastAsia="Arial" w:hAnsi="Arial"/>
                <w:sz w:val="18"/>
                <w:szCs w:val="18"/>
                <w:color w:val="auto"/>
                <w:w w:val="94"/>
              </w:rPr>
              <w:t>59,582,253 and 59,426,005 issued and outstanding at March 31, 2023 and December 31, 2022, respectively</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320"/>
              <w:spacing w:after="0"/>
              <w:rPr>
                <w:sz w:val="20"/>
                <w:szCs w:val="20"/>
                <w:color w:val="auto"/>
              </w:rPr>
            </w:pPr>
            <w:r>
              <w:rPr>
                <w:rFonts w:ascii="Arial" w:cs="Arial" w:eastAsia="Arial" w:hAnsi="Arial"/>
                <w:sz w:val="18"/>
                <w:szCs w:val="18"/>
                <w:color w:val="auto"/>
              </w:rPr>
              <w:t>Retained deficit</w:t>
            </w:r>
          </w:p>
        </w:tc>
        <w:tc>
          <w:tcPr>
            <w:tcW w:w="12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(321,094)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(309,567)</w:t>
            </w:r>
          </w:p>
        </w:tc>
        <w:tc>
          <w:tcPr>
            <w:tcW w:w="0" w:type="dxa"/>
            <w:vAlign w:val="bottom"/>
          </w:tcPr>
          <w:p>
            <w:pPr>
              <w:spacing w:after="0"/>
              <w:rPr>
                <w:sz w:val="1"/>
                <w:szCs w:val="1"/>
                <w:color w:val="auto"/>
              </w:rPr>
            </w:pPr>
          </w:p>
        </w:tc>
      </w:tr>
      <w:tr>
        <w:trPr>
          <w:trHeight w:val="222"/>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(44,369)</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20,225</w:t>
            </w:r>
          </w:p>
        </w:tc>
        <w:tc>
          <w:tcPr>
            <w:tcW w:w="120" w:type="dxa"/>
            <w:vAlign w:val="bottom"/>
          </w:tcPr>
          <w:p>
            <w:pPr>
              <w:spacing w:after="0"/>
              <w:rPr>
                <w:sz w:val="18"/>
                <w:szCs w:val="18"/>
                <w:color w:val="auto"/>
              </w:rPr>
            </w:pP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0"/>
        </w:trPr>
        <w:tc>
          <w:tcPr>
            <w:tcW w:w="8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3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0"/>
              </w:rPr>
              <w:t>(in thousands, except per share data)</w:t>
            </w:r>
          </w:p>
        </w:tc>
        <w:tc>
          <w:tcPr>
            <w:tcW w:w="0" w:type="dxa"/>
            <w:vAlign w:val="bottom"/>
          </w:tcPr>
          <w:p>
            <w:pPr>
              <w:spacing w:after="0"/>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8"/>
                <w:szCs w:val="18"/>
                <w:color w:val="auto"/>
              </w:rPr>
              <w:t>Total operating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(10,342)</w:t>
            </w: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derivatives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2"/>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(11,527)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22"/>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32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(11,527)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0"/>
        </w:trPr>
        <w:tc>
          <w:tcPr>
            <w:tcW w:w="7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(11,527)</w:t>
            </w:r>
          </w:p>
        </w:tc>
        <w:tc>
          <w:tcPr>
            <w:tcW w:w="42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15"/>
        </w:trPr>
        <w:tc>
          <w:tcPr>
            <w:tcW w:w="75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320"/>
              <w:spacing w:after="0"/>
              <w:rPr>
                <w:sz w:val="20"/>
                <w:szCs w:val="20"/>
                <w:color w:val="auto"/>
              </w:rPr>
            </w:pPr>
            <w:r>
              <w:rPr>
                <w:rFonts w:ascii="Arial" w:cs="Arial" w:eastAsia="Arial" w:hAnsi="Arial"/>
                <w:sz w:val="18"/>
                <w:szCs w:val="18"/>
                <w:color w:val="auto"/>
              </w:rPr>
              <w:t>Amortization of right to use lease asset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320"/>
              <w:spacing w:after="0"/>
              <w:rPr>
                <w:sz w:val="20"/>
                <w:szCs w:val="20"/>
                <w:color w:val="auto"/>
              </w:rPr>
            </w:pPr>
            <w:r>
              <w:rPr>
                <w:rFonts w:ascii="Arial" w:cs="Arial" w:eastAsia="Arial" w:hAnsi="Arial"/>
                <w:sz w:val="18"/>
                <w:szCs w:val="18"/>
                <w:color w:val="auto"/>
              </w:rPr>
              <w:t>Change in fair value of derivative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accrued expenses and other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500"/>
              <w:spacing w:after="0"/>
              <w:rPr>
                <w:sz w:val="20"/>
                <w:szCs w:val="20"/>
                <w:color w:val="auto"/>
              </w:rPr>
            </w:pPr>
            <w:r>
              <w:rPr>
                <w:rFonts w:ascii="Arial" w:cs="Arial" w:eastAsia="Arial" w:hAnsi="Arial"/>
                <w:sz w:val="18"/>
                <w:szCs w:val="18"/>
                <w:color w:val="auto"/>
              </w:rPr>
              <w:t>Accrued interest on convertible debt - related party</w:t>
            </w: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from operating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proceeds from convertible line of credit – related party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320"/>
              <w:spacing w:after="0"/>
              <w:rPr>
                <w:sz w:val="20"/>
                <w:szCs w:val="20"/>
                <w:color w:val="auto"/>
              </w:rPr>
            </w:pPr>
            <w:r>
              <w:rPr>
                <w:rFonts w:ascii="Arial" w:cs="Arial" w:eastAsia="Arial" w:hAnsi="Arial"/>
                <w:sz w:val="18"/>
                <w:szCs w:val="18"/>
                <w:color w:val="auto"/>
              </w:rPr>
              <w:t>Net cash flows from financing activities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52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preferred stock dividends in common stock</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160"/>
              <w:spacing w:after="0"/>
              <w:rPr>
                <w:sz w:val="20"/>
                <w:szCs w:val="20"/>
                <w:color w:val="auto"/>
              </w:rPr>
            </w:pPr>
            <w:r>
              <w:rPr>
                <w:rFonts w:ascii="Arial" w:cs="Arial" w:eastAsia="Arial" w:hAnsi="Arial"/>
                <w:sz w:val="18"/>
                <w:szCs w:val="18"/>
                <w:color w:val="auto"/>
              </w:rPr>
              <w:t>Reclassification of accrued bonus to additional paid 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purchase warrants issued in connection with related party line of credit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Pr>
          <w:p>
            <w:pPr>
              <w:ind w:left="160"/>
              <w:spacing w:after="0"/>
              <w:rPr>
                <w:sz w:val="20"/>
                <w:szCs w:val="20"/>
                <w:color w:val="auto"/>
              </w:rPr>
            </w:pPr>
            <w:r>
              <w:rPr>
                <w:rFonts w:ascii="Arial" w:cs="Arial" w:eastAsia="Arial" w:hAnsi="Arial"/>
                <w:sz w:val="18"/>
                <w:szCs w:val="18"/>
                <w:color w:val="auto"/>
              </w:rPr>
              <w:t>Noncash right to use lease asset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 (DEFICIT) (UNAUDITED)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Series C Super</w:t>
            </w:r>
          </w:p>
        </w:tc>
        <w:tc>
          <w:tcPr>
            <w:tcW w:w="100" w:type="dxa"/>
            <w:vAlign w:val="bottom"/>
          </w:tcPr>
          <w:p>
            <w:pPr>
              <w:spacing w:after="0"/>
              <w:rPr>
                <w:sz w:val="18"/>
                <w:szCs w:val="18"/>
                <w:color w:val="auto"/>
              </w:rPr>
            </w:pPr>
          </w:p>
        </w:tc>
      </w:tr>
      <w:tr>
        <w:trPr>
          <w:trHeight w:val="215"/>
        </w:trPr>
        <w:tc>
          <w:tcPr>
            <w:tcW w:w="8660" w:type="dxa"/>
            <w:vAlign w:val="bottom"/>
          </w:tcPr>
          <w:p>
            <w:pPr>
              <w:spacing w:after="0"/>
              <w:rPr>
                <w:sz w:val="18"/>
                <w:szCs w:val="18"/>
                <w:color w:val="auto"/>
              </w:rPr>
            </w:pP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Dividend Redeemable</w:t>
            </w:r>
          </w:p>
        </w:tc>
        <w:tc>
          <w:tcPr>
            <w:tcW w:w="100" w:type="dxa"/>
            <w:vAlign w:val="bottom"/>
          </w:tcPr>
          <w:p>
            <w:pPr>
              <w:spacing w:after="0"/>
              <w:rPr>
                <w:sz w:val="18"/>
                <w:szCs w:val="18"/>
                <w:color w:val="auto"/>
              </w:rPr>
            </w:pPr>
          </w:p>
        </w:tc>
      </w:tr>
      <w:tr>
        <w:trPr>
          <w:trHeight w:val="215"/>
        </w:trPr>
        <w:tc>
          <w:tcPr>
            <w:tcW w:w="8660" w:type="dxa"/>
            <w:vAlign w:val="bottom"/>
          </w:tcPr>
          <w:p>
            <w:pPr>
              <w:spacing w:after="0"/>
              <w:rPr>
                <w:sz w:val="18"/>
                <w:szCs w:val="18"/>
                <w:color w:val="auto"/>
              </w:rPr>
            </w:pP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Convertible</w:t>
            </w:r>
          </w:p>
        </w:tc>
        <w:tc>
          <w:tcPr>
            <w:tcW w:w="100" w:type="dxa"/>
            <w:vAlign w:val="bottom"/>
          </w:tcPr>
          <w:p>
            <w:pPr>
              <w:spacing w:after="0"/>
              <w:rPr>
                <w:sz w:val="18"/>
                <w:szCs w:val="18"/>
                <w:color w:val="auto"/>
              </w:rPr>
            </w:pPr>
          </w:p>
        </w:tc>
      </w:tr>
      <w:tr>
        <w:trPr>
          <w:trHeight w:val="240"/>
        </w:trPr>
        <w:tc>
          <w:tcPr>
            <w:tcW w:w="8660" w:type="dxa"/>
            <w:vAlign w:val="bottom"/>
          </w:tcPr>
          <w:p>
            <w:pPr>
              <w:spacing w:after="0"/>
              <w:rPr>
                <w:sz w:val="20"/>
                <w:szCs w:val="20"/>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20"/>
                <w:szCs w:val="20"/>
                <w:color w:val="auto"/>
              </w:rPr>
            </w:pPr>
          </w:p>
        </w:tc>
      </w:tr>
      <w:tr>
        <w:trPr>
          <w:trHeight w:val="196"/>
        </w:trPr>
        <w:tc>
          <w:tcPr>
            <w:tcW w:w="8660" w:type="dxa"/>
            <w:vAlign w:val="bottom"/>
          </w:tcPr>
          <w:p>
            <w:pPr>
              <w:spacing w:after="0"/>
              <w:rPr>
                <w:sz w:val="17"/>
                <w:szCs w:val="17"/>
                <w:color w:val="auto"/>
              </w:rPr>
            </w:pPr>
          </w:p>
        </w:tc>
        <w:tc>
          <w:tcPr>
            <w:tcW w:w="112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8660" w:type="dxa"/>
            <w:vAlign w:val="bottom"/>
          </w:tcPr>
          <w:p>
            <w:pPr>
              <w:spacing w:after="0"/>
              <w:rPr>
                <w:sz w:val="20"/>
                <w:szCs w:val="20"/>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r>
      <w:tr>
        <w:trPr>
          <w:trHeight w:val="222"/>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b w:val="1"/>
                <w:bCs w:val="1"/>
                <w:color w:val="auto"/>
              </w:rPr>
              <w:t>Balance at March 31, 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Pr>
          <w:p>
            <w:pPr>
              <w:spacing w:after="0"/>
              <w:rPr>
                <w:sz w:val="19"/>
                <w:szCs w:val="19"/>
                <w:color w:val="auto"/>
              </w:rPr>
            </w:pPr>
          </w:p>
        </w:tc>
      </w:tr>
      <w:tr>
        <w:trPr>
          <w:trHeight w:val="222"/>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b w:val="1"/>
                <w:bCs w:val="1"/>
                <w:color w:val="auto"/>
              </w:rPr>
              <w:t>Balance at March 31, 2023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Series A 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1200" w:type="dxa"/>
            <w:vAlign w:val="bottom"/>
            <w:gridSpan w:val="3"/>
          </w:tcPr>
          <w:p>
            <w:pPr>
              <w:jc w:val="center"/>
              <w:ind w:left="211"/>
              <w:spacing w:after="0"/>
              <w:rPr>
                <w:sz w:val="20"/>
                <w:szCs w:val="20"/>
                <w:color w:val="auto"/>
              </w:rPr>
            </w:pPr>
            <w:r>
              <w:rPr>
                <w:rFonts w:ascii="Arial" w:cs="Arial" w:eastAsia="Arial" w:hAnsi="Arial"/>
                <w:sz w:val="18"/>
                <w:szCs w:val="18"/>
                <w:b w:val="1"/>
                <w:bCs w:val="1"/>
                <w:color w:val="auto"/>
                <w:w w:val="90"/>
              </w:rPr>
              <w:t>Convertible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20"/>
                <w:szCs w:val="20"/>
                <w:color w:val="auto"/>
              </w:rPr>
            </w:pPr>
          </w:p>
        </w:tc>
        <w:tc>
          <w:tcPr>
            <w:tcW w:w="13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89"/>
              </w:rPr>
              <w:t>Common Stock</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11"/>
              <w:spacing w:after="0" w:line="196"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spacing w:after="0" w:line="188"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of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8"/>
                <w:szCs w:val="18"/>
                <w:color w:val="auto"/>
              </w:rPr>
            </w:pPr>
          </w:p>
        </w:tc>
        <w:tc>
          <w:tcPr>
            <w:tcW w:w="960" w:type="dxa"/>
            <w:vAlign w:val="bottom"/>
          </w:tcPr>
          <w:p>
            <w:pPr>
              <w:jc w:val="center"/>
              <w:ind w:right="11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86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960" w:type="dxa"/>
            <w:vAlign w:val="bottom"/>
          </w:tcPr>
          <w:p>
            <w:pPr>
              <w:jc w:val="center"/>
              <w:ind w:right="131"/>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1,302,500</w:t>
            </w: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527</w:t>
            </w: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59,341,305</w:t>
            </w: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271,001</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$(270,694)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C super dividend redeemable convertible preferred stock dividend</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16,588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at March 31, 2022</w:t>
            </w: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w w:val="87"/>
              </w:rPr>
              <w:t>1,302,500</w:t>
            </w:r>
          </w:p>
        </w:tc>
        <w:tc>
          <w:tcPr>
            <w:tcW w:w="4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527</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59,388,518</w:t>
            </w:r>
          </w:p>
        </w:tc>
        <w:tc>
          <w:tcPr>
            <w:tcW w:w="5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59</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272,108</w:t>
            </w: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(280,610)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(7,916)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1,260,000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510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59,426,005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275,081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$(309,567)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(33,917)</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C super dividend redeemable convertible preferred stock dividend</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0"/>
        </w:trPr>
        <w:tc>
          <w:tcPr>
            <w:tcW w:w="5260" w:type="dxa"/>
            <w:vAlign w:val="bottom"/>
          </w:tcPr>
          <w:p>
            <w:pPr>
              <w:spacing w:after="0" w:line="201" w:lineRule="exact"/>
              <w:rPr>
                <w:sz w:val="20"/>
                <w:szCs w:val="20"/>
                <w:color w:val="auto"/>
              </w:rPr>
            </w:pPr>
            <w:r>
              <w:rPr>
                <w:rFonts w:ascii="Arial" w:cs="Arial" w:eastAsia="Arial" w:hAnsi="Arial"/>
                <w:sz w:val="18"/>
                <w:szCs w:val="18"/>
                <w:color w:val="auto"/>
                <w:w w:val="97"/>
              </w:rPr>
              <w:t>Common stock purchase warrants issued in connection with related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party line of credit</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(11,527)</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1,260,000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59,582,253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276,156</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(321,094</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(44,369)</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6"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right="40" w:firstLine="438"/>
        <w:spacing w:after="0" w:line="267"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March 31, 2023 and the results of its operations for the three months ended March 31, 2023 and 2022 and its cash flows for the three months ended March 31, 2023 and 2022. All adjustments made to the interim financial statements include all those of a normal and recurring nature. Amounts presented in the condensed consolidated balance sheet as of December 31, 2022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2022.</w:t>
      </w:r>
    </w:p>
    <w:p>
      <w:pPr>
        <w:spacing w:after="0" w:line="118" w:lineRule="exact"/>
        <w:rPr>
          <w:sz w:val="20"/>
          <w:szCs w:val="20"/>
          <w:color w:val="auto"/>
        </w:rPr>
      </w:pPr>
    </w:p>
    <w:p>
      <w:pPr>
        <w:ind w:firstLine="438"/>
        <w:spacing w:after="0" w:line="268"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March 31, 2023, the company had $17,799,000 of unrestricted cash and cash equivalents available to fund future operations. In July 2022, the Company entered into a $60 million unsecured line of credit financing with its chairman, Richard E. Uihlein (See Note 10).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3" w:lineRule="exact"/>
        <w:rPr>
          <w:sz w:val="20"/>
          <w:szCs w:val="20"/>
          <w:color w:val="auto"/>
        </w:rPr>
      </w:pPr>
    </w:p>
    <w:p>
      <w:pPr>
        <w:ind w:right="220" w:firstLine="438"/>
        <w:spacing w:after="0" w:line="274"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60" w:type="dxa"/>
            <w:vAlign w:val="bottom"/>
          </w:tcPr>
          <w:p>
            <w:pPr>
              <w:spacing w:after="0"/>
              <w:rPr>
                <w:sz w:val="20"/>
                <w:szCs w:val="20"/>
                <w:color w:val="auto"/>
              </w:rPr>
            </w:pPr>
            <w:r>
              <w:rPr>
                <w:rFonts w:ascii="Arial" w:cs="Arial" w:eastAsia="Arial" w:hAnsi="Arial"/>
                <w:sz w:val="18"/>
                <w:szCs w:val="18"/>
                <w:b w:val="1"/>
                <w:bCs w:val="1"/>
                <w:color w:val="auto"/>
              </w:rPr>
              <w:t>2. Accrued Expenses and Other</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8660" w:type="dxa"/>
            <w:vAlign w:val="bottom"/>
          </w:tcPr>
          <w:p>
            <w:pPr>
              <w:ind w:left="440"/>
              <w:spacing w:after="0"/>
              <w:rPr>
                <w:sz w:val="20"/>
                <w:szCs w:val="20"/>
                <w:color w:val="auto"/>
              </w:rPr>
            </w:pPr>
            <w:r>
              <w:rPr>
                <w:rFonts w:ascii="Arial" w:cs="Arial" w:eastAsia="Arial" w:hAnsi="Arial"/>
                <w:sz w:val="18"/>
                <w:szCs w:val="18"/>
                <w:color w:val="auto"/>
              </w:rPr>
              <w:t>Accrued expenses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r>
      <w:tr>
        <w:trPr>
          <w:trHeight w:val="240"/>
        </w:trPr>
        <w:tc>
          <w:tcPr>
            <w:tcW w:w="8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5"/>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1"/>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19"/>
                <w:szCs w:val="19"/>
                <w:color w:val="auto"/>
              </w:rPr>
            </w:pPr>
          </w:p>
        </w:tc>
      </w:tr>
      <w:tr>
        <w:trPr>
          <w:trHeight w:val="255"/>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ind w:right="40" w:firstLine="438"/>
        <w:spacing w:after="0" w:line="285" w:lineRule="auto"/>
        <w:rPr>
          <w:sz w:val="20"/>
          <w:szCs w:val="20"/>
          <w:color w:val="auto"/>
        </w:rPr>
      </w:pPr>
      <w:r>
        <w:rPr>
          <w:rFonts w:ascii="Arial" w:cs="Arial" w:eastAsia="Arial" w:hAnsi="Arial"/>
          <w:sz w:val="16"/>
          <w:szCs w:val="16"/>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 Payable – Related Party</w:t>
      </w:r>
    </w:p>
    <w:p>
      <w:pPr>
        <w:spacing w:after="0" w:line="206" w:lineRule="exact"/>
        <w:rPr>
          <w:sz w:val="20"/>
          <w:szCs w:val="20"/>
          <w:color w:val="auto"/>
        </w:rPr>
      </w:pPr>
    </w:p>
    <w:p>
      <w:pPr>
        <w:ind w:right="220" w:firstLine="438"/>
        <w:spacing w:after="0" w:line="261" w:lineRule="auto"/>
        <w:rPr>
          <w:sz w:val="20"/>
          <w:szCs w:val="20"/>
          <w:color w:val="auto"/>
        </w:rPr>
      </w:pPr>
      <w:r>
        <w:rPr>
          <w:rFonts w:ascii="Arial" w:cs="Arial" w:eastAsia="Arial" w:hAnsi="Arial"/>
          <w:sz w:val="18"/>
          <w:szCs w:val="18"/>
          <w:color w:val="auto"/>
        </w:rPr>
        <w:t>On April 16, 2021, the Company and Richard E. Uihlein entered into a debt financing arrangement whereby Mr. Uihlein loaned $10,000,000 to Company. In consideration for the loan, the Company issued a convertible promissory note (the “April 2021 Note”) in the principal amount of ten million dollars.</w:t>
      </w:r>
    </w:p>
    <w:p>
      <w:pPr>
        <w:spacing w:after="0" w:line="184"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The April 2021 Note has a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three months ended March 31, 2023 and 2022, approximately $50,000 and $50,000, respectively, of interest expense was accrued and included with the principal in the financial statements.</w:t>
      </w:r>
    </w:p>
    <w:p>
      <w:pPr>
        <w:spacing w:after="0" w:line="189" w:lineRule="exact"/>
        <w:rPr>
          <w:sz w:val="20"/>
          <w:szCs w:val="20"/>
          <w:color w:val="auto"/>
        </w:rPr>
      </w:pPr>
    </w:p>
    <w:p>
      <w:pPr>
        <w:ind w:right="60" w:firstLine="438"/>
        <w:spacing w:after="0" w:line="267" w:lineRule="auto"/>
        <w:rPr>
          <w:sz w:val="20"/>
          <w:szCs w:val="20"/>
          <w:color w:val="auto"/>
        </w:rPr>
      </w:pPr>
      <w:r>
        <w:rPr>
          <w:rFonts w:ascii="Arial" w:cs="Arial" w:eastAsia="Arial" w:hAnsi="Arial"/>
          <w:sz w:val="17"/>
          <w:szCs w:val="17"/>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$587,000 and $249,000 at March 31, 2023 and December 31, 2022, respectively, and is recognized as a derivative liability in the consolidated balance sheet. The change in the fair value of the derivative liability for the three months ended March 31, 2023 and 2022 of $338,000 and $(104,000), respectively, was charged to other expense/(income) for the three months ended March 31, 2023 and 2022. The amortization of the original $420,000 debt discount of $26,000 and $26,000 was recorded as additional interest expense for the three months ended March 31, 2023 and 2022, respectively.</w:t>
      </w:r>
    </w:p>
    <w:p>
      <w:pPr>
        <w:spacing w:after="0" w:line="185"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The September 2021 Note has a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three months ended March 31, 2023 and 2022, approximately $50,000 and $50,000, respectively, of interest expense was accrued and included with the principal in the financial statements.</w:t>
      </w:r>
    </w:p>
    <w:p>
      <w:pPr>
        <w:spacing w:after="0" w:line="189" w:lineRule="exact"/>
        <w:rPr>
          <w:sz w:val="20"/>
          <w:szCs w:val="20"/>
          <w:color w:val="auto"/>
        </w:rPr>
      </w:pPr>
    </w:p>
    <w:p>
      <w:pPr>
        <w:jc w:val="both"/>
        <w:ind w:right="40" w:firstLine="438"/>
        <w:spacing w:after="0" w:line="283" w:lineRule="auto"/>
        <w:rPr>
          <w:sz w:val="20"/>
          <w:szCs w:val="20"/>
          <w:color w:val="auto"/>
        </w:rPr>
      </w:pPr>
      <w:r>
        <w:rPr>
          <w:rFonts w:ascii="Arial" w:cs="Arial" w:eastAsia="Arial" w:hAnsi="Arial"/>
          <w:sz w:val="16"/>
          <w:szCs w:val="16"/>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w:t>
      </w:r>
    </w:p>
    <w:p>
      <w:pPr>
        <w:spacing w:after="0" w:line="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fair value of the contingent interest derivative liability was $433,000 at note inception (September 17, 2021). The fair value of the contingent interest derivative liability was $276,000 and $109,000 and March 31, 2023 and December 31, 2022, respectively, and is recognized as a derivative liability in the consolidated balance sheet. The change in the fair value of the derivative liability three months ended March 31, 2023 and 2022 of $167,000 and ($62,000), respectively, was recorded to other expense/(income) for three months ended March 31, 2023 and 2022. The amortization of the original $433,000 debt discount of $27,000 and $27,000 was recorded as additional interest expense for the three months ended March 31, 2023 and 2022.</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5"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On December 20, 2021, the second of the two promissory notes under the Loan Agreement was executed and delivered, (the “December 2021 Note”) to evidence the second loan in the principal amount of $10,000,000. The December 2021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three months ended March 31, 2023 and 2022, approximately $50,000 and $50,000, respectively, of interest expense was accrued and included with the principal in the financial statements.</w:t>
      </w:r>
    </w:p>
    <w:p>
      <w:pPr>
        <w:spacing w:after="0" w:line="179" w:lineRule="exact"/>
        <w:rPr>
          <w:sz w:val="20"/>
          <w:szCs w:val="20"/>
          <w:color w:val="auto"/>
        </w:rPr>
      </w:pPr>
    </w:p>
    <w:p>
      <w:pPr>
        <w:ind w:right="80" w:firstLine="438"/>
        <w:spacing w:after="0" w:line="283" w:lineRule="auto"/>
        <w:rPr>
          <w:sz w:val="20"/>
          <w:szCs w:val="20"/>
          <w:color w:val="auto"/>
        </w:rPr>
      </w:pPr>
      <w:r>
        <w:rPr>
          <w:rFonts w:ascii="Arial" w:cs="Arial" w:eastAsia="Arial" w:hAnsi="Arial"/>
          <w:sz w:val="16"/>
          <w:szCs w:val="16"/>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was $479,000 and $215,000 at March 31, 2023 and December 31, 2022, respectively, and is recognized as a derivative liability in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 The change in the fair value of the derivative liability for three months ended March 31, 2023 and 2022.of $264,000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($63,000), respectively was recorded to other expense/(income) for three months ended March 31, 2023 and 2022.. The amortization of the original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$415,000 debt discount of $26,000 and $26,000 was recorded as additional interest expense for three months ended March 31, 2023 and 2022, respectively.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contractual cash obligations related to the outstanding convertible notes payable is a repayment of the April 2021 Note of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$10,000,000 plus accrued interest on April 16, 2025 and a repayment of the September 2021 Note of the $10,000,000 plus accrued interest on September 17,</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2025 and a repayment of the December 2021 Note of the $10,000,000 plus accrued interest on December 30, 2025, unless converted at the option of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noteholder.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80" w:lineRule="exact"/>
        <w:rPr>
          <w:sz w:val="20"/>
          <w:szCs w:val="20"/>
          <w:color w:val="auto"/>
        </w:rPr>
      </w:pPr>
    </w:p>
    <w:p>
      <w:pPr>
        <w:ind w:right="420" w:firstLine="435"/>
        <w:spacing w:after="0" w:line="270"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1 or 2 assets or liabilities at March 31, 2023 or December 31, 2022. See below for Fair Value of Derivatives related to Convertible Notes Payable at March 31, 2023 and December 31, 2022, which are level 3 liabilities.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Level 3 assets and liabilities measured and recorded at fair value on a recurring basis at March 31, 2023 and December 31, 2022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r>
      <w:tr>
        <w:trPr>
          <w:trHeight w:val="240"/>
        </w:trPr>
        <w:tc>
          <w:tcPr>
            <w:tcW w:w="6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5"/>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 April Note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shd w:val="clear" w:color="auto" w:fill="CCEEFF"/>
          </w:tcPr>
          <w:p>
            <w:pPr>
              <w:spacing w:after="0"/>
              <w:rPr>
                <w:sz w:val="18"/>
                <w:szCs w:val="18"/>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8"/>
                <w:szCs w:val="18"/>
                <w:color w:val="auto"/>
              </w:rPr>
              <w:t>Derivative Liability – Contingent Interest September Note</w:t>
            </w:r>
          </w:p>
        </w:tc>
        <w:tc>
          <w:tcPr>
            <w:tcW w:w="2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276,000</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tcPr>
          <w:p>
            <w:pPr>
              <w:spacing w:after="0"/>
              <w:rPr>
                <w:sz w:val="18"/>
                <w:szCs w:val="18"/>
                <w:color w:val="auto"/>
              </w:rPr>
            </w:pPr>
          </w:p>
        </w:tc>
      </w:tr>
      <w:tr>
        <w:trPr>
          <w:trHeight w:val="215"/>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 December Note</w:t>
            </w:r>
          </w:p>
        </w:tc>
        <w:tc>
          <w:tcPr>
            <w:tcW w:w="2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479,000</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right="960" w:firstLine="435"/>
        <w:spacing w:after="0" w:line="274" w:lineRule="auto"/>
        <w:rPr>
          <w:sz w:val="20"/>
          <w:szCs w:val="20"/>
          <w:color w:val="auto"/>
        </w:rPr>
      </w:pPr>
      <w:r>
        <w:rPr>
          <w:rFonts w:ascii="Arial" w:cs="Arial" w:eastAsia="Arial" w:hAnsi="Arial"/>
          <w:sz w:val="18"/>
          <w:szCs w:val="18"/>
          <w:color w:val="auto"/>
        </w:rPr>
        <w:t>The April Note derivative liability – contingent interest was valued using a Monte Carlo Geometric Brownian Stock Path Model. The key assumptions used in the model at March 31, 2023 and December 31, 2022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40"/>
        </w:trPr>
        <w:tc>
          <w:tcPr>
            <w:tcW w:w="8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15"/>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r>
      <w:tr>
        <w:trPr>
          <w:trHeight w:val="215"/>
        </w:trPr>
        <w:tc>
          <w:tcPr>
            <w:tcW w:w="856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r>
      <w:tr>
        <w:trPr>
          <w:trHeight w:val="215"/>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 years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2.29 years</w:t>
            </w:r>
          </w:p>
        </w:tc>
      </w:tr>
      <w:tr>
        <w:trPr>
          <w:trHeight w:val="215"/>
        </w:trPr>
        <w:tc>
          <w:tcPr>
            <w:tcW w:w="85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4.41%</w:t>
            </w:r>
          </w:p>
        </w:tc>
      </w:tr>
      <w:tr>
        <w:trPr>
          <w:trHeight w:val="215"/>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5"/>
        </w:trPr>
        <w:tc>
          <w:tcPr>
            <w:tcW w:w="856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roll forward of the April Note derivative liability – contingent interest is as follows for the three months ended March 31, 2023 and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42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Fair Value Adjustment</w:t>
            </w:r>
          </w:p>
        </w:tc>
        <w:tc>
          <w:tcPr>
            <w:tcW w:w="3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338,000</w:t>
            </w:r>
          </w:p>
        </w:tc>
        <w:tc>
          <w:tcPr>
            <w:tcW w:w="100" w:type="dxa"/>
            <w:vAlign w:val="bottom"/>
          </w:tcPr>
          <w:p>
            <w:pPr>
              <w:spacing w:after="0"/>
              <w:rPr>
                <w:sz w:val="19"/>
                <w:szCs w:val="19"/>
                <w:color w:val="auto"/>
              </w:rPr>
            </w:pPr>
          </w:p>
        </w:tc>
      </w:tr>
      <w:tr>
        <w:trPr>
          <w:trHeight w:val="222"/>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2023</w:t>
            </w:r>
          </w:p>
        </w:tc>
        <w:tc>
          <w:tcPr>
            <w:tcW w:w="3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6080" w:type="dxa"/>
            <w:vAlign w:val="bottom"/>
          </w:tcPr>
          <w:p>
            <w:pPr>
              <w:spacing w:after="0"/>
              <w:rPr>
                <w:sz w:val="18"/>
                <w:szCs w:val="18"/>
                <w:color w:val="auto"/>
              </w:rPr>
            </w:pPr>
          </w:p>
        </w:tc>
        <w:tc>
          <w:tcPr>
            <w:tcW w:w="42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42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Fair Value Adjustment</w:t>
            </w:r>
          </w:p>
        </w:tc>
        <w:tc>
          <w:tcPr>
            <w:tcW w:w="3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(104,000)</w:t>
            </w:r>
          </w:p>
        </w:tc>
      </w:tr>
      <w:tr>
        <w:trPr>
          <w:trHeight w:val="222"/>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2022</w:t>
            </w:r>
          </w:p>
        </w:tc>
        <w:tc>
          <w:tcPr>
            <w:tcW w:w="3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ind w:right="400" w:firstLine="435"/>
        <w:spacing w:after="0" w:line="256" w:lineRule="auto"/>
        <w:rPr>
          <w:sz w:val="20"/>
          <w:szCs w:val="20"/>
          <w:color w:val="auto"/>
        </w:rPr>
      </w:pPr>
      <w:r>
        <w:rPr>
          <w:rFonts w:ascii="Arial" w:cs="Arial" w:eastAsia="Arial" w:hAnsi="Arial"/>
          <w:sz w:val="18"/>
          <w:szCs w:val="18"/>
          <w:color w:val="auto"/>
        </w:rPr>
        <w:t>The September Note derivative liability – contingent interest was valued using a Monte Carlo Geometric Brownian Stock Path Model. The key assumptions used in the model at March 31, 2023 and December 31, 2022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0"/>
        </w:trPr>
        <w:tc>
          <w:tcPr>
            <w:tcW w:w="7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8"/>
                <w:szCs w:val="18"/>
                <w:color w:val="auto"/>
              </w:rPr>
            </w:pPr>
          </w:p>
        </w:tc>
        <w:tc>
          <w:tcPr>
            <w:tcW w:w="300" w:type="dxa"/>
            <w:vAlign w:val="bottom"/>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 years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2.72 years</w:t>
            </w: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4.22%</w:t>
            </w: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Volatility</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30"/>
        </w:trPr>
        <w:tc>
          <w:tcPr>
            <w:tcW w:w="7860" w:type="dxa"/>
            <w:vAlign w:val="bottom"/>
          </w:tcPr>
          <w:p>
            <w:pPr>
              <w:ind w:left="500"/>
              <w:spacing w:after="0"/>
              <w:rPr>
                <w:sz w:val="20"/>
                <w:szCs w:val="20"/>
                <w:color w:val="auto"/>
              </w:rPr>
            </w:pPr>
            <w:r>
              <w:rPr>
                <w:rFonts w:ascii="Arial" w:cs="Arial" w:eastAsia="Arial" w:hAnsi="Arial"/>
                <w:sz w:val="18"/>
                <w:szCs w:val="18"/>
                <w:color w:val="auto"/>
              </w:rPr>
              <w:t>The roll forward of the September Note derivative liability – contingent interest is as follows: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109,000</w:t>
            </w: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Fair Value Adjustment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167,000</w:t>
            </w:r>
          </w:p>
        </w:tc>
        <w:tc>
          <w:tcPr>
            <w:tcW w:w="100" w:type="dxa"/>
            <w:vAlign w:val="bottom"/>
          </w:tcPr>
          <w:p>
            <w:pPr>
              <w:spacing w:after="0"/>
              <w:rPr>
                <w:sz w:val="19"/>
                <w:szCs w:val="19"/>
                <w:color w:val="auto"/>
              </w:rPr>
            </w:pPr>
          </w:p>
        </w:tc>
      </w:tr>
      <w:tr>
        <w:trPr>
          <w:trHeight w:val="222"/>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2023</w:t>
            </w:r>
          </w:p>
        </w:tc>
        <w:tc>
          <w:tcPr>
            <w:tcW w:w="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Fair Value Adjustment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(62,000)</w:t>
            </w:r>
          </w:p>
        </w:tc>
      </w:tr>
      <w:tr>
        <w:trPr>
          <w:trHeight w:val="222"/>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2022</w:t>
            </w:r>
          </w:p>
        </w:tc>
        <w:tc>
          <w:tcPr>
            <w:tcW w:w="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ind w:right="580" w:firstLine="435"/>
        <w:spacing w:after="0" w:line="274" w:lineRule="auto"/>
        <w:rPr>
          <w:sz w:val="20"/>
          <w:szCs w:val="20"/>
          <w:color w:val="auto"/>
        </w:rPr>
      </w:pPr>
      <w:r>
        <w:rPr>
          <w:rFonts w:ascii="Arial" w:cs="Arial" w:eastAsia="Arial" w:hAnsi="Arial"/>
          <w:sz w:val="18"/>
          <w:szCs w:val="18"/>
          <w:color w:val="auto"/>
        </w:rPr>
        <w:t>The December Note derivative liability – contingent interest was valued using a Monte Carlo Geometric Brownian Stock Path Model. The key assumptions used in the model at March 31, 2023 and December 31, 2022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8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260" w:type="dxa"/>
            <w:vAlign w:val="bottom"/>
            <w:gridSpan w:val="2"/>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 years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2.97 years</w:t>
            </w:r>
          </w:p>
        </w:tc>
      </w:tr>
      <w:tr>
        <w:trPr>
          <w:trHeight w:val="215"/>
        </w:trPr>
        <w:tc>
          <w:tcPr>
            <w:tcW w:w="85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4.22%</w:t>
            </w: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5"/>
        </w:trPr>
        <w:tc>
          <w:tcPr>
            <w:tcW w:w="858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w:t>
            </w: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30"/>
        </w:trPr>
        <w:tc>
          <w:tcPr>
            <w:tcW w:w="8580" w:type="dxa"/>
            <w:vAlign w:val="bottom"/>
          </w:tcPr>
          <w:p>
            <w:pPr>
              <w:ind w:left="500"/>
              <w:spacing w:after="0"/>
              <w:rPr>
                <w:sz w:val="20"/>
                <w:szCs w:val="20"/>
                <w:color w:val="auto"/>
              </w:rPr>
            </w:pPr>
            <w:r>
              <w:rPr>
                <w:rFonts w:ascii="Arial" w:cs="Arial" w:eastAsia="Arial" w:hAnsi="Arial"/>
                <w:sz w:val="18"/>
                <w:szCs w:val="18"/>
                <w:color w:val="auto"/>
              </w:rPr>
              <w:t>The roll forward of the December Note derivative liability – contingent interest is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Fair Value Adjustment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264,000</w:t>
            </w:r>
          </w:p>
        </w:tc>
        <w:tc>
          <w:tcPr>
            <w:tcW w:w="100" w:type="dxa"/>
            <w:vAlign w:val="bottom"/>
          </w:tcPr>
          <w:p>
            <w:pPr>
              <w:spacing w:after="0"/>
              <w:rPr>
                <w:sz w:val="19"/>
                <w:szCs w:val="19"/>
                <w:color w:val="auto"/>
              </w:rPr>
            </w:pPr>
          </w:p>
        </w:tc>
      </w:tr>
      <w:tr>
        <w:trPr>
          <w:trHeight w:val="222"/>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2023</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109,000</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Fair Value Adjustment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167,000</w:t>
            </w:r>
          </w:p>
        </w:tc>
        <w:tc>
          <w:tcPr>
            <w:tcW w:w="100" w:type="dxa"/>
            <w:vAlign w:val="bottom"/>
          </w:tcPr>
          <w:p>
            <w:pPr>
              <w:spacing w:after="0"/>
              <w:rPr>
                <w:sz w:val="19"/>
                <w:szCs w:val="19"/>
                <w:color w:val="auto"/>
              </w:rPr>
            </w:pPr>
          </w:p>
        </w:tc>
      </w:tr>
      <w:tr>
        <w:trPr>
          <w:trHeight w:val="222"/>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2022</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6" w:lineRule="exact"/>
        <w:rPr>
          <w:sz w:val="20"/>
          <w:szCs w:val="20"/>
          <w:color w:val="auto"/>
        </w:rPr>
      </w:pPr>
    </w:p>
    <w:p>
      <w:pPr>
        <w:ind w:right="120" w:firstLine="438"/>
        <w:spacing w:after="0" w:line="274"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40" w:type="dxa"/>
            <w:vAlign w:val="bottom"/>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4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4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3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270</w:t>
            </w: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225</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3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392</w:t>
            </w:r>
          </w:p>
        </w:tc>
        <w:tc>
          <w:tcPr>
            <w:tcW w:w="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633</w:t>
            </w:r>
          </w:p>
        </w:tc>
        <w:tc>
          <w:tcPr>
            <w:tcW w:w="100" w:type="dxa"/>
            <w:vAlign w:val="bottom"/>
          </w:tcPr>
          <w:p>
            <w:pPr>
              <w:spacing w:after="0"/>
              <w:rPr>
                <w:sz w:val="19"/>
                <w:szCs w:val="19"/>
                <w:color w:val="auto"/>
              </w:rPr>
            </w:pPr>
          </w:p>
        </w:tc>
      </w:tr>
      <w:tr>
        <w:trPr>
          <w:trHeight w:val="255"/>
        </w:trPr>
        <w:tc>
          <w:tcPr>
            <w:tcW w:w="4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expense</w:t>
            </w:r>
          </w:p>
        </w:tc>
        <w:tc>
          <w:tcPr>
            <w:tcW w:w="4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662</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5"/>
        </w:trPr>
        <w:tc>
          <w:tcPr>
            <w:tcW w:w="4320" w:type="dxa"/>
            <w:vAlign w:val="bottom"/>
          </w:tcPr>
          <w:p>
            <w:pPr>
              <w:spacing w:after="0"/>
              <w:rPr>
                <w:sz w:val="24"/>
                <w:szCs w:val="24"/>
                <w:color w:val="auto"/>
              </w:rPr>
            </w:pPr>
          </w:p>
        </w:tc>
        <w:tc>
          <w:tcPr>
            <w:tcW w:w="4340" w:type="dxa"/>
            <w:vAlign w:val="bottom"/>
          </w:tcPr>
          <w:p>
            <w:pPr>
              <w:jc w:val="right"/>
              <w:ind w:right="2888"/>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
        </w:trPr>
        <w:tc>
          <w:tcPr>
            <w:tcW w:w="432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5" w:lineRule="exact"/>
        <w:rPr>
          <w:sz w:val="20"/>
          <w:szCs w:val="20"/>
          <w:color w:val="auto"/>
        </w:rPr>
      </w:pPr>
    </w:p>
    <w:p>
      <w:pPr>
        <w:ind w:right="100" w:firstLine="438"/>
        <w:spacing w:after="0" w:line="274"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2022 through March 31,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w w:val="93"/>
              </w:rPr>
              <w:t>Weighted</w:t>
            </w:r>
          </w:p>
        </w:tc>
        <w:tc>
          <w:tcPr>
            <w:tcW w:w="100" w:type="dxa"/>
            <w:vAlign w:val="bottom"/>
          </w:tcPr>
          <w:p>
            <w:pPr>
              <w:spacing w:after="0"/>
              <w:rPr>
                <w:sz w:val="18"/>
                <w:szCs w:val="18"/>
                <w:color w:val="auto"/>
              </w:rPr>
            </w:pPr>
          </w:p>
        </w:tc>
      </w:tr>
      <w:tr>
        <w:trPr>
          <w:trHeight w:val="215"/>
        </w:trPr>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r>
      <w:tr>
        <w:trPr>
          <w:trHeight w:val="240"/>
        </w:trPr>
        <w:tc>
          <w:tcPr>
            <w:tcW w:w="866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5,745,561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660" w:type="dxa"/>
            <w:vAlign w:val="bottom"/>
          </w:tcPr>
          <w:p>
            <w:pPr>
              <w:ind w:left="160"/>
              <w:spacing w:after="0"/>
              <w:rPr>
                <w:sz w:val="20"/>
                <w:szCs w:val="20"/>
                <w:color w:val="auto"/>
              </w:rPr>
            </w:pPr>
            <w:r>
              <w:rPr>
                <w:rFonts w:ascii="Arial" w:cs="Arial" w:eastAsia="Arial" w:hAnsi="Arial"/>
                <w:sz w:val="18"/>
                <w:szCs w:val="18"/>
                <w:color w:val="auto"/>
              </w:rPr>
              <w:t>Options forfeited/cancelled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(18,803)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r>
      <w:tr>
        <w:trPr>
          <w:trHeight w:val="255"/>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6,526,758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jc w:val="both"/>
        <w:ind w:right="40" w:firstLine="438"/>
        <w:spacing w:after="0" w:line="284" w:lineRule="auto"/>
        <w:rPr>
          <w:sz w:val="20"/>
          <w:szCs w:val="20"/>
          <w:color w:val="auto"/>
        </w:rPr>
      </w:pPr>
      <w:r>
        <w:rPr>
          <w:rFonts w:ascii="Arial" w:cs="Arial" w:eastAsia="Arial" w:hAnsi="Arial"/>
          <w:sz w:val="17"/>
          <w:szCs w:val="17"/>
          <w:color w:val="auto"/>
        </w:rPr>
        <w:t>As of March 31, 2023, there was $2,268,000 of unrecognized compensation related to 2,850,833 unvested options, which is expected to be recognized over a weighted–average period of approximately 1.29 years. The weighted-average grant date fair value for options granted during the three months ended March 31, 2022 was $0.80. The Company granted 800,000 stock options during the three months ended March 31, 2023.</w:t>
      </w:r>
    </w:p>
    <w:p>
      <w:pPr>
        <w:spacing w:after="0" w:line="165" w:lineRule="exact"/>
        <w:rPr>
          <w:sz w:val="20"/>
          <w:szCs w:val="20"/>
          <w:color w:val="auto"/>
        </w:rPr>
      </w:pPr>
    </w:p>
    <w:p>
      <w:pPr>
        <w:ind w:right="120" w:firstLine="438"/>
        <w:spacing w:after="0" w:line="274"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Three</w:t>
            </w:r>
          </w:p>
        </w:tc>
      </w:tr>
      <w:tr>
        <w:trPr>
          <w:trHeight w:val="215"/>
        </w:trPr>
        <w:tc>
          <w:tcPr>
            <w:tcW w:w="86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Months</w:t>
            </w:r>
          </w:p>
        </w:tc>
      </w:tr>
      <w:tr>
        <w:trPr>
          <w:trHeight w:val="215"/>
        </w:trPr>
        <w:tc>
          <w:tcPr>
            <w:tcW w:w="86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r>
      <w:tr>
        <w:trPr>
          <w:trHeight w:val="240"/>
        </w:trPr>
        <w:tc>
          <w:tcPr>
            <w:tcW w:w="860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r>
      <w:tr>
        <w:trPr>
          <w:trHeight w:val="222"/>
        </w:trPr>
        <w:tc>
          <w:tcPr>
            <w:tcW w:w="86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19"/>
                <w:szCs w:val="19"/>
                <w:color w:val="auto"/>
              </w:rPr>
            </w:pPr>
          </w:p>
        </w:tc>
      </w:tr>
      <w:tr>
        <w:trPr>
          <w:trHeight w:val="215"/>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860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5.5 years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 years</w:t>
            </w:r>
          </w:p>
        </w:tc>
      </w:tr>
      <w:tr>
        <w:trPr>
          <w:trHeight w:val="215"/>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6" w:lineRule="exact"/>
        <w:rPr>
          <w:sz w:val="20"/>
          <w:szCs w:val="20"/>
          <w:color w:val="auto"/>
        </w:rPr>
      </w:pPr>
    </w:p>
    <w:p>
      <w:pPr>
        <w:ind w:firstLine="438"/>
        <w:spacing w:after="0" w:line="299" w:lineRule="auto"/>
        <w:rPr>
          <w:sz w:val="20"/>
          <w:szCs w:val="20"/>
          <w:color w:val="auto"/>
        </w:rPr>
      </w:pPr>
      <w:r>
        <w:rPr>
          <w:rFonts w:ascii="Arial" w:cs="Arial" w:eastAsia="Arial" w:hAnsi="Arial"/>
          <w:sz w:val="16"/>
          <w:szCs w:val="16"/>
          <w:color w:val="auto"/>
        </w:rPr>
        <w:t>In January 2023, the Company’s board chairman elected to take restricted stock grants in lieu of cash retainers for 2023. A total of 36,036 shares of restricted stock valued at approximately $40,000 is being amortized to expense on a straight-line basis until December 31, 2023 when the stock vests in full. In January 2022, the Company’s board chairman elected to take restricted stock grants in lieu of cash retainers for 2022. A total of 17,677 shares of restricted stock valued at approximately $35,000 is being amortized to expense on a straight-line basis until December 31, 2022 when the stock vested in full.</w:t>
      </w:r>
    </w:p>
    <w:p>
      <w:pPr>
        <w:spacing w:after="0" w:line="157" w:lineRule="exact"/>
        <w:rPr>
          <w:sz w:val="20"/>
          <w:szCs w:val="20"/>
          <w:color w:val="auto"/>
        </w:rPr>
      </w:pPr>
    </w:p>
    <w:p>
      <w:pPr>
        <w:ind w:right="20" w:firstLine="438"/>
        <w:spacing w:after="0" w:line="252" w:lineRule="auto"/>
        <w:rPr>
          <w:sz w:val="20"/>
          <w:szCs w:val="20"/>
          <w:color w:val="auto"/>
        </w:rPr>
      </w:pPr>
      <w:r>
        <w:rPr>
          <w:rFonts w:ascii="Arial" w:cs="Arial" w:eastAsia="Arial" w:hAnsi="Arial"/>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(“DSUs”)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w:t>
      </w:r>
    </w:p>
    <w:p>
      <w:pPr>
        <w:spacing w:after="0" w:line="194" w:lineRule="exact"/>
        <w:rPr>
          <w:sz w:val="20"/>
          <w:szCs w:val="20"/>
          <w:color w:val="auto"/>
        </w:rPr>
      </w:pPr>
    </w:p>
    <w:p>
      <w:pPr>
        <w:ind w:right="140" w:firstLine="438"/>
        <w:spacing w:after="0" w:line="299" w:lineRule="auto"/>
        <w:rPr>
          <w:sz w:val="20"/>
          <w:szCs w:val="20"/>
          <w:color w:val="auto"/>
        </w:rPr>
      </w:pPr>
      <w:r>
        <w:rPr>
          <w:rFonts w:ascii="Arial" w:cs="Arial" w:eastAsia="Arial" w:hAnsi="Arial"/>
          <w:sz w:val="16"/>
          <w:szCs w:val="16"/>
          <w:color w:val="auto"/>
        </w:rPr>
        <w:t>For the three months ended March 31, 2023, approximately $112,000 of his compensation was recorded as stock compensation expense representing 72,440 shares of common stock to be issued under the DSU agreement with a weighted average grant date fair value of $1.55 per share. For the three months ended March 31, 2022, approximately $103,000 of his compensation was recorded as stock compensation expense representing 55,626 shares of common stock to be issued under the DSU agreement with a weighted average grant date fair value of $1.86 per share.</w:t>
      </w:r>
    </w:p>
    <w:p>
      <w:pPr>
        <w:spacing w:after="0" w:line="157" w:lineRule="exact"/>
        <w:rPr>
          <w:sz w:val="20"/>
          <w:szCs w:val="20"/>
          <w:color w:val="auto"/>
        </w:rPr>
      </w:pPr>
    </w:p>
    <w:p>
      <w:pPr>
        <w:ind w:right="60" w:firstLine="438"/>
        <w:spacing w:after="0" w:line="257" w:lineRule="auto"/>
        <w:rPr>
          <w:sz w:val="20"/>
          <w:szCs w:val="20"/>
          <w:color w:val="auto"/>
        </w:rPr>
      </w:pPr>
      <w:r>
        <w:rPr>
          <w:rFonts w:ascii="Arial" w:cs="Arial" w:eastAsia="Arial" w:hAnsi="Arial"/>
          <w:sz w:val="18"/>
          <w:szCs w:val="18"/>
          <w:color w:val="auto"/>
        </w:rPr>
        <w:t>Also, Mr. Lewis’ bonus for the year ended December 31, 2022 of $210,000 (which was included in accrued compensation at December 31, 2022) was approved in January 2023 and represents 143,836 shares of common stock to be issued under the DSU agreement with a grant date fair value of $1.46 per share. The $210,000 was reclassified from accrued compensation to additional paid in capital in January 2023. There is no unrecognized compensation expense related to the DSUs.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Warrants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common stock warrant activity from December 31, 2022 through March 31,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18"/>
                <w:szCs w:val="18"/>
                <w:color w:val="auto"/>
              </w:rPr>
            </w:pPr>
          </w:p>
        </w:tc>
      </w:tr>
      <w:tr>
        <w:trPr>
          <w:trHeight w:val="240"/>
        </w:trPr>
        <w:tc>
          <w:tcPr>
            <w:tcW w:w="8400" w:type="dxa"/>
            <w:vAlign w:val="bottom"/>
          </w:tcPr>
          <w:p>
            <w:pPr>
              <w:spacing w:after="0"/>
              <w:rPr>
                <w:sz w:val="20"/>
                <w:szCs w:val="20"/>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r>
      <w:tr>
        <w:trPr>
          <w:trHeight w:val="215"/>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11,557,964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ind w:left="160"/>
              <w:spacing w:after="0"/>
              <w:rPr>
                <w:sz w:val="20"/>
                <w:szCs w:val="20"/>
                <w:color w:val="auto"/>
              </w:rPr>
            </w:pPr>
            <w:r>
              <w:rPr>
                <w:rFonts w:ascii="Arial" w:cs="Arial" w:eastAsia="Arial" w:hAnsi="Arial"/>
                <w:sz w:val="18"/>
                <w:szCs w:val="18"/>
                <w:color w:val="auto"/>
              </w:rPr>
              <w:t>Forfeited/cancelled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5"/>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11,757,964</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expiration of the warrants outstanding as of March 31, 2023 is 1.8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226"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61" w:lineRule="exact"/>
        <w:rPr>
          <w:sz w:val="20"/>
          <w:szCs w:val="20"/>
          <w:color w:val="auto"/>
        </w:rPr>
      </w:pPr>
    </w:p>
    <w:p>
      <w:pPr>
        <w:ind w:right="300" w:firstLine="438"/>
        <w:spacing w:after="0" w:line="274"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r>
      <w:tr>
        <w:trPr>
          <w:trHeight w:val="240"/>
        </w:trPr>
        <w:tc>
          <w:tcPr>
            <w:tcW w:w="86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5"/>
        </w:trPr>
        <w:tc>
          <w:tcPr>
            <w:tcW w:w="8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(shares)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(shares)</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11,757,964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10,857,964</w:t>
            </w: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6,526,758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5,630,561</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convertible notes payable – related party</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5,966,437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5,365,259</w:t>
            </w: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Arial" w:cs="Arial" w:eastAsia="Arial" w:hAnsi="Arial"/>
                <w:sz w:val="18"/>
                <w:szCs w:val="18"/>
                <w:color w:val="auto"/>
              </w:rPr>
              <w:t>Shares of common stock issuable upon conversion of convertible line of credit – related party</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6,727,849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2"/>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503,340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6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31,482,348</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22,364,208</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276" w:lineRule="exact"/>
        <w:rPr>
          <w:sz w:val="20"/>
          <w:szCs w:val="20"/>
          <w:color w:val="auto"/>
        </w:rPr>
      </w:pPr>
    </w:p>
    <w:p>
      <w:pPr>
        <w:ind w:right="40" w:firstLine="385"/>
        <w:spacing w:after="0" w:line="271" w:lineRule="auto"/>
        <w:rPr>
          <w:sz w:val="20"/>
          <w:szCs w:val="20"/>
          <w:color w:val="auto"/>
        </w:rPr>
      </w:pPr>
      <w:r>
        <w:rPr>
          <w:rFonts w:ascii="Arial" w:cs="Arial" w:eastAsia="Arial" w:hAnsi="Arial"/>
          <w:sz w:val="17"/>
          <w:szCs w:val="17"/>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quarter ended March 31, 2023, there were no issuances of shares of common stock under the 2020 At Market Agreement.</w:t>
      </w:r>
    </w:p>
    <w:p>
      <w:pPr>
        <w:spacing w:after="0" w:line="286" w:lineRule="exact"/>
        <w:rPr>
          <w:sz w:val="20"/>
          <w:szCs w:val="20"/>
          <w:color w:val="auto"/>
        </w:rPr>
      </w:pPr>
    </w:p>
    <w:p>
      <w:pPr>
        <w:ind w:right="20" w:firstLine="438"/>
        <w:spacing w:after="0" w:line="274" w:lineRule="auto"/>
        <w:rPr>
          <w:sz w:val="20"/>
          <w:szCs w:val="20"/>
          <w:color w:val="auto"/>
        </w:rPr>
      </w:pPr>
      <w:r>
        <w:rPr>
          <w:rFonts w:ascii="Arial" w:cs="Arial" w:eastAsia="Arial" w:hAnsi="Arial"/>
          <w:sz w:val="18"/>
          <w:szCs w:val="18"/>
          <w:color w:val="auto"/>
        </w:rPr>
        <w:t>For each of the three months ended March 31, 2023 and 2022, the Company issued a total of 30,200 and 30,625 shares of common stock, respectively, for dividends on Series A and Series C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Line of Credit – Related Party</w:t>
      </w:r>
    </w:p>
    <w:p>
      <w:pPr>
        <w:spacing w:after="0" w:line="226" w:lineRule="exact"/>
        <w:rPr>
          <w:sz w:val="20"/>
          <w:szCs w:val="20"/>
          <w:color w:val="auto"/>
        </w:rPr>
      </w:pPr>
    </w:p>
    <w:p>
      <w:pPr>
        <w:ind w:right="340" w:firstLine="385"/>
        <w:spacing w:after="0" w:line="261" w:lineRule="auto"/>
        <w:rPr>
          <w:sz w:val="20"/>
          <w:szCs w:val="20"/>
          <w:color w:val="auto"/>
        </w:rPr>
      </w:pPr>
      <w:r>
        <w:rPr>
          <w:rFonts w:ascii="Arial" w:cs="Arial" w:eastAsia="Arial" w:hAnsi="Arial"/>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84" w:lineRule="exact"/>
        <w:rPr>
          <w:sz w:val="20"/>
          <w:szCs w:val="20"/>
          <w:color w:val="auto"/>
        </w:rPr>
      </w:pPr>
    </w:p>
    <w:p>
      <w:pPr>
        <w:ind w:right="260" w:firstLine="385"/>
        <w:spacing w:after="0" w:line="277" w:lineRule="auto"/>
        <w:rPr>
          <w:sz w:val="20"/>
          <w:szCs w:val="20"/>
          <w:color w:val="auto"/>
        </w:rPr>
      </w:pPr>
      <w:r>
        <w:rPr>
          <w:rFonts w:ascii="Arial" w:cs="Arial" w:eastAsia="Arial" w:hAnsi="Arial"/>
          <w:sz w:val="17"/>
          <w:szCs w:val="17"/>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1" w:lineRule="exact"/>
        <w:rPr>
          <w:sz w:val="20"/>
          <w:szCs w:val="20"/>
          <w:color w:val="auto"/>
        </w:rPr>
      </w:pPr>
    </w:p>
    <w:p>
      <w:pPr>
        <w:ind w:right="440" w:firstLine="385"/>
        <w:spacing w:after="0" w:line="261" w:lineRule="auto"/>
        <w:rPr>
          <w:sz w:val="20"/>
          <w:szCs w:val="20"/>
          <w:color w:val="auto"/>
        </w:rPr>
      </w:pPr>
      <w:r>
        <w:rPr>
          <w:rFonts w:ascii="Arial" w:cs="Arial" w:eastAsia="Arial" w:hAnsi="Arial"/>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4" w:lineRule="exact"/>
        <w:rPr>
          <w:sz w:val="20"/>
          <w:szCs w:val="20"/>
          <w:color w:val="auto"/>
        </w:rPr>
      </w:pPr>
    </w:p>
    <w:p>
      <w:pPr>
        <w:ind w:right="220" w:firstLine="385"/>
        <w:spacing w:after="0" w:line="270" w:lineRule="auto"/>
        <w:rPr>
          <w:sz w:val="20"/>
          <w:szCs w:val="20"/>
          <w:color w:val="auto"/>
        </w:rPr>
      </w:pPr>
      <w:r>
        <w:rPr>
          <w:rFonts w:ascii="Arial" w:cs="Arial" w:eastAsia="Arial" w:hAnsi="Arial"/>
          <w:sz w:val="17"/>
          <w:szCs w:val="17"/>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fair value of the 500,000 warrants vested at closing on July 25, 2022 was $738,000 at the date of issuance based on the following assumptions: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an expected life of 7 years, volatility of 92%, risk free interest rate of 3.19% and zero dividends. The fair value of the vested warrants was recorded in</w:t>
      </w:r>
    </w:p>
    <w:p>
      <w:pPr>
        <w:sectPr>
          <w:pgSz w:w="11900" w:h="16838" w:orient="portrait"/>
          <w:cols w:equalWidth="0" w:num="1">
            <w:col w:w="11240"/>
          </w:cols>
          <w:pgMar w:left="320" w:top="122" w:right="339" w:bottom="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other assets (non-current) as a deferred financing cost and will be amortized on a straight-line basis from July 25, 2022 through January 31, 2026.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Amortization for the three months ended March 31, 2023 of $52,000 was recorded as interest expense.</w:t>
      </w:r>
    </w:p>
    <w:p>
      <w:pPr>
        <w:spacing w:after="0" w:line="208" w:lineRule="exact"/>
        <w:rPr>
          <w:sz w:val="20"/>
          <w:szCs w:val="20"/>
          <w:color w:val="auto"/>
        </w:rPr>
      </w:pPr>
    </w:p>
    <w:p>
      <w:pPr>
        <w:ind w:right="160" w:firstLine="385"/>
        <w:spacing w:after="0" w:line="274" w:lineRule="auto"/>
        <w:rPr>
          <w:sz w:val="20"/>
          <w:szCs w:val="20"/>
          <w:color w:val="auto"/>
        </w:rPr>
      </w:pPr>
      <w:r>
        <w:rPr>
          <w:rFonts w:ascii="Arial" w:cs="Arial" w:eastAsia="Arial" w:hAnsi="Arial"/>
          <w:sz w:val="17"/>
          <w:szCs w:val="17"/>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$23,000 at December 31, 2022.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73" w:lineRule="exact"/>
        <w:rPr>
          <w:sz w:val="20"/>
          <w:szCs w:val="20"/>
          <w:color w:val="auto"/>
        </w:rPr>
      </w:pPr>
    </w:p>
    <w:p>
      <w:pPr>
        <w:ind w:firstLine="385"/>
        <w:spacing w:after="0" w:line="291" w:lineRule="auto"/>
        <w:rPr>
          <w:sz w:val="20"/>
          <w:szCs w:val="20"/>
          <w:color w:val="auto"/>
        </w:rPr>
      </w:pPr>
      <w:r>
        <w:rPr>
          <w:rFonts w:ascii="Arial" w:cs="Arial" w:eastAsia="Arial" w:hAnsi="Arial"/>
          <w:sz w:val="16"/>
          <w:szCs w:val="16"/>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Amortization for the three months ended March 31, 2023 of $13,000 was recorded as interest expense. The fair value of warrants that vest in the future based on borrowings will be computed when those borrowings occur and amortized over the remaining period through January 31, 2026.</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March 31, 2023, the Company executed an additional $10 million Promissory Note under the Line of Credit. The interest rate on this draw is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6.41% (Applicable Federal Rate for short term loans on date of draw of 4.41% plus 2%). The effective interest rate is approximately 7.1%. The principal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accrued interest is convertible at the option of the Lender at $3.00 per share. In accordance with the Credit Agreement, the Company issued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Lender a Warrant to purchase up to 200,000 shares of Company’s Common Stock at an exercise price of $3.26 per share, which Warrant is exercisable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upon issuance.</w:t>
      </w:r>
    </w:p>
    <w:p>
      <w:pPr>
        <w:spacing w:after="0" w:line="208" w:lineRule="exact"/>
        <w:rPr>
          <w:sz w:val="20"/>
          <w:szCs w:val="20"/>
          <w:color w:val="auto"/>
        </w:rPr>
      </w:pPr>
    </w:p>
    <w:p>
      <w:pPr>
        <w:ind w:right="200" w:firstLine="385"/>
        <w:spacing w:after="0" w:line="299" w:lineRule="auto"/>
        <w:rPr>
          <w:sz w:val="20"/>
          <w:szCs w:val="20"/>
          <w:color w:val="auto"/>
        </w:rPr>
      </w:pPr>
      <w:r>
        <w:rPr>
          <w:rFonts w:ascii="Arial" w:cs="Arial" w:eastAsia="Arial" w:hAnsi="Arial"/>
          <w:sz w:val="16"/>
          <w:szCs w:val="16"/>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March 31, 2023 through January 31, 2026.</w:t>
      </w:r>
    </w:p>
    <w:p>
      <w:pPr>
        <w:spacing w:after="0" w:line="157" w:lineRule="exact"/>
        <w:rPr>
          <w:sz w:val="20"/>
          <w:szCs w:val="20"/>
          <w:color w:val="auto"/>
        </w:rPr>
      </w:pPr>
    </w:p>
    <w:p>
      <w:pPr>
        <w:ind w:right="540" w:firstLine="385"/>
        <w:spacing w:after="0" w:line="274" w:lineRule="auto"/>
        <w:rPr>
          <w:sz w:val="20"/>
          <w:szCs w:val="20"/>
          <w:color w:val="auto"/>
        </w:rPr>
      </w:pPr>
      <w:r>
        <w:rPr>
          <w:rFonts w:ascii="Arial" w:cs="Arial" w:eastAsia="Arial" w:hAnsi="Arial"/>
          <w:sz w:val="18"/>
          <w:szCs w:val="18"/>
          <w:color w:val="auto"/>
        </w:rPr>
        <w:t>The fair value of warrants that vest in the future based on borrowings will be computed when those borrowings occur and amortized over the remaining period through January 31, 2026.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222" w:lineRule="exact"/>
        <w:rPr>
          <w:sz w:val="20"/>
          <w:szCs w:val="20"/>
          <w:color w:val="auto"/>
        </w:rPr>
      </w:pPr>
    </w:p>
    <w:p>
      <w:pPr>
        <w:ind w:right="200" w:firstLine="438"/>
        <w:spacing w:after="0" w:line="274"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and Research Commitments</w:t>
      </w:r>
    </w:p>
    <w:p>
      <w:pPr>
        <w:spacing w:after="0" w:line="222" w:lineRule="exact"/>
        <w:rPr>
          <w:sz w:val="20"/>
          <w:szCs w:val="20"/>
          <w:color w:val="auto"/>
        </w:rPr>
      </w:pPr>
    </w:p>
    <w:p>
      <w:pPr>
        <w:ind w:right="80" w:firstLine="438"/>
        <w:spacing w:after="0" w:line="274"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6" w:lineRule="exact"/>
        <w:rPr>
          <w:sz w:val="20"/>
          <w:szCs w:val="20"/>
          <w:color w:val="auto"/>
        </w:rPr>
      </w:pPr>
    </w:p>
    <w:p>
      <w:pPr>
        <w:ind w:right="20" w:firstLine="438"/>
        <w:spacing w:after="0" w:line="253" w:lineRule="auto"/>
        <w:rPr>
          <w:sz w:val="20"/>
          <w:szCs w:val="20"/>
          <w:color w:val="auto"/>
        </w:rPr>
      </w:pPr>
      <w:r>
        <w:rPr>
          <w:rFonts w:ascii="Arial" w:cs="Arial" w:eastAsia="Arial" w:hAnsi="Arial"/>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a half months of the lease and continues the security deposit of $6,000. In addition to base rental payments included in the contractual obligations table above, the Company is responsible for our pro-rata share of the operating expenses for the building. Our lease cost for the three-month periods ended March 31, 2023 and 2022 was approximately $13,000 for each period and is included in general and administrative expenses. As of March 31, 2023, the right to use lease asset consisted of $78,000 and is included in other assets. Also, at March 31, 2023, current lease liability of $42,000 is included in accrued expenses and long term lease liability was $55,000 and included in other liabilities.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Maturity of operating lease as of March 31, 2023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5"/>
        </w:trPr>
        <w:tc>
          <w:tcPr>
            <w:tcW w:w="10000" w:type="dxa"/>
            <w:vAlign w:val="bottom"/>
          </w:tcPr>
          <w:p>
            <w:pPr>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22"/>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100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22"/>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10000" w:type="dxa"/>
            <w:vAlign w:val="bottom"/>
          </w:tcPr>
          <w:p>
            <w:pPr>
              <w:spacing w:after="0"/>
              <w:rPr>
                <w:sz w:val="20"/>
                <w:szCs w:val="20"/>
                <w:color w:val="auto"/>
              </w:rPr>
            </w:pPr>
            <w:r>
              <w:rPr>
                <w:rFonts w:ascii="Arial" w:cs="Arial" w:eastAsia="Arial" w:hAnsi="Arial"/>
                <w:sz w:val="18"/>
                <w:szCs w:val="18"/>
                <w:color w:val="auto"/>
              </w:rPr>
              <w:t>Present value of lease liability</w:t>
            </w:r>
          </w:p>
        </w:tc>
        <w:tc>
          <w:tcPr>
            <w:tcW w:w="4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0"/>
        </w:trPr>
        <w:tc>
          <w:tcPr>
            <w:tcW w:w="10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discount rate used in calculating the present value of the lease payments was 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Galectin Sciences LLC</w:t>
      </w:r>
    </w:p>
    <w:p>
      <w:pPr>
        <w:spacing w:after="0" w:line="226" w:lineRule="exact"/>
        <w:rPr>
          <w:sz w:val="20"/>
          <w:szCs w:val="20"/>
          <w:color w:val="auto"/>
        </w:rPr>
      </w:pPr>
    </w:p>
    <w:p>
      <w:pPr>
        <w:ind w:right="20" w:firstLine="438"/>
        <w:spacing w:after="0" w:line="284"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the Company has contributed a total of $3,364,000, including $126,000 for the three months ended March 31, 2023, for expenses of the LLC. Since the end of 2014, SBH has contributed $158,000 for expenses in the LLC. As of March 31, 2023, the Company’s ownership percentage in the LLC was 85.8%. The Company accounts for the interest in the LLC as a consolidated, less than wholly owned subsidiary. Because the LLC’s equity is immaterial, the value of the non-controlling interest is also deemed to be immaterial.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6" w:lineRule="exact"/>
        <w:rPr>
          <w:sz w:val="20"/>
          <w:szCs w:val="20"/>
          <w:color w:val="auto"/>
        </w:rPr>
      </w:pPr>
    </w:p>
    <w:p>
      <w:pPr>
        <w:ind w:right="40" w:firstLine="385"/>
        <w:spacing w:after="0" w:line="284"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73" w:lineRule="exact"/>
        <w:rPr>
          <w:sz w:val="20"/>
          <w:szCs w:val="20"/>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222" w:lineRule="exact"/>
        <w:rPr>
          <w:rFonts w:ascii="Arial" w:cs="Arial" w:eastAsia="Arial" w:hAnsi="Arial"/>
          <w:sz w:val="18"/>
          <w:szCs w:val="18"/>
          <w:color w:val="auto"/>
        </w:rPr>
      </w:pPr>
    </w:p>
    <w:p>
      <w:pPr>
        <w:ind w:left="1280" w:hanging="419"/>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233" w:lineRule="exact"/>
        <w:rPr>
          <w:rFonts w:ascii="Arial" w:cs="Arial" w:eastAsia="Arial" w:hAnsi="Arial"/>
          <w:sz w:val="17"/>
          <w:szCs w:val="17"/>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222" w:lineRule="exact"/>
        <w:rPr>
          <w:rFonts w:ascii="Arial" w:cs="Arial" w:eastAsia="Arial" w:hAnsi="Arial"/>
          <w:sz w:val="18"/>
          <w:szCs w:val="18"/>
          <w:color w:val="auto"/>
        </w:rPr>
      </w:pPr>
    </w:p>
    <w:p>
      <w:pPr>
        <w:ind w:left="1280" w:right="500" w:hanging="419"/>
        <w:spacing w:after="0" w:line="274"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171" w:lineRule="exact"/>
        <w:rPr>
          <w:rFonts w:ascii="Arial" w:cs="Arial" w:eastAsia="Arial" w:hAnsi="Arial"/>
          <w:sz w:val="18"/>
          <w:szCs w:val="18"/>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222" w:lineRule="exact"/>
        <w:rPr>
          <w:rFonts w:ascii="Arial" w:cs="Arial" w:eastAsia="Arial" w:hAnsi="Arial"/>
          <w:sz w:val="18"/>
          <w:szCs w:val="18"/>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222" w:lineRule="exact"/>
        <w:rPr>
          <w:rFonts w:ascii="Arial" w:cs="Arial" w:eastAsia="Arial" w:hAnsi="Arial"/>
          <w:sz w:val="18"/>
          <w:szCs w:val="18"/>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222" w:lineRule="exact"/>
        <w:rPr>
          <w:rFonts w:ascii="Arial" w:cs="Arial" w:eastAsia="Arial" w:hAnsi="Arial"/>
          <w:sz w:val="18"/>
          <w:szCs w:val="18"/>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222" w:lineRule="exact"/>
        <w:rPr>
          <w:rFonts w:ascii="Arial" w:cs="Arial" w:eastAsia="Arial" w:hAnsi="Arial"/>
          <w:sz w:val="18"/>
          <w:szCs w:val="18"/>
          <w:color w:val="auto"/>
        </w:rPr>
      </w:pPr>
    </w:p>
    <w:p>
      <w:pPr>
        <w:ind w:left="1280" w:right="160" w:hanging="419"/>
        <w:spacing w:after="0" w:line="339"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24" w:lineRule="exact"/>
        <w:rPr>
          <w:rFonts w:ascii="Arial" w:cs="Arial" w:eastAsia="Arial" w:hAnsi="Arial"/>
          <w:sz w:val="16"/>
          <w:szCs w:val="16"/>
          <w:color w:val="auto"/>
        </w:rPr>
      </w:pPr>
    </w:p>
    <w:p>
      <w:pPr>
        <w:ind w:left="1280" w:hanging="419"/>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222" w:lineRule="exact"/>
        <w:rPr>
          <w:rFonts w:ascii="Arial" w:cs="Arial" w:eastAsia="Arial" w:hAnsi="Arial"/>
          <w:sz w:val="18"/>
          <w:szCs w:val="18"/>
          <w:color w:val="auto"/>
        </w:rPr>
      </w:pPr>
    </w:p>
    <w:p>
      <w:pPr>
        <w:ind w:left="1280" w:right="100" w:hanging="419"/>
        <w:spacing w:after="0" w:line="274"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1" w:lineRule="exact"/>
        <w:rPr>
          <w:rFonts w:ascii="Arial" w:cs="Arial" w:eastAsia="Arial" w:hAnsi="Arial"/>
          <w:sz w:val="18"/>
          <w:szCs w:val="18"/>
          <w:color w:val="auto"/>
        </w:rPr>
      </w:pPr>
    </w:p>
    <w:p>
      <w:pPr>
        <w:ind w:left="1280" w:hanging="419"/>
        <w:spacing w:after="0" w:line="339"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24" w:lineRule="exact"/>
        <w:rPr>
          <w:rFonts w:ascii="Arial" w:cs="Arial" w:eastAsia="Arial" w:hAnsi="Arial"/>
          <w:sz w:val="16"/>
          <w:szCs w:val="16"/>
          <w:color w:val="auto"/>
        </w:rPr>
      </w:pPr>
    </w:p>
    <w:p>
      <w:pPr>
        <w:ind w:left="1280" w:right="20" w:hanging="419"/>
        <w:spacing w:after="0" w:line="274"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2022, and our subsequent SEC filings.</w:t>
      </w:r>
    </w:p>
    <w:p>
      <w:pPr>
        <w:spacing w:after="0" w:line="172" w:lineRule="exact"/>
        <w:rPr>
          <w:sz w:val="20"/>
          <w:szCs w:val="20"/>
          <w:color w:val="auto"/>
        </w:rPr>
      </w:pPr>
    </w:p>
    <w:p>
      <w:pPr>
        <w:ind w:right="1280" w:firstLine="385"/>
        <w:spacing w:after="0" w:line="274"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ind w:right="80" w:firstLine="346"/>
        <w:spacing w:after="0" w:line="286"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 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ectPr>
          <w:pgSz w:w="11900" w:h="16838" w:orient="portrait"/>
          <w:cols w:equalWidth="0" w:num="1">
            <w:col w:w="11240"/>
          </w:cols>
          <w:pgMar w:left="320" w:top="122"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5" w:lineRule="exact"/>
        <w:rPr>
          <w:sz w:val="20"/>
          <w:szCs w:val="20"/>
          <w:color w:val="auto"/>
        </w:rPr>
      </w:pPr>
    </w:p>
    <w:p>
      <w:pPr>
        <w:ind w:firstLine="346"/>
        <w:spacing w:after="0" w:line="269" w:lineRule="auto"/>
        <w:rPr>
          <w:sz w:val="20"/>
          <w:szCs w:val="20"/>
          <w:color w:val="auto"/>
        </w:rPr>
      </w:pPr>
      <w:r>
        <w:rPr>
          <w:rFonts w:ascii="Arial" w:cs="Arial" w:eastAsia="Arial" w:hAnsi="Arial"/>
          <w:sz w:val="17"/>
          <w:szCs w:val="17"/>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80" w:lineRule="exact"/>
        <w:rPr>
          <w:sz w:val="20"/>
          <w:szCs w:val="20"/>
          <w:color w:val="auto"/>
        </w:rPr>
      </w:pPr>
    </w:p>
    <w:p>
      <w:pPr>
        <w:ind w:firstLine="346"/>
        <w:spacing w:after="0" w:line="254" w:lineRule="auto"/>
        <w:rPr>
          <w:sz w:val="20"/>
          <w:szCs w:val="20"/>
          <w:color w:val="auto"/>
        </w:rPr>
      </w:pPr>
      <w:r>
        <w:rPr>
          <w:rFonts w:ascii="Arial" w:cs="Arial" w:eastAsia="Arial" w:hAnsi="Arial"/>
          <w:sz w:val="18"/>
          <w:szCs w:val="18"/>
          <w:color w:val="auto"/>
        </w:rPr>
        <w:t xml:space="preserve">In February 2023, we completed randomizations totaling 357 patients in a large, global Phase 2b/3 clinical trial. Our study protocol was filed with the FDA on April 30, 2020, for a seamless adaptively-designed Phase 2b/3 clinical study, the NAVIGATE trial, evaluating the safety and efficacy of our galectin-3 inhibitor, belapectin, for the prevention of esophageal varices in patients with non-alcoholic steatohepatitis (NASH) cirrhosis (Further details are available at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89" w:lineRule="exact"/>
        <w:rPr>
          <w:sz w:val="20"/>
          <w:szCs w:val="20"/>
          <w:color w:val="auto"/>
        </w:rPr>
      </w:pPr>
    </w:p>
    <w:p>
      <w:pPr>
        <w:ind w:right="360" w:firstLine="346"/>
        <w:spacing w:after="0" w:line="257"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became fully enrolled in February 2022.</w:t>
      </w:r>
    </w:p>
    <w:p>
      <w:pPr>
        <w:spacing w:after="0" w:line="187" w:lineRule="exact"/>
        <w:rPr>
          <w:sz w:val="20"/>
          <w:szCs w:val="20"/>
          <w:color w:val="auto"/>
        </w:rPr>
      </w:pPr>
    </w:p>
    <w:p>
      <w:pPr>
        <w:ind w:right="60" w:firstLine="346"/>
        <w:spacing w:after="0" w:line="271"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79" w:lineRule="exact"/>
        <w:rPr>
          <w:sz w:val="20"/>
          <w:szCs w:val="20"/>
          <w:color w:val="auto"/>
        </w:rPr>
      </w:pPr>
    </w:p>
    <w:p>
      <w:pPr>
        <w:ind w:right="120" w:firstLine="346"/>
        <w:spacing w:after="0" w:line="257" w:lineRule="auto"/>
        <w:rPr>
          <w:sz w:val="20"/>
          <w:szCs w:val="20"/>
          <w:color w:val="auto"/>
        </w:rPr>
      </w:pPr>
      <w:r>
        <w:rPr>
          <w:rFonts w:ascii="Arial" w:cs="Arial" w:eastAsia="Arial" w:hAnsi="Arial"/>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our proposed products are presently in development, including pre-clinical and clinical trials.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226" w:lineRule="exact"/>
        <w:rPr>
          <w:sz w:val="20"/>
          <w:szCs w:val="20"/>
          <w:color w:val="auto"/>
        </w:rPr>
      </w:pPr>
    </w:p>
    <w:p>
      <w:pPr>
        <w:ind w:right="420" w:firstLine="382"/>
        <w:spacing w:after="0" w:line="269" w:lineRule="auto"/>
        <w:rPr>
          <w:sz w:val="20"/>
          <w:szCs w:val="20"/>
          <w:color w:val="auto"/>
        </w:rPr>
      </w:pPr>
      <w:r>
        <w:rPr>
          <w:rFonts w:ascii="Arial" w:cs="Arial" w:eastAsia="Arial" w:hAnsi="Arial"/>
          <w:sz w:val="17"/>
          <w:szCs w:val="17"/>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80" w:lineRule="exact"/>
        <w:rPr>
          <w:sz w:val="20"/>
          <w:szCs w:val="20"/>
          <w:color w:val="auto"/>
        </w:rPr>
      </w:pPr>
    </w:p>
    <w:p>
      <w:pPr>
        <w:ind w:right="400" w:firstLine="382"/>
        <w:spacing w:after="0" w:line="299" w:lineRule="auto"/>
        <w:rPr>
          <w:sz w:val="20"/>
          <w:szCs w:val="20"/>
          <w:color w:val="auto"/>
        </w:rPr>
      </w:pPr>
      <w:r>
        <w:rPr>
          <w:rFonts w:ascii="Arial" w:cs="Arial" w:eastAsia="Arial" w:hAnsi="Arial"/>
          <w:sz w:val="16"/>
          <w:szCs w:val="16"/>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660" w:type="dxa"/>
            <w:vAlign w:val="bottom"/>
          </w:tcPr>
          <w:p>
            <w:pPr>
              <w:spacing w:after="0"/>
              <w:rPr>
                <w:sz w:val="14"/>
                <w:szCs w:val="14"/>
                <w:color w:val="auto"/>
              </w:rPr>
            </w:pPr>
          </w:p>
        </w:tc>
        <w:tc>
          <w:tcPr>
            <w:tcW w:w="688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83"/>
        </w:trPr>
        <w:tc>
          <w:tcPr>
            <w:tcW w:w="3740" w:type="dxa"/>
            <w:vAlign w:val="bottom"/>
            <w:gridSpan w:val="3"/>
          </w:tcPr>
          <w:p>
            <w:pPr>
              <w:spacing w:after="0"/>
              <w:rPr>
                <w:sz w:val="20"/>
                <w:szCs w:val="20"/>
                <w:color w:val="auto"/>
              </w:rPr>
            </w:pPr>
            <w:r>
              <w:rPr>
                <w:rFonts w:ascii="Arial" w:cs="Arial" w:eastAsia="Arial" w:hAnsi="Arial"/>
                <w:sz w:val="18"/>
                <w:szCs w:val="18"/>
                <w:color w:val="auto"/>
              </w:rPr>
              <w:t>Our product pipeline is shown below:</w:t>
            </w:r>
          </w:p>
        </w:tc>
        <w:tc>
          <w:tcPr>
            <w:tcW w:w="6880" w:type="dxa"/>
            <w:vAlign w:val="bottom"/>
          </w:tcPr>
          <w:p>
            <w:pPr>
              <w:spacing w:after="0"/>
              <w:rPr>
                <w:sz w:val="24"/>
                <w:szCs w:val="24"/>
                <w:color w:val="auto"/>
              </w:rPr>
            </w:pPr>
          </w:p>
        </w:tc>
      </w:tr>
      <w:tr>
        <w:trPr>
          <w:trHeight w:val="41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Indication</w:t>
            </w:r>
          </w:p>
        </w:tc>
        <w:tc>
          <w:tcPr>
            <w:tcW w:w="1660" w:type="dxa"/>
            <w:vAlign w:val="bottom"/>
          </w:tcPr>
          <w:p>
            <w:pPr>
              <w:ind w:left="180"/>
              <w:spacing w:after="0"/>
              <w:rPr>
                <w:sz w:val="20"/>
                <w:szCs w:val="20"/>
                <w:color w:val="auto"/>
              </w:rPr>
            </w:pPr>
            <w:r>
              <w:rPr>
                <w:rFonts w:ascii="Arial" w:cs="Arial" w:eastAsia="Arial" w:hAnsi="Arial"/>
                <w:sz w:val="18"/>
                <w:szCs w:val="18"/>
                <w:b w:val="1"/>
                <w:bCs w:val="1"/>
                <w:color w:val="auto"/>
              </w:rPr>
              <w:t>Drug</w:t>
            </w:r>
          </w:p>
        </w:tc>
        <w:tc>
          <w:tcPr>
            <w:tcW w:w="6880" w:type="dxa"/>
            <w:vAlign w:val="bottom"/>
          </w:tcPr>
          <w:p>
            <w:pPr>
              <w:ind w:left="760"/>
              <w:spacing w:after="0"/>
              <w:rPr>
                <w:sz w:val="20"/>
                <w:szCs w:val="20"/>
                <w:color w:val="auto"/>
              </w:rPr>
            </w:pPr>
            <w:r>
              <w:rPr>
                <w:rFonts w:ascii="Arial" w:cs="Arial" w:eastAsia="Arial" w:hAnsi="Arial"/>
                <w:sz w:val="18"/>
                <w:szCs w:val="18"/>
                <w:b w:val="1"/>
                <w:bCs w:val="1"/>
                <w:color w:val="auto"/>
              </w:rPr>
              <w:t>Status</w:t>
            </w: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w w:val="94"/>
              </w:rPr>
              <w:t>Prevention of esophageal</w:t>
            </w:r>
          </w:p>
        </w:tc>
        <w:tc>
          <w:tcPr>
            <w:tcW w:w="166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varices</w:t>
            </w:r>
          </w:p>
        </w:tc>
        <w:tc>
          <w:tcPr>
            <w:tcW w:w="166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in</w:t>
            </w:r>
          </w:p>
        </w:tc>
        <w:tc>
          <w:tcPr>
            <w:tcW w:w="166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NASH cirrhosis</w:t>
            </w:r>
          </w:p>
        </w:tc>
        <w:tc>
          <w:tcPr>
            <w:tcW w:w="1660" w:type="dxa"/>
            <w:vAlign w:val="bottom"/>
          </w:tcPr>
          <w:p>
            <w:pPr>
              <w:spacing w:after="0"/>
              <w:rPr>
                <w:sz w:val="20"/>
                <w:szCs w:val="20"/>
                <w:color w:val="auto"/>
              </w:rPr>
            </w:pPr>
          </w:p>
        </w:tc>
        <w:tc>
          <w:tcPr>
            <w:tcW w:w="6880" w:type="dxa"/>
            <w:vAlign w:val="bottom"/>
          </w:tcPr>
          <w:p>
            <w:pPr>
              <w:spacing w:after="0"/>
              <w:rPr>
                <w:sz w:val="20"/>
                <w:szCs w:val="20"/>
                <w:color w:val="auto"/>
              </w:rPr>
            </w:pPr>
          </w:p>
        </w:tc>
      </w:tr>
      <w:tr>
        <w:trPr>
          <w:trHeight w:val="415"/>
        </w:trPr>
        <w:tc>
          <w:tcPr>
            <w:tcW w:w="2080" w:type="dxa"/>
            <w:vAlign w:val="bottom"/>
            <w:gridSpan w:val="2"/>
          </w:tcPr>
          <w:p>
            <w:pPr>
              <w:spacing w:after="0"/>
              <w:rPr>
                <w:sz w:val="20"/>
                <w:szCs w:val="20"/>
                <w:color w:val="auto"/>
              </w:rPr>
            </w:pPr>
            <w:r>
              <w:rPr>
                <w:rFonts w:ascii="Arial" w:cs="Arial" w:eastAsia="Arial" w:hAnsi="Arial"/>
                <w:sz w:val="18"/>
                <w:szCs w:val="18"/>
                <w:color w:val="auto"/>
              </w:rPr>
              <w:t>Phase 1 interaction trial:</w:t>
            </w:r>
          </w:p>
        </w:tc>
        <w:tc>
          <w:tcPr>
            <w:tcW w:w="1660" w:type="dxa"/>
            <w:vAlign w:val="bottom"/>
          </w:tcPr>
          <w:p>
            <w:pPr>
              <w:spacing w:after="0"/>
              <w:rPr>
                <w:sz w:val="24"/>
                <w:szCs w:val="24"/>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89"/>
              </w:rPr>
              <w:t>IND submitted January 2013. Results from the Phase 1 interaction trial were reported</w:t>
            </w: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color w:val="auto"/>
              </w:rPr>
              <w:t>NASH-CX trial and</w:t>
            </w:r>
          </w:p>
        </w:tc>
        <w:tc>
          <w:tcPr>
            <w:tcW w:w="166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880" w:type="dxa"/>
            <w:vAlign w:val="bottom"/>
          </w:tcPr>
          <w:p>
            <w:pPr>
              <w:ind w:left="760"/>
              <w:spacing w:after="0"/>
              <w:rPr>
                <w:sz w:val="20"/>
                <w:szCs w:val="20"/>
                <w:color w:val="auto"/>
              </w:rPr>
            </w:pPr>
            <w:r>
              <w:rPr>
                <w:rFonts w:ascii="Arial" w:cs="Arial" w:eastAsia="Arial" w:hAnsi="Arial"/>
                <w:sz w:val="18"/>
                <w:szCs w:val="18"/>
                <w:color w:val="auto"/>
                <w:w w:val="96"/>
              </w:rPr>
              <w:t>in 2014, with final results reported in January 2015. The Phase 2 NASH FX trial</w:t>
            </w: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color w:val="auto"/>
              </w:rPr>
              <w:t>NASH-FX trial</w:t>
            </w: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8"/>
              </w:rPr>
              <w:t>was conducted in patients with advanced fibrosis but not cirrhosis. Its principal</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6"/>
              </w:rPr>
              <w:t>purpose was to evaluate various imaging modalities. The NASH FX trial top line</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4"/>
              </w:rPr>
              <w:t>data was reported in September 2016 and published in Alimentary Pharmacology</w:t>
            </w:r>
          </w:p>
        </w:tc>
      </w:tr>
      <w:tr>
        <w:trPr>
          <w:trHeight w:val="229"/>
        </w:trPr>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and Therapeutics in 2016.</w:t>
            </w:r>
          </w:p>
        </w:tc>
      </w:tr>
      <w:tr>
        <w:trPr>
          <w:trHeight w:val="415"/>
        </w:trPr>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3"/>
              </w:rPr>
              <w:t>The Phase 2 NASH CX trial was conducted in patients with compensated cirrhosis</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and portal hypertension. The NASH CX trial top line data was reported in</w:t>
            </w:r>
          </w:p>
        </w:tc>
      </w:tr>
      <w:tr>
        <w:trPr>
          <w:trHeight w:val="229"/>
        </w:trPr>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 xml:space="preserve">December 2017 and was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r>
      <w:tr>
        <w:trPr>
          <w:trHeight w:val="415"/>
        </w:trPr>
        <w:tc>
          <w:tcPr>
            <w:tcW w:w="2080" w:type="dxa"/>
            <w:vAlign w:val="bottom"/>
            <w:gridSpan w:val="2"/>
          </w:tcPr>
          <w:p>
            <w:pPr>
              <w:spacing w:after="0"/>
              <w:rPr>
                <w:sz w:val="20"/>
                <w:szCs w:val="20"/>
                <w:color w:val="auto"/>
              </w:rPr>
            </w:pPr>
            <w:r>
              <w:rPr>
                <w:rFonts w:ascii="Arial" w:cs="Arial" w:eastAsia="Arial" w:hAnsi="Arial"/>
                <w:sz w:val="18"/>
                <w:szCs w:val="18"/>
                <w:color w:val="auto"/>
              </w:rPr>
              <w:t>NASH NAVIGATE</w:t>
            </w:r>
          </w:p>
        </w:tc>
        <w:tc>
          <w:tcPr>
            <w:tcW w:w="1660" w:type="dxa"/>
            <w:vAlign w:val="bottom"/>
          </w:tcPr>
          <w:p>
            <w:pPr>
              <w:spacing w:after="0"/>
              <w:rPr>
                <w:sz w:val="24"/>
                <w:szCs w:val="24"/>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6"/>
              </w:rPr>
              <w:t>Following FDA feedback, the NAVIGATE trial is an adaptive Phase 2b/3 trial for</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2"/>
              </w:rPr>
              <w:t>the prevention of esophageal varices in NASH patients with compensated cirrhosis</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1"/>
              </w:rPr>
              <w:t>and clinical signs of portal hypertension. A Phase 2b interim efficacy analysis will be</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2"/>
              </w:rPr>
              <w:t>incorporated to confirm previous Phase 2 data, select an optimal dose and reaffirm</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4"/>
              </w:rPr>
              <w:t>the risk/benefit of belapectin. The Phase 3 end of study analysis will evaluate the</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4"/>
              </w:rPr>
              <w:t>development of esophageal varices as the same primary outcome of efficacy and</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4"/>
              </w:rPr>
              <w:t>a composite clinical endpoint including progression to varices requiring treatment</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6"/>
              </w:rPr>
              <w:t>as a key secondary outcome of efficacy ( www.clinicaltrials.gov NCT04365868).</w:t>
            </w:r>
          </w:p>
        </w:tc>
      </w:tr>
      <w:tr>
        <w:trPr>
          <w:trHeight w:val="229"/>
        </w:trPr>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The final patient was randomized in February 2023.</w:t>
            </w:r>
          </w:p>
        </w:tc>
      </w:tr>
      <w:tr>
        <w:trPr>
          <w:trHeight w:val="415"/>
        </w:trPr>
        <w:tc>
          <w:tcPr>
            <w:tcW w:w="2080" w:type="dxa"/>
            <w:vAlign w:val="bottom"/>
            <w:gridSpan w:val="2"/>
          </w:tcPr>
          <w:p>
            <w:pPr>
              <w:spacing w:after="0"/>
              <w:rPr>
                <w:sz w:val="20"/>
                <w:szCs w:val="20"/>
                <w:color w:val="auto"/>
              </w:rPr>
            </w:pPr>
            <w:r>
              <w:rPr>
                <w:rFonts w:ascii="Arial" w:cs="Arial" w:eastAsia="Arial" w:hAnsi="Arial"/>
                <w:sz w:val="18"/>
                <w:szCs w:val="18"/>
                <w:color w:val="auto"/>
              </w:rPr>
              <w:t>Phase 1 study: hepatic</w:t>
            </w:r>
          </w:p>
        </w:tc>
        <w:tc>
          <w:tcPr>
            <w:tcW w:w="1660" w:type="dxa"/>
            <w:vAlign w:val="bottom"/>
          </w:tcPr>
          <w:p>
            <w:pPr>
              <w:spacing w:after="0"/>
              <w:rPr>
                <w:sz w:val="24"/>
                <w:szCs w:val="24"/>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8"/>
              </w:rPr>
              <w:t>A hepatic impairment study is being conducted in subjects with normal hepatic</w:t>
            </w: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color w:val="auto"/>
              </w:rPr>
              <w:t>insufficiency</w:t>
            </w: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function and subjects with varying degrees of hepatic impairment</w:t>
            </w:r>
          </w:p>
        </w:tc>
      </w:tr>
      <w:tr>
        <w:trPr>
          <w:trHeight w:val="215"/>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(www.clinicaltrials.gov NCT04332432) and began enrolling patients in the</w:t>
            </w:r>
          </w:p>
        </w:tc>
      </w:tr>
      <w:tr>
        <w:trPr>
          <w:trHeight w:val="229"/>
        </w:trPr>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second quarter of 2020. The study completed enrollment in February 2022.</w:t>
            </w:r>
          </w:p>
        </w:tc>
      </w:tr>
      <w:tr>
        <w:trPr>
          <w:trHeight w:val="429"/>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66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415"/>
        </w:trPr>
        <w:tc>
          <w:tcPr>
            <w:tcW w:w="2080" w:type="dxa"/>
            <w:vAlign w:val="bottom"/>
            <w:gridSpan w:val="2"/>
          </w:tcPr>
          <w:p>
            <w:pPr>
              <w:spacing w:after="0"/>
              <w:rPr>
                <w:sz w:val="20"/>
                <w:szCs w:val="20"/>
                <w:color w:val="auto"/>
              </w:rPr>
            </w:pPr>
            <w:r>
              <w:rPr>
                <w:rFonts w:ascii="Arial" w:cs="Arial" w:eastAsia="Arial" w:hAnsi="Arial"/>
                <w:sz w:val="18"/>
                <w:szCs w:val="18"/>
                <w:color w:val="auto"/>
              </w:rPr>
              <w:t>Melanoma, Head, Neck</w:t>
            </w:r>
          </w:p>
        </w:tc>
        <w:tc>
          <w:tcPr>
            <w:tcW w:w="166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880" w:type="dxa"/>
            <w:vAlign w:val="bottom"/>
          </w:tcPr>
          <w:p>
            <w:pPr>
              <w:ind w:left="760"/>
              <w:spacing w:after="0"/>
              <w:rPr>
                <w:sz w:val="20"/>
                <w:szCs w:val="20"/>
                <w:color w:val="auto"/>
              </w:rPr>
            </w:pPr>
            <w:r>
              <w:rPr>
                <w:rFonts w:ascii="Arial" w:cs="Arial" w:eastAsia="Arial" w:hAnsi="Arial"/>
                <w:sz w:val="18"/>
                <w:szCs w:val="18"/>
                <w:color w:val="auto"/>
                <w:w w:val="99"/>
              </w:rPr>
              <w:t>Investigator IND study was completed. A Phase 1B study began in Q-1 2016.</w:t>
            </w: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color w:val="auto"/>
              </w:rPr>
              <w:t>Squamous Cell</w:t>
            </w: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Early data was reported in February 2017 and additional data were reported</w:t>
            </w:r>
          </w:p>
        </w:tc>
      </w:tr>
      <w:tr>
        <w:trPr>
          <w:trHeight w:val="215"/>
        </w:trPr>
        <w:tc>
          <w:tcPr>
            <w:tcW w:w="2080" w:type="dxa"/>
            <w:vAlign w:val="bottom"/>
            <w:gridSpan w:val="2"/>
          </w:tcPr>
          <w:p>
            <w:pPr>
              <w:spacing w:after="0"/>
              <w:rPr>
                <w:sz w:val="20"/>
                <w:szCs w:val="20"/>
                <w:color w:val="auto"/>
              </w:rPr>
            </w:pPr>
            <w:r>
              <w:rPr>
                <w:rFonts w:ascii="Arial" w:cs="Arial" w:eastAsia="Arial" w:hAnsi="Arial"/>
                <w:sz w:val="18"/>
                <w:szCs w:val="18"/>
                <w:color w:val="auto"/>
              </w:rPr>
              <w:t>Carcinoma (HNSCC)</w:t>
            </w:r>
          </w:p>
        </w:tc>
        <w:tc>
          <w:tcPr>
            <w:tcW w:w="1660" w:type="dxa"/>
            <w:vAlign w:val="bottom"/>
          </w:tcPr>
          <w:p>
            <w:pPr>
              <w:spacing w:after="0"/>
              <w:rPr>
                <w:sz w:val="18"/>
                <w:szCs w:val="18"/>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rPr>
              <w:t>in September 2018. Data from an extension trial was reported in July 2021</w:t>
            </w:r>
          </w:p>
        </w:tc>
      </w:tr>
      <w:tr>
        <w:trPr>
          <w:trHeight w:val="229"/>
        </w:trPr>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80" w:type="dxa"/>
            <w:vAlign w:val="bottom"/>
          </w:tcPr>
          <w:p>
            <w:pPr>
              <w:ind w:left="760"/>
              <w:spacing w:after="0"/>
              <w:rPr>
                <w:sz w:val="20"/>
                <w:szCs w:val="20"/>
                <w:color w:val="auto"/>
              </w:rPr>
            </w:pPr>
            <w:r>
              <w:rPr>
                <w:rFonts w:ascii="Arial" w:cs="Arial" w:eastAsia="Arial" w:hAnsi="Arial"/>
                <w:sz w:val="18"/>
                <w:szCs w:val="18"/>
                <w:color w:val="auto"/>
                <w:w w:val="99"/>
              </w:rPr>
              <w:t>for additional melanoma and HNSCC patients which provided a rational basis</w:t>
            </w:r>
          </w:p>
        </w:tc>
      </w:tr>
    </w:tbl>
    <w:p>
      <w:pPr>
        <w:ind w:left="4500" w:right="720"/>
        <w:spacing w:after="0" w:line="290" w:lineRule="auto"/>
        <w:rPr>
          <w:sz w:val="20"/>
          <w:szCs w:val="20"/>
          <w:color w:val="auto"/>
        </w:rPr>
      </w:pPr>
      <w:r>
        <w:rPr>
          <w:rFonts w:ascii="Arial" w:cs="Arial" w:eastAsia="Arial" w:hAnsi="Arial"/>
          <w:sz w:val="16"/>
          <w:szCs w:val="16"/>
          <w:color w:val="auto"/>
        </w:rPr>
        <w:t>for additional trials which the Company is exploring. In the third quarter of 2022, the Company announced its IND application for belapectin in combination with a checkpoint inhibitor for the treatment of HNSCC was filed and a Study May Proceed letter was received from FDA. The Company is reviewing options for financing this trial which will determine when such trial could commence.</w:t>
      </w:r>
    </w:p>
    <w:p>
      <w:pPr>
        <w:spacing w:after="0" w:line="162" w:lineRule="exact"/>
        <w:rPr>
          <w:sz w:val="20"/>
          <w:szCs w:val="20"/>
          <w:color w:val="auto"/>
        </w:rPr>
      </w:pPr>
    </w:p>
    <w:p>
      <w:pPr>
        <w:ind w:firstLine="346"/>
        <w:spacing w:after="0" w:line="268" w:lineRule="auto"/>
        <w:rPr>
          <w:sz w:val="20"/>
          <w:szCs w:val="20"/>
          <w:color w:val="auto"/>
        </w:rPr>
      </w:pPr>
      <w:r>
        <w:rPr>
          <w:rFonts w:ascii="Arial" w:cs="Arial" w:eastAsia="Arial" w:hAnsi="Arial"/>
          <w:sz w:val="17"/>
          <w:szCs w:val="17"/>
          <w:i w:val="1"/>
          <w:iCs w:val="1"/>
          <w:color w:val="auto"/>
        </w:rPr>
        <w:t xml:space="preserve">Liver cirrhosis. </w:t>
      </w:r>
      <w:r>
        <w:rPr>
          <w:rFonts w:ascii="Arial" w:cs="Arial" w:eastAsia="Arial" w:hAnsi="Arial"/>
          <w:sz w:val="17"/>
          <w:szCs w:val="17"/>
          <w:color w:val="auto"/>
        </w:rPr>
        <w:t>Belapectin is our lead product candidate for treatment of compensated NASH cirrhosis in patients with portal hypertension. Our</w:t>
      </w:r>
      <w:r>
        <w:rPr>
          <w:rFonts w:ascii="Arial" w:cs="Arial" w:eastAsia="Arial" w:hAnsi="Arial"/>
          <w:sz w:val="17"/>
          <w:szCs w:val="17"/>
          <w:i w:val="1"/>
          <w:iCs w:val="1"/>
          <w:color w:val="auto"/>
        </w:rPr>
        <w:t xml:space="preserve"> </w:t>
      </w:r>
      <w:r>
        <w:rPr>
          <w:rFonts w:ascii="Arial" w:cs="Arial" w:eastAsia="Arial" w:hAnsi="Arial"/>
          <w:sz w:val="17"/>
          <w:szCs w:val="17"/>
          <w:color w:val="auto"/>
        </w:rPr>
        <w:t>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83" w:lineRule="exact"/>
        <w:rPr>
          <w:sz w:val="20"/>
          <w:szCs w:val="20"/>
          <w:color w:val="auto"/>
        </w:rPr>
      </w:pPr>
    </w:p>
    <w:p>
      <w:pPr>
        <w:ind w:firstLine="346"/>
        <w:spacing w:after="0" w:line="257" w:lineRule="auto"/>
        <w:rPr>
          <w:sz w:val="20"/>
          <w:szCs w:val="20"/>
          <w:color w:val="auto"/>
        </w:rPr>
      </w:pPr>
      <w:r>
        <w:rPr>
          <w:rFonts w:ascii="Arial" w:cs="Arial" w:eastAsia="Arial" w:hAnsi="Arial"/>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right="100" w:firstLine="346"/>
        <w:spacing w:after="0" w:line="274" w:lineRule="auto"/>
        <w:rPr>
          <w:sz w:val="20"/>
          <w:szCs w:val="20"/>
          <w:color w:val="auto"/>
        </w:rPr>
      </w:pPr>
      <w:r>
        <w:rPr>
          <w:rFonts w:ascii="Arial" w:cs="Arial" w:eastAsia="Arial" w:hAnsi="Arial"/>
          <w:sz w:val="17"/>
          <w:szCs w:val="17"/>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ectPr>
          <w:pgSz w:w="11900" w:h="16838" w:orient="portrait"/>
          <w:cols w:equalWidth="0" w:num="1">
            <w:col w:w="11140"/>
          </w:cols>
          <w:pgMar w:left="320" w:top="113" w:right="439" w:bottom="1117" w:gutter="0" w:footer="0" w:header="0"/>
        </w:sect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320" w:top="113" w:right="439" w:bottom="1117"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1" w:lineRule="exact"/>
        <w:rPr>
          <w:sz w:val="20"/>
          <w:szCs w:val="20"/>
          <w:color w:val="auto"/>
        </w:rPr>
      </w:pPr>
    </w:p>
    <w:p>
      <w:pPr>
        <w:ind w:right="40" w:firstLine="483"/>
        <w:spacing w:after="0"/>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Arial" w:cs="Arial" w:eastAsia="Arial" w:hAnsi="Arial"/>
          <w:sz w:val="26"/>
          <w:szCs w:val="26"/>
          <w:color w:val="auto"/>
          <w:vertAlign w:val="superscript"/>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multi-center clinical trial that explored the use of belapectin for the treatment of patients</w:t>
      </w:r>
    </w:p>
    <w:p>
      <w:pPr>
        <w:spacing w:after="0" w:line="3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Arial" w:cs="Arial" w:eastAsia="Arial" w:hAnsi="Arial"/>
          <w:sz w:val="26"/>
          <w:szCs w:val="26"/>
          <w:color w:val="auto"/>
          <w:vertAlign w:val="superscript"/>
        </w:rPr>
        <w:t>13</w:t>
      </w:r>
      <w:r>
        <w:rPr>
          <w:rFonts w:ascii="Arial" w:cs="Arial" w:eastAsia="Arial" w:hAnsi="Arial"/>
          <w:sz w:val="16"/>
          <w:szCs w:val="16"/>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86" w:lineRule="exact"/>
        <w:rPr>
          <w:sz w:val="20"/>
          <w:szCs w:val="20"/>
          <w:color w:val="auto"/>
        </w:rPr>
      </w:pPr>
    </w:p>
    <w:p>
      <w:pPr>
        <w:jc w:val="both"/>
        <w:ind w:right="40" w:firstLine="483"/>
        <w:spacing w:after="0" w:line="261" w:lineRule="auto"/>
        <w:rPr>
          <w:sz w:val="20"/>
          <w:szCs w:val="20"/>
          <w:color w:val="auto"/>
        </w:rPr>
      </w:pPr>
      <w:r>
        <w:rPr>
          <w:rFonts w:ascii="Arial" w:cs="Arial" w:eastAsia="Arial" w:hAnsi="Arial"/>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84" w:lineRule="exact"/>
        <w:rPr>
          <w:sz w:val="20"/>
          <w:szCs w:val="20"/>
          <w:color w:val="auto"/>
        </w:rPr>
      </w:pPr>
    </w:p>
    <w:p>
      <w:pPr>
        <w:ind w:right="60" w:firstLine="483"/>
        <w:spacing w:after="0" w:line="284" w:lineRule="auto"/>
        <w:rPr>
          <w:sz w:val="20"/>
          <w:szCs w:val="20"/>
          <w:color w:val="auto"/>
        </w:rPr>
      </w:pPr>
      <w:r>
        <w:rPr>
          <w:rFonts w:ascii="Arial" w:cs="Arial" w:eastAsia="Arial" w:hAnsi="Arial"/>
          <w:sz w:val="17"/>
          <w:szCs w:val="17"/>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65" w:lineRule="exact"/>
        <w:rPr>
          <w:sz w:val="20"/>
          <w:szCs w:val="20"/>
          <w:color w:val="auto"/>
        </w:rPr>
      </w:pPr>
    </w:p>
    <w:p>
      <w:pPr>
        <w:ind w:firstLine="483"/>
        <w:spacing w:after="0" w:line="277"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right="20" w:firstLine="483"/>
        <w:spacing w:after="0" w:line="254" w:lineRule="auto"/>
        <w:rPr>
          <w:sz w:val="20"/>
          <w:szCs w:val="20"/>
          <w:color w:val="auto"/>
        </w:rPr>
      </w:pPr>
      <w:r>
        <w:rPr>
          <w:rFonts w:ascii="Arial" w:cs="Arial" w:eastAsia="Arial" w:hAnsi="Arial"/>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89" w:lineRule="exact"/>
        <w:rPr>
          <w:sz w:val="20"/>
          <w:szCs w:val="20"/>
          <w:color w:val="auto"/>
        </w:rPr>
      </w:pPr>
    </w:p>
    <w:p>
      <w:pPr>
        <w:ind w:right="20" w:firstLine="483"/>
        <w:spacing w:after="0" w:line="268" w:lineRule="auto"/>
        <w:rPr>
          <w:sz w:val="20"/>
          <w:szCs w:val="20"/>
          <w:color w:val="auto"/>
        </w:rPr>
      </w:pPr>
      <w:r>
        <w:rPr>
          <w:rFonts w:ascii="Arial" w:cs="Arial" w:eastAsia="Arial" w:hAnsi="Arial"/>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5" w:lineRule="exact"/>
        <w:rPr>
          <w:sz w:val="20"/>
          <w:szCs w:val="20"/>
          <w:color w:val="auto"/>
        </w:rPr>
      </w:pPr>
    </w:p>
    <w:p>
      <w:pPr>
        <w:ind w:right="300" w:firstLine="483"/>
        <w:spacing w:after="0" w:line="274" w:lineRule="auto"/>
        <w:rPr>
          <w:sz w:val="20"/>
          <w:szCs w:val="20"/>
          <w:color w:val="auto"/>
        </w:rPr>
      </w:pPr>
      <w:r>
        <w:rPr>
          <w:rFonts w:ascii="Arial" w:cs="Arial" w:eastAsia="Arial" w:hAnsi="Arial"/>
          <w:sz w:val="18"/>
          <w:szCs w:val="18"/>
          <w:color w:val="auto"/>
        </w:rPr>
        <w:t xml:space="preserve">Further information and details on the NASH-CX results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2020;158:1334–1345.</w:t>
      </w:r>
    </w:p>
    <w:p>
      <w:pPr>
        <w:spacing w:after="0" w:line="168" w:lineRule="exact"/>
        <w:rPr>
          <w:sz w:val="20"/>
          <w:szCs w:val="20"/>
          <w:color w:val="auto"/>
        </w:rPr>
      </w:pPr>
    </w:p>
    <w:p>
      <w:pPr>
        <w:ind w:firstLine="483"/>
        <w:spacing w:after="0" w:line="285" w:lineRule="auto"/>
        <w:rPr>
          <w:sz w:val="20"/>
          <w:szCs w:val="20"/>
          <w:color w:val="auto"/>
        </w:rPr>
      </w:pPr>
      <w:r>
        <w:rPr>
          <w:rFonts w:ascii="Arial" w:cs="Arial" w:eastAsia="Arial" w:hAnsi="Arial"/>
          <w:sz w:val="16"/>
          <w:szCs w:val="16"/>
          <w:b w:val="1"/>
          <w:bCs w:val="1"/>
          <w:color w:val="auto"/>
        </w:rPr>
        <w:t xml:space="preserve">NASH NAVIGATE Trial: </w:t>
      </w:r>
      <w:r>
        <w:rPr>
          <w:rFonts w:ascii="Arial" w:cs="Arial" w:eastAsia="Arial" w:hAnsi="Arial"/>
          <w:sz w:val="16"/>
          <w:szCs w:val="16"/>
          <w:color w:val="auto"/>
        </w:rPr>
        <w:t>Building on the experience of the NASH-CX trial, the NAVIGATE Trial is a seamless adaptively-designed Phase</w:t>
      </w:r>
      <w:r>
        <w:rPr>
          <w:rFonts w:ascii="Arial" w:cs="Arial" w:eastAsia="Arial" w:hAnsi="Arial"/>
          <w:sz w:val="16"/>
          <w:szCs w:val="16"/>
          <w:b w:val="1"/>
          <w:bCs w:val="1"/>
          <w:color w:val="auto"/>
        </w:rPr>
        <w:t xml:space="preserve"> </w:t>
      </w:r>
      <w:r>
        <w:rPr>
          <w:rFonts w:ascii="Arial" w:cs="Arial" w:eastAsia="Arial" w:hAnsi="Arial"/>
          <w:sz w:val="16"/>
          <w:szCs w:val="16"/>
          <w:color w:val="auto"/>
        </w:rPr>
        <w:t>2b/3 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the best belapectin dose will be selected, based on efficacy and safety, for continued evaluation (Phase 3). The belapectin dose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66" w:lineRule="exact"/>
        <w:rPr>
          <w:sz w:val="20"/>
          <w:szCs w:val="20"/>
          <w:color w:val="auto"/>
        </w:rPr>
      </w:pPr>
    </w:p>
    <w:p>
      <w:pPr>
        <w:ind w:right="40" w:firstLine="483"/>
        <w:spacing w:after="0" w:line="254"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89" w:lineRule="exact"/>
        <w:rPr>
          <w:sz w:val="20"/>
          <w:szCs w:val="20"/>
          <w:color w:val="auto"/>
        </w:rPr>
      </w:pPr>
    </w:p>
    <w:p>
      <w:pPr>
        <w:ind w:right="120" w:firstLine="483"/>
        <w:spacing w:after="0" w:line="270" w:lineRule="auto"/>
        <w:rPr>
          <w:sz w:val="20"/>
          <w:szCs w:val="20"/>
          <w:color w:val="auto"/>
        </w:rPr>
      </w:pPr>
      <w:r>
        <w:rPr>
          <w:rFonts w:ascii="Arial" w:cs="Arial" w:eastAsia="Arial" w:hAnsi="Arial"/>
          <w:sz w:val="17"/>
          <w:szCs w:val="17"/>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79" w:lineRule="exact"/>
        <w:rPr>
          <w:sz w:val="20"/>
          <w:szCs w:val="20"/>
          <w:color w:val="auto"/>
        </w:rPr>
      </w:pPr>
    </w:p>
    <w:p>
      <w:pPr>
        <w:ind w:firstLine="483"/>
        <w:spacing w:after="0" w:line="255" w:lineRule="auto"/>
        <w:rPr>
          <w:sz w:val="20"/>
          <w:szCs w:val="20"/>
          <w:color w:val="auto"/>
        </w:rPr>
      </w:pPr>
      <w:r>
        <w:rPr>
          <w:rFonts w:ascii="Arial" w:cs="Arial" w:eastAsia="Arial" w:hAnsi="Arial"/>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9" w:lineRule="exact"/>
        <w:rPr>
          <w:sz w:val="20"/>
          <w:szCs w:val="20"/>
          <w:color w:val="auto"/>
        </w:rPr>
      </w:pPr>
    </w:p>
    <w:p>
      <w:pPr>
        <w:ind w:right="220" w:firstLine="483"/>
        <w:spacing w:after="0" w:line="274" w:lineRule="auto"/>
        <w:rPr>
          <w:sz w:val="20"/>
          <w:szCs w:val="20"/>
          <w:color w:val="auto"/>
        </w:rPr>
      </w:pPr>
      <w:r>
        <w:rPr>
          <w:rFonts w:ascii="Arial" w:cs="Arial" w:eastAsia="Arial" w:hAnsi="Arial"/>
          <w:sz w:val="17"/>
          <w:szCs w:val="17"/>
          <w:color w:val="auto"/>
        </w:rPr>
        <w:t>In the Phase 3 component of this trial, as proposed in the protocol, the primary endpoint remains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173" w:lineRule="exact"/>
        <w:rPr>
          <w:sz w:val="20"/>
          <w:szCs w:val="20"/>
          <w:color w:val="auto"/>
        </w:rPr>
      </w:pPr>
    </w:p>
    <w:p>
      <w:pPr>
        <w:ind w:right="20" w:firstLine="483"/>
        <w:spacing w:after="0" w:line="299" w:lineRule="auto"/>
        <w:rPr>
          <w:sz w:val="20"/>
          <w:szCs w:val="20"/>
          <w:color w:val="auto"/>
        </w:rPr>
      </w:pPr>
      <w:r>
        <w:rPr>
          <w:rFonts w:ascii="Arial" w:cs="Arial" w:eastAsia="Arial" w:hAnsi="Arial"/>
          <w:sz w:val="16"/>
          <w:szCs w:val="16"/>
          <w:color w:val="auto"/>
        </w:rPr>
        <w:t>The focus and goal of the therapeutic program is to stop the progression of and/or reverse portal hypertension and thereby prevent the development of varices, potentially one of the most immediately life-threatening complications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5" w:lineRule="exact"/>
        <w:rPr>
          <w:sz w:val="20"/>
          <w:szCs w:val="20"/>
          <w:color w:val="auto"/>
        </w:rPr>
      </w:pPr>
    </w:p>
    <w:p>
      <w:pPr>
        <w:ind w:right="40" w:firstLine="483"/>
        <w:spacing w:after="0" w:line="286" w:lineRule="auto"/>
        <w:rPr>
          <w:sz w:val="20"/>
          <w:szCs w:val="20"/>
          <w:color w:val="auto"/>
        </w:rPr>
      </w:pPr>
      <w:r>
        <w:rPr>
          <w:rFonts w:ascii="Arial" w:cs="Arial" w:eastAsia="Arial" w:hAnsi="Arial"/>
          <w:sz w:val="16"/>
          <w:szCs w:val="16"/>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focused their resources for battling the COVID-19 pandemic. For several reasons, the pandemic made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As we emerged from the COVID-19 pandemic, site recruitment and patient enrollment accelerated and we experienced increases in enrollment, particularly in the United States. However, we did not see the enrollment in Europe that we anticipated, and conditions there remain uncertain. Consequently, we activated multiple sites in Latin America. The final patient was randomized in February 2023, and we expect topline results from the IA in Fall of 2024.</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activated more than 150 clinical trial sites in 14 countries for the NAVIGATE trial.</w:t>
      </w:r>
    </w:p>
    <w:p>
      <w:pPr>
        <w:spacing w:after="0" w:line="222" w:lineRule="exact"/>
        <w:rPr>
          <w:sz w:val="20"/>
          <w:szCs w:val="20"/>
          <w:color w:val="auto"/>
        </w:rPr>
      </w:pPr>
    </w:p>
    <w:p>
      <w:pPr>
        <w:ind w:right="780" w:firstLine="483"/>
        <w:spacing w:after="0" w:line="274" w:lineRule="auto"/>
        <w:rPr>
          <w:sz w:val="20"/>
          <w:szCs w:val="20"/>
          <w:color w:val="auto"/>
        </w:rPr>
      </w:pPr>
      <w:r>
        <w:rPr>
          <w:rFonts w:ascii="Arial" w:cs="Arial" w:eastAsia="Arial" w:hAnsi="Arial"/>
          <w:sz w:val="18"/>
          <w:szCs w:val="18"/>
          <w:color w:val="auto"/>
        </w:rPr>
        <w:t xml:space="preserve">Further details on the NAVIGATE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 and on our NAVIGATE website (navigatenash.com).</w:t>
      </w:r>
    </w:p>
    <w:p>
      <w:pPr>
        <w:spacing w:after="0" w:line="172" w:lineRule="exact"/>
        <w:rPr>
          <w:sz w:val="20"/>
          <w:szCs w:val="20"/>
          <w:color w:val="auto"/>
        </w:rPr>
      </w:pPr>
    </w:p>
    <w:p>
      <w:pPr>
        <w:ind w:right="20" w:firstLine="483"/>
        <w:spacing w:after="0" w:line="268" w:lineRule="auto"/>
        <w:rPr>
          <w:sz w:val="20"/>
          <w:szCs w:val="20"/>
          <w:color w:val="auto"/>
        </w:rPr>
      </w:pPr>
      <w:r>
        <w:rPr>
          <w:rFonts w:ascii="Arial" w:cs="Arial" w:eastAsia="Arial" w:hAnsi="Arial"/>
          <w:sz w:val="17"/>
          <w:szCs w:val="17"/>
          <w:color w:val="auto"/>
        </w:rPr>
        <w:t xml:space="preserve">The Company also has commenced a Hepatic Impairment Study, which will run in parallel with the phase 2b/3 trial as part of the development program. The Hepatic Impairment Study is being conducted at three sites and involves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Enrollment in this study was completed in February 2022, and the results will be announced when available.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study NCT04332432.</w:t>
      </w:r>
    </w:p>
    <w:p>
      <w:pPr>
        <w:spacing w:after="0" w:line="183" w:lineRule="exact"/>
        <w:rPr>
          <w:sz w:val="20"/>
          <w:szCs w:val="20"/>
          <w:color w:val="auto"/>
        </w:rPr>
      </w:pPr>
    </w:p>
    <w:p>
      <w:pPr>
        <w:ind w:firstLine="483"/>
        <w:spacing w:after="0" w:line="252"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innovative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6" w:lineRule="exact"/>
        <w:rPr>
          <w:sz w:val="20"/>
          <w:szCs w:val="20"/>
          <w:color w:val="auto"/>
        </w:rPr>
      </w:pPr>
    </w:p>
    <w:p>
      <w:pPr>
        <w:ind w:right="400" w:firstLine="483"/>
        <w:spacing w:after="0" w:line="274" w:lineRule="auto"/>
        <w:rPr>
          <w:sz w:val="20"/>
          <w:szCs w:val="20"/>
          <w:color w:val="auto"/>
        </w:rPr>
      </w:pPr>
      <w:r>
        <w:rPr>
          <w:rFonts w:ascii="Arial" w:cs="Arial" w:eastAsia="Arial" w:hAnsi="Arial"/>
          <w:sz w:val="18"/>
          <w:szCs w:val="18"/>
          <w:color w:val="auto"/>
        </w:rPr>
        <w:t>The phase IB study in combination with Yervoy was rapidly discontinued after the first patients were recruited because of the availability of new treatment in the selected population.</w:t>
      </w:r>
    </w:p>
    <w:p>
      <w:pPr>
        <w:spacing w:after="0" w:line="162" w:lineRule="exact"/>
        <w:rPr>
          <w:sz w:val="20"/>
          <w:szCs w:val="20"/>
          <w:color w:val="auto"/>
        </w:rPr>
      </w:pPr>
    </w:p>
    <w:p>
      <w:pPr>
        <w:ind w:right="20" w:firstLine="483"/>
        <w:spacing w:after="0" w:line="266" w:lineRule="auto"/>
        <w:rPr>
          <w:sz w:val="20"/>
          <w:szCs w:val="20"/>
          <w:color w:val="auto"/>
        </w:rPr>
      </w:pPr>
      <w:r>
        <w:rPr>
          <w:rFonts w:ascii="Arial" w:cs="Arial" w:eastAsia="Arial" w:hAnsi="Arial"/>
          <w:sz w:val="16"/>
          <w:szCs w:val="16"/>
          <w:color w:val="auto"/>
        </w:rPr>
        <w:t>Promising results were reported in the Phase 1b trial combining belapectin with pembrolizumab (KEYTRUDA</w:t>
      </w:r>
      <w:r>
        <w:rPr>
          <w:rFonts w:ascii="Arial" w:cs="Arial" w:eastAsia="Arial" w:hAnsi="Arial"/>
          <w:sz w:val="26"/>
          <w:szCs w:val="26"/>
          <w:color w:val="auto"/>
          <w:vertAlign w:val="superscript"/>
        </w:rPr>
        <w:t>®</w:t>
      </w:r>
      <w:r>
        <w:rPr>
          <w:rFonts w:ascii="Arial" w:cs="Arial" w:eastAsia="Arial" w:hAnsi="Arial"/>
          <w:sz w:val="16"/>
          <w:szCs w:val="16"/>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84" w:lineRule="exact"/>
        <w:rPr>
          <w:sz w:val="20"/>
          <w:szCs w:val="20"/>
          <w:color w:val="auto"/>
        </w:rPr>
      </w:pPr>
    </w:p>
    <w:p>
      <w:pPr>
        <w:ind w:right="40" w:firstLine="483"/>
        <w:spacing w:after="0" w:line="254" w:lineRule="auto"/>
        <w:rPr>
          <w:sz w:val="20"/>
          <w:szCs w:val="20"/>
          <w:color w:val="auto"/>
        </w:rPr>
      </w:pPr>
      <w:r>
        <w:rPr>
          <w:rFonts w:ascii="Arial" w:cs="Arial" w:eastAsia="Arial" w:hAnsi="Arial"/>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tcPr>
          <w:p>
            <w:pPr>
              <w:spacing w:after="0"/>
              <w:rPr>
                <w:sz w:val="20"/>
                <w:szCs w:val="20"/>
                <w:color w:val="auto"/>
              </w:rPr>
            </w:pPr>
            <w:r>
              <w:rPr>
                <w:rFonts w:ascii="Arial" w:cs="Arial" w:eastAsia="Arial" w:hAnsi="Arial"/>
                <w:sz w:val="18"/>
                <w:szCs w:val="18"/>
                <w:i w:val="1"/>
                <w:iCs w:val="1"/>
                <w:color w:val="auto"/>
              </w:rPr>
              <w:t>Research and Development Expense.</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42"/>
        </w:trPr>
        <w:tc>
          <w:tcPr>
            <w:tcW w:w="4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160" w:type="dxa"/>
            <w:vAlign w:val="bottom"/>
          </w:tcPr>
          <w:p>
            <w:pPr>
              <w:spacing w:after="0"/>
              <w:rPr>
                <w:sz w:val="24"/>
                <w:szCs w:val="24"/>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8"/>
                <w:szCs w:val="18"/>
                <w:color w:val="auto"/>
                <w:w w:val="88"/>
              </w:rPr>
              <w:t>2023 as Compared to 2022</w:t>
            </w:r>
          </w:p>
        </w:tc>
      </w:tr>
      <w:tr>
        <w:trPr>
          <w:trHeight w:val="236"/>
        </w:trPr>
        <w:tc>
          <w:tcPr>
            <w:tcW w:w="4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ind w:left="380"/>
              <w:spacing w:after="0"/>
              <w:rPr>
                <w:sz w:val="20"/>
                <w:szCs w:val="20"/>
                <w:color w:val="auto"/>
              </w:rPr>
            </w:pPr>
            <w:r>
              <w:rPr>
                <w:rFonts w:ascii="Arial" w:cs="Arial" w:eastAsia="Arial" w:hAnsi="Arial"/>
                <w:sz w:val="18"/>
                <w:szCs w:val="18"/>
                <w:color w:val="auto"/>
              </w:rPr>
              <w:t>Ended March 31,</w:t>
            </w:r>
          </w:p>
        </w:tc>
        <w:tc>
          <w:tcPr>
            <w:tcW w:w="160" w:type="dxa"/>
            <w:vAlign w:val="bottom"/>
          </w:tcPr>
          <w:p>
            <w:pPr>
              <w:spacing w:after="0"/>
              <w:rPr>
                <w:sz w:val="20"/>
                <w:szCs w:val="20"/>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Three Months</w:t>
            </w:r>
          </w:p>
        </w:tc>
      </w:tr>
      <w:tr>
        <w:trPr>
          <w:trHeight w:val="222"/>
        </w:trPr>
        <w:tc>
          <w:tcPr>
            <w:tcW w:w="4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2"/>
              </w:rPr>
              <w:t>$ Change</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19"/>
                <w:szCs w:val="19"/>
                <w:color w:val="auto"/>
              </w:rPr>
            </w:pPr>
          </w:p>
        </w:tc>
      </w:tr>
      <w:tr>
        <w:trPr>
          <w:trHeight w:val="215"/>
        </w:trPr>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271"/>
              <w:spacing w:after="0"/>
              <w:rPr>
                <w:sz w:val="20"/>
                <w:szCs w:val="20"/>
                <w:color w:val="auto"/>
              </w:rPr>
            </w:pPr>
            <w:r>
              <w:rPr>
                <w:rFonts w:ascii="Arial" w:cs="Arial" w:eastAsia="Arial" w:hAnsi="Arial"/>
                <w:sz w:val="18"/>
                <w:szCs w:val="18"/>
                <w:color w:val="auto"/>
                <w:w w:val="94"/>
              </w:rPr>
              <w:t>(In thousands, except %)</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8,799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tcPr>
          <w:p>
            <w:pPr>
              <w:ind w:left="500"/>
              <w:spacing w:after="0"/>
              <w:rPr>
                <w:sz w:val="20"/>
                <w:szCs w:val="20"/>
                <w:color w:val="auto"/>
              </w:rPr>
            </w:pPr>
            <w:r>
              <w:rPr>
                <w:rFonts w:ascii="Arial" w:cs="Arial" w:eastAsia="Arial" w:hAnsi="Arial"/>
                <w:sz w:val="18"/>
                <w:szCs w:val="18"/>
                <w:color w:val="auto"/>
              </w:rPr>
              <w:t>Our research and development expenses were as follows: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center"/>
              <w:ind w:right="171"/>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471"/>
              <w:spacing w:after="0"/>
              <w:rPr>
                <w:sz w:val="20"/>
                <w:szCs w:val="20"/>
                <w:color w:val="auto"/>
              </w:rPr>
            </w:pPr>
            <w:r>
              <w:rPr>
                <w:rFonts w:ascii="Arial" w:cs="Arial" w:eastAsia="Arial" w:hAnsi="Arial"/>
                <w:sz w:val="18"/>
                <w:szCs w:val="18"/>
                <w:color w:val="auto"/>
                <w:w w:val="88"/>
              </w:rPr>
              <w:t>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1"/>
              <w:spacing w:after="0" w:line="201"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11"/>
              <w:spacing w:after="0" w:line="201" w:lineRule="exact"/>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60" w:type="dxa"/>
            <w:vAlign w:val="bottom"/>
            <w:vMerge w:val="restart"/>
          </w:tcPr>
          <w:p>
            <w:pPr>
              <w:spacing w:after="0"/>
              <w:rPr>
                <w:sz w:val="20"/>
                <w:szCs w:val="20"/>
                <w:color w:val="auto"/>
              </w:rPr>
            </w:pPr>
            <w:r>
              <w:rPr>
                <w:rFonts w:ascii="Arial" w:cs="Arial" w:eastAsia="Arial" w:hAnsi="Arial"/>
                <w:sz w:val="18"/>
                <w:szCs w:val="18"/>
                <w:color w:val="auto"/>
              </w:rPr>
              <w:t>Direct external expenses:</w:t>
            </w:r>
          </w:p>
        </w:tc>
        <w:tc>
          <w:tcPr>
            <w:tcW w:w="240" w:type="dxa"/>
            <w:vAlign w:val="bottom"/>
          </w:tcPr>
          <w:p>
            <w:pPr>
              <w:spacing w:after="0"/>
              <w:rPr>
                <w:sz w:val="19"/>
                <w:szCs w:val="19"/>
                <w:color w:val="auto"/>
              </w:rPr>
            </w:pPr>
          </w:p>
        </w:tc>
        <w:tc>
          <w:tcPr>
            <w:tcW w:w="2240" w:type="dxa"/>
            <w:vAlign w:val="bottom"/>
            <w:gridSpan w:val="4"/>
          </w:tcPr>
          <w:p>
            <w:pPr>
              <w:jc w:val="center"/>
              <w:ind w:right="171"/>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Clinical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tcPr>
          <w:p>
            <w:pPr>
              <w:ind w:left="160"/>
              <w:spacing w:after="0"/>
              <w:rPr>
                <w:sz w:val="20"/>
                <w:szCs w:val="20"/>
                <w:color w:val="auto"/>
              </w:rPr>
            </w:pPr>
            <w:r>
              <w:rPr>
                <w:rFonts w:ascii="Arial" w:cs="Arial" w:eastAsia="Arial" w:hAnsi="Arial"/>
                <w:sz w:val="18"/>
                <w:szCs w:val="18"/>
                <w:color w:val="auto"/>
              </w:rPr>
              <w:t>Pre-clinical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research and development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8,799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research and development expenses increased primarily due to additional employees hired after the first quarter of 2022.</w:t>
      </w:r>
    </w:p>
    <w:p>
      <w:pPr>
        <w:spacing w:after="0" w:line="222" w:lineRule="exact"/>
        <w:rPr>
          <w:sz w:val="20"/>
          <w:szCs w:val="20"/>
          <w:color w:val="auto"/>
        </w:rPr>
      </w:pPr>
    </w:p>
    <w:p>
      <w:pPr>
        <w:ind w:right="20" w:firstLine="385"/>
        <w:spacing w:after="0" w:line="252" w:lineRule="auto"/>
        <w:rPr>
          <w:sz w:val="20"/>
          <w:szCs w:val="20"/>
          <w:color w:val="auto"/>
        </w:rPr>
      </w:pPr>
      <w:r>
        <w:rPr>
          <w:rFonts w:ascii="Arial" w:cs="Arial" w:eastAsia="Arial" w:hAnsi="Arial"/>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3"/>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5"/>
        </w:trPr>
        <w:tc>
          <w:tcPr>
            <w:tcW w:w="3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4"/>
          </w:tcPr>
          <w:p>
            <w:pPr>
              <w:ind w:left="480"/>
              <w:spacing w:after="0"/>
              <w:rPr>
                <w:sz w:val="20"/>
                <w:szCs w:val="20"/>
                <w:color w:val="auto"/>
              </w:rPr>
            </w:pPr>
            <w:r>
              <w:rPr>
                <w:rFonts w:ascii="Arial" w:cs="Arial" w:eastAsia="Arial" w:hAnsi="Arial"/>
                <w:sz w:val="18"/>
                <w:szCs w:val="18"/>
                <w:color w:val="auto"/>
              </w:rPr>
              <w:t>Three Months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2023 as Compared to 2022</w:t>
            </w:r>
          </w:p>
        </w:tc>
      </w:tr>
      <w:tr>
        <w:trPr>
          <w:trHeight w:val="236"/>
        </w:trPr>
        <w:tc>
          <w:tcPr>
            <w:tcW w:w="3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4"/>
          </w:tcPr>
          <w:p>
            <w:pPr>
              <w:ind w:left="360"/>
              <w:spacing w:after="0"/>
              <w:rPr>
                <w:sz w:val="20"/>
                <w:szCs w:val="20"/>
                <w:color w:val="auto"/>
              </w:rPr>
            </w:pPr>
            <w:r>
              <w:rPr>
                <w:rFonts w:ascii="Arial" w:cs="Arial" w:eastAsia="Arial" w:hAnsi="Arial"/>
                <w:sz w:val="18"/>
                <w:szCs w:val="18"/>
                <w:color w:val="auto"/>
                <w:w w:val="96"/>
              </w:rPr>
              <w:t>Ended March 31,</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w:t>
            </w:r>
          </w:p>
        </w:tc>
      </w:tr>
      <w:tr>
        <w:trPr>
          <w:trHeight w:val="222"/>
        </w:trPr>
        <w:tc>
          <w:tcPr>
            <w:tcW w:w="3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1"/>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9"/>
                <w:szCs w:val="19"/>
                <w:color w:val="auto"/>
              </w:rPr>
            </w:pPr>
          </w:p>
        </w:tc>
      </w:tr>
      <w:tr>
        <w:trPr>
          <w:trHeight w:val="215"/>
        </w:trPr>
        <w:tc>
          <w:tcPr>
            <w:tcW w:w="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6"/>
              </w:rPr>
              <w:t>(In thousands,</w:t>
            </w:r>
          </w:p>
        </w:tc>
        <w:tc>
          <w:tcPr>
            <w:tcW w:w="1340" w:type="dxa"/>
            <w:vAlign w:val="bottom"/>
            <w:gridSpan w:val="3"/>
          </w:tcPr>
          <w:p>
            <w:pPr>
              <w:spacing w:after="0"/>
              <w:rPr>
                <w:sz w:val="20"/>
                <w:szCs w:val="20"/>
                <w:color w:val="auto"/>
              </w:rPr>
            </w:pPr>
            <w:r>
              <w:rPr>
                <w:rFonts w:ascii="Arial" w:cs="Arial" w:eastAsia="Arial" w:hAnsi="Arial"/>
                <w:sz w:val="18"/>
                <w:szCs w:val="18"/>
                <w:color w:val="auto"/>
              </w:rPr>
              <w:t>except %)</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1,543</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jc w:val="both"/>
        <w:ind w:right="200" w:firstLine="385"/>
        <w:spacing w:after="0" w:line="257"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three-months ended March 31, 2023 as compared to the same period in 2022 is due to a decrease insurance expense of 67,000 and decrease in non-cash stock based compensation expenses of approximately $241,000.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40" w:firstLine="385"/>
        <w:spacing w:after="0" w:line="270"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December 31, 2022, we raised a net total of $254.5 million from these offerings. At March 31, 2023, the Company had $17.8 million of unrestricted cash and cash equivalents in addition to $40 million remaining available under a line of credit provided by our chairman available to fund future operations. The Company believes there is sufficient cash to fund currently planned operations at least through December 31, 2024. We will require more cash to fund our operations after December 31, 2024 and believe we will be able to obtain additional financing. The currently planned operations include costs related to our adaptively designed NAVIGATE Phase 2b/3 clinical trial. However, there can be no assurance that we will be successful in obtaining such new financing or, if available, that such financing will be on terms favorable to us.</w:t>
      </w:r>
    </w:p>
    <w:p>
      <w:pPr>
        <w:spacing w:after="0" w:line="179" w:lineRule="exact"/>
        <w:rPr>
          <w:sz w:val="20"/>
          <w:szCs w:val="20"/>
          <w:color w:val="auto"/>
        </w:rPr>
      </w:pPr>
    </w:p>
    <w:p>
      <w:pPr>
        <w:ind w:right="80" w:firstLine="385"/>
        <w:spacing w:after="0" w:line="261" w:lineRule="auto"/>
        <w:rPr>
          <w:sz w:val="20"/>
          <w:szCs w:val="20"/>
          <w:color w:val="auto"/>
        </w:rPr>
      </w:pPr>
      <w:r>
        <w:rPr>
          <w:rFonts w:ascii="Arial" w:cs="Arial" w:eastAsia="Arial" w:hAnsi="Arial"/>
          <w:sz w:val="18"/>
          <w:szCs w:val="18"/>
          <w:color w:val="auto"/>
        </w:rPr>
        <w:t>Net cash used in operations increased by $2,751,000 to $10,793,000 for the three months ended March 31, 2032, as compared to $8,042,000 for the three months ended March 31, 2022. Cash operating expenses increased principally due to the preparations and expenses related to our NAVIGATE clinical trial with belapectin.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2" w:lineRule="exact"/>
        <w:rPr>
          <w:sz w:val="20"/>
          <w:szCs w:val="20"/>
          <w:color w:val="auto"/>
        </w:rPr>
      </w:pPr>
    </w:p>
    <w:p>
      <w:pPr>
        <w:ind w:right="260" w:firstLine="385"/>
        <w:spacing w:after="0" w:line="309"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6" w:lineRule="exact"/>
        <w:rPr>
          <w:sz w:val="20"/>
          <w:szCs w:val="20"/>
          <w:color w:val="auto"/>
        </w:rPr>
      </w:pPr>
    </w:p>
    <w:p>
      <w:pPr>
        <w:jc w:val="both"/>
        <w:ind w:right="520" w:firstLine="385"/>
        <w:spacing w:after="0" w:line="294"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61" w:lineRule="exact"/>
        <w:rPr>
          <w:sz w:val="20"/>
          <w:szCs w:val="20"/>
          <w:color w:val="auto"/>
        </w:rPr>
      </w:pPr>
    </w:p>
    <w:p>
      <w:pPr>
        <w:ind w:right="340" w:firstLine="385"/>
        <w:spacing w:after="0" w:line="309"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2022 Annual Report on Form 10-K.</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6" w:lineRule="exact"/>
        <w:rPr>
          <w:sz w:val="20"/>
          <w:szCs w:val="20"/>
          <w:color w:val="auto"/>
        </w:rPr>
      </w:pPr>
    </w:p>
    <w:p>
      <w:pPr>
        <w:ind w:right="100" w:firstLine="385"/>
        <w:spacing w:after="0" w:line="257"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2" w:lineRule="exact"/>
        <w:rPr>
          <w:sz w:val="20"/>
          <w:szCs w:val="20"/>
          <w:color w:val="auto"/>
        </w:rPr>
      </w:pPr>
    </w:p>
    <w:p>
      <w:pPr>
        <w:ind w:right="220" w:firstLine="385"/>
        <w:spacing w:after="0" w:line="261"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2023, our disclosure controls and procedures were effective.</w:t>
      </w:r>
    </w:p>
    <w:p>
      <w:pPr>
        <w:spacing w:after="0" w:line="184" w:lineRule="exact"/>
        <w:rPr>
          <w:sz w:val="20"/>
          <w:szCs w:val="20"/>
          <w:color w:val="auto"/>
        </w:rPr>
      </w:pPr>
    </w:p>
    <w:p>
      <w:pPr>
        <w:ind w:right="240" w:firstLine="385"/>
        <w:spacing w:after="0" w:line="294"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2" w:lineRule="exact"/>
        <w:rPr>
          <w:sz w:val="20"/>
          <w:szCs w:val="20"/>
          <w:color w:val="auto"/>
        </w:rPr>
      </w:pPr>
    </w:p>
    <w:p>
      <w:pPr>
        <w:ind w:right="360" w:firstLine="385"/>
        <w:spacing w:after="0" w:line="274" w:lineRule="auto"/>
        <w:rPr>
          <w:sz w:val="20"/>
          <w:szCs w:val="20"/>
          <w:color w:val="auto"/>
        </w:rPr>
      </w:pPr>
      <w:r>
        <w:rPr>
          <w:rFonts w:ascii="Arial" w:cs="Arial" w:eastAsia="Arial" w:hAnsi="Arial"/>
          <w:sz w:val="18"/>
          <w:szCs w:val="18"/>
          <w:color w:val="auto"/>
        </w:rPr>
        <w:t>During the quarter ended March 31, 2023, no change in our internal control over financial reporting has materially affected, or is reasonably likely to materially affect, our internal control over financial reporting.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6" w:lineRule="exact"/>
        <w:rPr>
          <w:sz w:val="20"/>
          <w:szCs w:val="20"/>
          <w:color w:val="auto"/>
        </w:rPr>
      </w:pPr>
    </w:p>
    <w:p>
      <w:pPr>
        <w:ind w:right="460" w:firstLine="385"/>
        <w:spacing w:after="0" w:line="339"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2022, which could materially impact our business, financial condition or future results.</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3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4"/>
        </w:trPr>
        <w:tc>
          <w:tcPr>
            <w:tcW w:w="6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Exhibit</w:t>
            </w:r>
          </w:p>
        </w:tc>
        <w:tc>
          <w:tcPr>
            <w:tcW w:w="1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40"/>
        </w:trPr>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9180" w:type="dxa"/>
            <w:vAlign w:val="bottom"/>
            <w:tcBorders>
              <w:bottom w:val="single" w:sz="8" w:color="auto"/>
            </w:tcBorders>
          </w:tcPr>
          <w:p>
            <w:pPr>
              <w:ind w:left="3640"/>
              <w:spacing w:after="0"/>
              <w:rPr>
                <w:sz w:val="20"/>
                <w:szCs w:val="20"/>
                <w:color w:val="auto"/>
              </w:rPr>
            </w:pPr>
            <w:r>
              <w:rPr>
                <w:rFonts w:ascii="Arial" w:cs="Arial" w:eastAsia="Arial" w:hAnsi="Arial"/>
                <w:sz w:val="18"/>
                <w:szCs w:val="18"/>
                <w:b w:val="1"/>
                <w:bCs w:val="1"/>
                <w:color w:val="auto"/>
              </w:rPr>
              <w:t>Description of Document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15"/>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0"/>
        </w:trPr>
        <w:tc>
          <w:tcPr>
            <w:tcW w:w="400" w:type="dxa"/>
            <w:vAlign w:val="bottom"/>
            <w:tcBorders>
              <w:bottom w:val="single" w:sz="8" w:color="0000EE"/>
            </w:tcBorders>
            <w:shd w:val="clear" w:color="auto" w:fill="CCEEFF"/>
          </w:tcPr>
          <w:p>
            <w:pPr>
              <w:spacing w:after="0" w:line="175" w:lineRule="exact"/>
              <w:rPr>
                <w:sz w:val="20"/>
                <w:szCs w:val="20"/>
                <w:color w:val="auto"/>
              </w:rPr>
            </w:pPr>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CCEEFF"/>
            </w:tcBorders>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rPr>
              <w:t>Certification Pursuant to Rule 13a-14(a) of the Securities Exchange Act of 1934</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5"/>
        </w:trPr>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00"/>
        </w:trPr>
        <w:tc>
          <w:tcPr>
            <w:tcW w:w="400" w:type="dxa"/>
            <w:vAlign w:val="bottom"/>
            <w:tcBorders>
              <w:bottom w:val="single" w:sz="8" w:color="0000EE"/>
            </w:tcBorders>
            <w:shd w:val="clear" w:color="auto" w:fill="CCEEFF"/>
          </w:tcPr>
          <w:p>
            <w:pPr>
              <w:spacing w:after="0" w:line="175" w:lineRule="exact"/>
              <w:rPr>
                <w:sz w:val="20"/>
                <w:szCs w:val="20"/>
                <w:color w:val="auto"/>
              </w:rPr>
            </w:pPr>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CCEEFF"/>
            </w:tcBorders>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rPr>
              <w:t>Certification Pursuant to Rule 13a-14(a) of the Securities Exchange Act of 1934</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5"/>
        </w:trPr>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00"/>
        </w:trPr>
        <w:tc>
          <w:tcPr>
            <w:tcW w:w="500" w:type="dxa"/>
            <w:vAlign w:val="bottom"/>
            <w:tcBorders>
              <w:bottom w:val="single" w:sz="8" w:color="0000EE"/>
            </w:tcBorders>
            <w:gridSpan w:val="2"/>
            <w:shd w:val="clear" w:color="auto" w:fill="CCEEFF"/>
          </w:tcPr>
          <w:p>
            <w:pPr>
              <w:spacing w:after="0" w:line="175" w:lineRule="exact"/>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p>
        </w:tc>
        <w:tc>
          <w:tcPr>
            <w:tcW w:w="18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CCEEFF"/>
            </w:tcBorders>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5"/>
        </w:trPr>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00"/>
        </w:trPr>
        <w:tc>
          <w:tcPr>
            <w:tcW w:w="500" w:type="dxa"/>
            <w:vAlign w:val="bottom"/>
            <w:tcBorders>
              <w:bottom w:val="single" w:sz="8" w:color="0000EE"/>
            </w:tcBorders>
            <w:gridSpan w:val="2"/>
            <w:shd w:val="clear" w:color="auto" w:fill="CCEEFF"/>
          </w:tcPr>
          <w:p>
            <w:pPr>
              <w:spacing w:after="0" w:line="175" w:lineRule="exact"/>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p>
        </w:tc>
        <w:tc>
          <w:tcPr>
            <w:tcW w:w="18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CCEEFF"/>
            </w:tcBorders>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5"/>
        </w:trPr>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00"/>
        </w:trPr>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Inline XBRL Instance Document** (the instance document does not appear in the Interactive Data File because its XBRL tags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9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are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embedded within the Inline XBRL document).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8"/>
        </w:trPr>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Exhibit</w:t>
            </w:r>
          </w:p>
        </w:tc>
        <w:tc>
          <w:tcPr>
            <w:tcW w:w="1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40"/>
        </w:trPr>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9200" w:type="dxa"/>
            <w:vAlign w:val="bottom"/>
            <w:tcBorders>
              <w:bottom w:val="single" w:sz="8" w:color="auto"/>
            </w:tcBorders>
          </w:tcPr>
          <w:p>
            <w:pPr>
              <w:ind w:left="3640"/>
              <w:spacing w:after="0"/>
              <w:rPr>
                <w:sz w:val="20"/>
                <w:szCs w:val="20"/>
                <w:color w:val="auto"/>
              </w:rPr>
            </w:pPr>
            <w:r>
              <w:rPr>
                <w:rFonts w:ascii="Arial" w:cs="Arial" w:eastAsia="Arial" w:hAnsi="Arial"/>
                <w:sz w:val="18"/>
                <w:szCs w:val="18"/>
                <w:b w:val="1"/>
                <w:bCs w:val="1"/>
                <w:color w:val="auto"/>
              </w:rPr>
              <w:t>Description of Document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15"/>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101.SCH</w:t>
            </w: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101.CAL</w:t>
            </w: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Inline XBRL Taxonomy Calculation Linkbase Document**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101.DEF</w:t>
            </w: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101.LAB</w:t>
            </w: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Inline XBRL Taxonomy Label Linkbase Document**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101.PRE</w:t>
            </w: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Inline XBRL Taxonomy Presentation Linkbase Document**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0"/>
        </w:trPr>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Cover Page Interactive Data File (the cover page XBRL tags are embedded in the Inline XBRL document and included in Exhibit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56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645" cy="17145"/>
                    </a:xfrm>
                    <a:prstGeom prst="rect">
                      <a:avLst/>
                    </a:prstGeom>
                    <a:noFill/>
                  </pic:spPr>
                </pic:pic>
              </a:graphicData>
            </a:graphic>
          </wp:anchor>
        </w:drawing>
      </w:r>
    </w:p>
    <w:p>
      <w:pPr>
        <w:spacing w:after="0" w:line="395" w:lineRule="exact"/>
        <w:rPr>
          <w:sz w:val="20"/>
          <w:szCs w:val="20"/>
          <w:color w:val="auto"/>
        </w:rPr>
      </w:pPr>
    </w:p>
    <w:p>
      <w:pPr>
        <w:ind w:left="380" w:hanging="368"/>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 w:lineRule="exact"/>
        <w:rPr>
          <w:sz w:val="20"/>
          <w:szCs w:val="20"/>
          <w:color w:val="auto"/>
        </w:rPr>
      </w:pPr>
    </w:p>
    <w:p>
      <w:pPr>
        <w:ind w:left="380" w:hanging="36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firstLine="385"/>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15, 2023.</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GALECTIN THERAPEUTICS INC.</w:t>
      </w:r>
    </w:p>
    <w:p>
      <w:pPr>
        <w:spacing w:after="0" w:line="222"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Joel Lewis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-130175</wp:posOffset>
            </wp:positionV>
            <wp:extent cx="32131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13100" cy="1714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8"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W. Callicutt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-130175</wp:posOffset>
            </wp:positionV>
            <wp:extent cx="32131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13100" cy="1714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25" w:name="page26"/>
    <w:bookmarkEnd w:id="25"/>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31.1</w:t>
      </w:r>
    </w:p>
    <w:p>
      <w:pPr>
        <w:spacing w:after="0" w:line="242" w:lineRule="exact"/>
        <w:rPr>
          <w:sz w:val="20"/>
          <w:szCs w:val="20"/>
          <w:color w:val="auto"/>
        </w:rPr>
      </w:pPr>
    </w:p>
    <w:p>
      <w:pPr>
        <w:ind w:left="2000"/>
        <w:spacing w:after="0"/>
        <w:rPr>
          <w:sz w:val="20"/>
          <w:szCs w:val="20"/>
          <w:color w:val="auto"/>
        </w:rPr>
      </w:pPr>
      <w:r>
        <w:rPr>
          <w:rFonts w:ascii="Arial" w:cs="Arial" w:eastAsia="Arial" w:hAnsi="Arial"/>
          <w:sz w:val="21"/>
          <w:szCs w:val="21"/>
          <w:b w:val="1"/>
          <w:bCs w:val="1"/>
          <w:color w:val="auto"/>
        </w:rPr>
        <w:t>Certification Pursuant to Rule 13a-14(a) of the Securities Exchange Act of 1934</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I, Joel Lewis, certify that:</w:t>
      </w:r>
    </w:p>
    <w:p>
      <w:pPr>
        <w:spacing w:after="0" w:line="249" w:lineRule="exact"/>
        <w:rPr>
          <w:sz w:val="20"/>
          <w:szCs w:val="20"/>
          <w:color w:val="auto"/>
        </w:rPr>
      </w:pPr>
    </w:p>
    <w:p>
      <w:pPr>
        <w:ind w:left="440" w:hanging="4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49" w:lineRule="exact"/>
        <w:rPr>
          <w:rFonts w:ascii="Arial" w:cs="Arial" w:eastAsia="Arial" w:hAnsi="Arial"/>
          <w:sz w:val="18"/>
          <w:szCs w:val="18"/>
          <w:color w:val="auto"/>
        </w:rPr>
      </w:pPr>
    </w:p>
    <w:p>
      <w:pPr>
        <w:jc w:val="both"/>
        <w:ind w:left="440" w:right="400" w:hanging="428"/>
        <w:spacing w:after="0" w:line="261"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40" w:right="360" w:hanging="428"/>
        <w:spacing w:after="0" w:line="305"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440" w:right="420" w:hanging="428"/>
        <w:spacing w:after="0" w:line="261"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10" w:lineRule="exact"/>
        <w:rPr>
          <w:rFonts w:ascii="Arial" w:cs="Arial" w:eastAsia="Arial" w:hAnsi="Arial"/>
          <w:sz w:val="18"/>
          <w:szCs w:val="18"/>
          <w:color w:val="auto"/>
        </w:rPr>
      </w:pPr>
    </w:p>
    <w:p>
      <w:pPr>
        <w:ind w:left="860" w:right="220" w:hanging="423"/>
        <w:spacing w:after="0" w:line="261"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860" w:right="540" w:hanging="423"/>
        <w:spacing w:after="0" w:line="261"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860" w:hanging="423"/>
        <w:spacing w:after="0" w:line="305" w:lineRule="auto"/>
        <w:tabs>
          <w:tab w:leader="none" w:pos="8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ind w:left="860" w:right="220" w:hanging="423"/>
        <w:spacing w:after="0" w:line="261"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40" w:right="280" w:hanging="428"/>
        <w:spacing w:after="0" w:line="305"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60" w:right="120" w:hanging="423"/>
        <w:spacing w:after="0" w:line="305" w:lineRule="auto"/>
        <w:tabs>
          <w:tab w:leader="none" w:pos="86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860" w:right="80" w:hanging="423"/>
        <w:spacing w:after="0" w:line="274"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/s/ Joel Lewis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-130175</wp:posOffset>
            </wp:positionV>
            <wp:extent cx="32131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3100" cy="1714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31.2</w:t>
      </w:r>
    </w:p>
    <w:p>
      <w:pPr>
        <w:spacing w:after="0" w:line="242" w:lineRule="exact"/>
        <w:rPr>
          <w:sz w:val="20"/>
          <w:szCs w:val="20"/>
          <w:color w:val="auto"/>
        </w:rPr>
      </w:pPr>
    </w:p>
    <w:p>
      <w:pPr>
        <w:ind w:left="2000"/>
        <w:spacing w:after="0"/>
        <w:rPr>
          <w:sz w:val="20"/>
          <w:szCs w:val="20"/>
          <w:color w:val="auto"/>
        </w:rPr>
      </w:pPr>
      <w:r>
        <w:rPr>
          <w:rFonts w:ascii="Arial" w:cs="Arial" w:eastAsia="Arial" w:hAnsi="Arial"/>
          <w:sz w:val="21"/>
          <w:szCs w:val="21"/>
          <w:b w:val="1"/>
          <w:bCs w:val="1"/>
          <w:color w:val="auto"/>
        </w:rPr>
        <w:t>Certification Pursuant to Rule 13a-14(a) of the Securities Exchange Act of 1934</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I, Jack W. Callicutt, certify that:</w:t>
      </w:r>
    </w:p>
    <w:p>
      <w:pPr>
        <w:spacing w:after="0" w:line="249" w:lineRule="exact"/>
        <w:rPr>
          <w:sz w:val="20"/>
          <w:szCs w:val="20"/>
          <w:color w:val="auto"/>
        </w:rPr>
      </w:pPr>
    </w:p>
    <w:p>
      <w:pPr>
        <w:ind w:left="440" w:hanging="4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49" w:lineRule="exact"/>
        <w:rPr>
          <w:rFonts w:ascii="Arial" w:cs="Arial" w:eastAsia="Arial" w:hAnsi="Arial"/>
          <w:sz w:val="18"/>
          <w:szCs w:val="18"/>
          <w:color w:val="auto"/>
        </w:rPr>
      </w:pPr>
    </w:p>
    <w:p>
      <w:pPr>
        <w:jc w:val="both"/>
        <w:ind w:left="440" w:right="400" w:hanging="428"/>
        <w:spacing w:after="0" w:line="261"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40" w:right="360" w:hanging="428"/>
        <w:spacing w:after="0" w:line="305"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440" w:right="420" w:hanging="428"/>
        <w:spacing w:after="0" w:line="261"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10" w:lineRule="exact"/>
        <w:rPr>
          <w:rFonts w:ascii="Arial" w:cs="Arial" w:eastAsia="Arial" w:hAnsi="Arial"/>
          <w:sz w:val="18"/>
          <w:szCs w:val="18"/>
          <w:color w:val="auto"/>
        </w:rPr>
      </w:pPr>
    </w:p>
    <w:p>
      <w:pPr>
        <w:ind w:left="860" w:right="220" w:hanging="423"/>
        <w:spacing w:after="0" w:line="261"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860" w:right="540" w:hanging="423"/>
        <w:spacing w:after="0" w:line="261"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860" w:hanging="423"/>
        <w:spacing w:after="0" w:line="305" w:lineRule="auto"/>
        <w:tabs>
          <w:tab w:leader="none" w:pos="8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ind w:left="860" w:right="220" w:hanging="423"/>
        <w:spacing w:after="0" w:line="261"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40" w:right="280" w:hanging="428"/>
        <w:spacing w:after="0" w:line="305"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60" w:right="120" w:hanging="423"/>
        <w:spacing w:after="0" w:line="305" w:lineRule="auto"/>
        <w:tabs>
          <w:tab w:leader="none" w:pos="86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860" w:right="80" w:hanging="423"/>
        <w:spacing w:after="0" w:line="274"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/s/ Jack W. Callicutt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-130175</wp:posOffset>
            </wp:positionV>
            <wp:extent cx="32131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3100" cy="1714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32.1</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auto"/>
        </w:rPr>
        <w:t>CERTIFICATION PURSUANT TO 18 U.S.C. SECTION 1350, AS ADOPTED</w:t>
      </w:r>
    </w:p>
    <w:p>
      <w:pPr>
        <w:spacing w:after="0" w:line="24" w:lineRule="exact"/>
        <w:rPr>
          <w:sz w:val="20"/>
          <w:szCs w:val="20"/>
          <w:color w:val="auto"/>
        </w:rPr>
      </w:pPr>
    </w:p>
    <w:p>
      <w:pPr>
        <w:ind w:left="2060"/>
        <w:spacing w:after="0"/>
        <w:rPr>
          <w:sz w:val="20"/>
          <w:szCs w:val="20"/>
          <w:color w:val="auto"/>
        </w:rPr>
      </w:pPr>
      <w:r>
        <w:rPr>
          <w:rFonts w:ascii="Arial" w:cs="Arial" w:eastAsia="Arial" w:hAnsi="Arial"/>
          <w:sz w:val="21"/>
          <w:szCs w:val="21"/>
          <w:b w:val="1"/>
          <w:bCs w:val="1"/>
          <w:color w:val="auto"/>
        </w:rPr>
        <w:t>PURSUANT TO SECTION 906 OF THE SARBANES-OXLEY ACT OF 2002</w:t>
      </w:r>
    </w:p>
    <w:p>
      <w:pPr>
        <w:spacing w:after="0" w:line="224" w:lineRule="exact"/>
        <w:rPr>
          <w:sz w:val="20"/>
          <w:szCs w:val="20"/>
          <w:color w:val="auto"/>
        </w:rPr>
      </w:pPr>
    </w:p>
    <w:p>
      <w:pPr>
        <w:ind w:right="120" w:firstLine="385"/>
        <w:spacing w:after="0" w:line="250" w:lineRule="auto"/>
        <w:rPr>
          <w:sz w:val="20"/>
          <w:szCs w:val="20"/>
          <w:color w:val="auto"/>
        </w:rPr>
      </w:pPr>
      <w:r>
        <w:rPr>
          <w:rFonts w:ascii="Arial" w:cs="Arial" w:eastAsia="Arial" w:hAnsi="Arial"/>
          <w:sz w:val="21"/>
          <w:szCs w:val="21"/>
          <w:color w:val="auto"/>
        </w:rPr>
        <w:t>In connection with the Quarterly Report of Galectin Therapeutics Inc. (the “Company”) on Form 10-Q for the period ended March 31, 2023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209" w:lineRule="exact"/>
        <w:rPr>
          <w:sz w:val="20"/>
          <w:szCs w:val="20"/>
          <w:color w:val="auto"/>
        </w:rPr>
      </w:pPr>
    </w:p>
    <w:p>
      <w:pPr>
        <w:ind w:left="1300" w:hanging="817"/>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1300" w:right="340" w:hanging="817"/>
        <w:spacing w:after="0" w:line="27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22860</wp:posOffset>
            </wp:positionV>
            <wp:extent cx="32131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1310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 Joel Lewis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  Chief Executive Officer and President</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8" w:lineRule="exact"/>
        <w:rPr>
          <w:sz w:val="20"/>
          <w:szCs w:val="20"/>
          <w:color w:val="auto"/>
        </w:rPr>
      </w:pPr>
    </w:p>
    <w:p>
      <w:pPr>
        <w:ind w:right="200" w:firstLine="385"/>
        <w:spacing w:after="0" w:line="250"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363220</wp:posOffset>
            </wp:positionV>
            <wp:extent cx="70732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326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32.2</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auto"/>
        </w:rPr>
        <w:t>CERTIFICATION PURSUANT TO 18 U.S.C. SECTION 1350, AS ADOPTED</w:t>
      </w:r>
    </w:p>
    <w:p>
      <w:pPr>
        <w:spacing w:after="0" w:line="24" w:lineRule="exact"/>
        <w:rPr>
          <w:sz w:val="20"/>
          <w:szCs w:val="20"/>
          <w:color w:val="auto"/>
        </w:rPr>
      </w:pPr>
    </w:p>
    <w:p>
      <w:pPr>
        <w:ind w:left="2060"/>
        <w:spacing w:after="0"/>
        <w:rPr>
          <w:sz w:val="20"/>
          <w:szCs w:val="20"/>
          <w:color w:val="auto"/>
        </w:rPr>
      </w:pPr>
      <w:r>
        <w:rPr>
          <w:rFonts w:ascii="Arial" w:cs="Arial" w:eastAsia="Arial" w:hAnsi="Arial"/>
          <w:sz w:val="21"/>
          <w:szCs w:val="21"/>
          <w:b w:val="1"/>
          <w:bCs w:val="1"/>
          <w:color w:val="auto"/>
        </w:rPr>
        <w:t>PURSUANT TO SECTION 906 OF THE SARBANES-OXLEY ACT OF 2002</w:t>
      </w:r>
    </w:p>
    <w:p>
      <w:pPr>
        <w:spacing w:after="0" w:line="224" w:lineRule="exact"/>
        <w:rPr>
          <w:sz w:val="20"/>
          <w:szCs w:val="20"/>
          <w:color w:val="auto"/>
        </w:rPr>
      </w:pPr>
    </w:p>
    <w:p>
      <w:pPr>
        <w:ind w:right="240" w:firstLine="385"/>
        <w:spacing w:after="0" w:line="250" w:lineRule="auto"/>
        <w:rPr>
          <w:sz w:val="20"/>
          <w:szCs w:val="20"/>
          <w:color w:val="auto"/>
        </w:rPr>
      </w:pPr>
      <w:r>
        <w:rPr>
          <w:rFonts w:ascii="Arial" w:cs="Arial" w:eastAsia="Arial" w:hAnsi="Arial"/>
          <w:sz w:val="21"/>
          <w:szCs w:val="21"/>
          <w:color w:val="auto"/>
        </w:rPr>
        <w:t>In connection with the Quarterly Report of Galectin Therapeutics Inc. (the “Company”) on Form 10-Q for the period ended March 31, 2023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209" w:lineRule="exact"/>
        <w:rPr>
          <w:sz w:val="20"/>
          <w:szCs w:val="20"/>
          <w:color w:val="auto"/>
        </w:rPr>
      </w:pPr>
    </w:p>
    <w:p>
      <w:pPr>
        <w:ind w:left="1300" w:hanging="817"/>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1300" w:right="340" w:hanging="817"/>
        <w:spacing w:after="0" w:line="27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22860</wp:posOffset>
            </wp:positionV>
            <wp:extent cx="32385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00" cy="17145"/>
                    </a:xfrm>
                    <a:prstGeom prst="rect">
                      <a:avLst/>
                    </a:prstGeom>
                    <a:noFill/>
                  </pic:spPr>
                </pic:pic>
              </a:graphicData>
            </a:graphic>
          </wp:anchor>
        </w:drawing>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Name:Jack W. Callicutt</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Chief Financial Officer</w:t>
      </w:r>
    </w:p>
    <w:p>
      <w:pPr>
        <w:spacing w:after="0" w:line="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228" w:lineRule="exact"/>
        <w:rPr>
          <w:sz w:val="20"/>
          <w:szCs w:val="20"/>
          <w:color w:val="auto"/>
        </w:rPr>
      </w:pPr>
    </w:p>
    <w:p>
      <w:pPr>
        <w:ind w:right="200" w:firstLine="385"/>
        <w:spacing w:after="0" w:line="250"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363220</wp:posOffset>
            </wp:positionV>
            <wp:extent cx="70732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73265" cy="17145"/>
                    </a:xfrm>
                    <a:prstGeom prst="rect">
                      <a:avLst/>
                    </a:prstGeom>
                    <a:noFill/>
                  </pic:spPr>
                </pic:pic>
              </a:graphicData>
            </a:graphic>
          </wp:anchor>
        </w:drawing>
      </w:r>
    </w:p>
    <w:sectPr>
      <w:pgSz w:w="11900" w:h="16838" w:orient="portrait"/>
      <w:cols w:equalWidth="0" w:num="1">
        <w:col w:w="11240"/>
      </w:cols>
      <w:pgMar w:left="320" w:top="3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2023-05-15T07:13:58Z</dcterms:created>
  <dcterms:modified xsi:type="dcterms:W3CDTF">2023-05-15T07:13:58Z</dcterms:modified>
</cp:coreProperties>
</file>