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60" w:right="4560" w:hanging="352"/>
        <w:spacing w:after="0" w:line="305" w:lineRule="auto"/>
        <w:tabs>
          <w:tab w:leader="none" w:pos="4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2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63"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08" w:lineRule="exact"/>
        <w:rPr>
          <w:sz w:val="24"/>
          <w:szCs w:val="24"/>
          <w:color w:val="auto"/>
        </w:rPr>
      </w:pPr>
    </w:p>
    <w:p>
      <w:pPr>
        <w:sectPr>
          <w:pgSz w:w="11900" w:h="16838" w:orient="portrait"/>
          <w:cols w:equalWidth="0" w:num="2">
            <w:col w:w="2620" w:space="620"/>
            <w:col w:w="812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GALECTIN THERAPEUTICS INC.</w:t>
      </w:r>
    </w:p>
    <w:p>
      <w:pPr>
        <w:spacing w:after="0" w:line="105"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6980" w:type="dxa"/>
            <w:vAlign w:val="bottom"/>
          </w:tcPr>
          <w:p>
            <w:pPr>
              <w:jc w:val="center"/>
              <w:ind w:right="2664"/>
              <w:spacing w:after="0"/>
              <w:rPr>
                <w:sz w:val="20"/>
                <w:szCs w:val="20"/>
                <w:color w:val="auto"/>
              </w:rPr>
            </w:pPr>
            <w:r>
              <w:rPr>
                <w:rFonts w:ascii="Arial" w:cs="Arial" w:eastAsia="Arial" w:hAnsi="Arial"/>
                <w:sz w:val="18"/>
                <w:szCs w:val="18"/>
                <w:b w:val="1"/>
                <w:bCs w:val="1"/>
                <w:color w:val="auto"/>
                <w:w w:val="87"/>
              </w:rPr>
              <w:t>Nevada</w:t>
            </w:r>
          </w:p>
        </w:tc>
        <w:tc>
          <w:tcPr>
            <w:tcW w:w="1480" w:type="dxa"/>
            <w:vAlign w:val="bottom"/>
          </w:tcPr>
          <w:p>
            <w:pPr>
              <w:jc w:val="right"/>
              <w:ind w:right="24"/>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980" w:type="dxa"/>
            <w:vAlign w:val="bottom"/>
          </w:tcPr>
          <w:p>
            <w:pPr>
              <w:jc w:val="center"/>
              <w:ind w:right="264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48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980" w:type="dxa"/>
            <w:vAlign w:val="bottom"/>
          </w:tcPr>
          <w:p>
            <w:pPr>
              <w:jc w:val="center"/>
              <w:ind w:right="2644"/>
              <w:spacing w:after="0"/>
              <w:rPr>
                <w:sz w:val="20"/>
                <w:szCs w:val="20"/>
                <w:color w:val="auto"/>
              </w:rPr>
            </w:pPr>
            <w:r>
              <w:rPr>
                <w:rFonts w:ascii="Arial" w:cs="Arial" w:eastAsia="Arial" w:hAnsi="Arial"/>
                <w:sz w:val="14"/>
                <w:szCs w:val="14"/>
                <w:b w:val="1"/>
                <w:bCs w:val="1"/>
                <w:color w:val="auto"/>
                <w:w w:val="87"/>
              </w:rPr>
              <w:t>of incorporation)</w:t>
            </w:r>
          </w:p>
        </w:tc>
        <w:tc>
          <w:tcPr>
            <w:tcW w:w="148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Identification No.)</w:t>
            </w:r>
          </w:p>
        </w:tc>
      </w:tr>
      <w:tr>
        <w:trPr>
          <w:trHeight w:val="312"/>
        </w:trPr>
        <w:tc>
          <w:tcPr>
            <w:tcW w:w="6980" w:type="dxa"/>
            <w:vAlign w:val="bottom"/>
          </w:tcPr>
          <w:p>
            <w:pPr>
              <w:jc w:val="center"/>
              <w:ind w:right="2664"/>
              <w:spacing w:after="0"/>
              <w:rPr>
                <w:sz w:val="20"/>
                <w:szCs w:val="20"/>
                <w:color w:val="auto"/>
              </w:rPr>
            </w:pPr>
            <w:r>
              <w:rPr>
                <w:rFonts w:ascii="Arial" w:cs="Arial" w:eastAsia="Arial" w:hAnsi="Arial"/>
                <w:sz w:val="18"/>
                <w:szCs w:val="18"/>
                <w:b w:val="1"/>
                <w:bCs w:val="1"/>
                <w:color w:val="auto"/>
                <w:w w:val="88"/>
              </w:rPr>
              <w:t>4960 Peachtree Industrial Blvd., Suite 240, Norcross, GA</w:t>
            </w:r>
          </w:p>
        </w:tc>
        <w:tc>
          <w:tcPr>
            <w:tcW w:w="1480" w:type="dxa"/>
            <w:vAlign w:val="bottom"/>
          </w:tcPr>
          <w:p>
            <w:pPr>
              <w:jc w:val="right"/>
              <w:ind w:right="224"/>
              <w:spacing w:after="0"/>
              <w:rPr>
                <w:sz w:val="20"/>
                <w:szCs w:val="20"/>
                <w:color w:val="auto"/>
              </w:rPr>
            </w:pPr>
            <w:r>
              <w:rPr>
                <w:rFonts w:ascii="Arial" w:cs="Arial" w:eastAsia="Arial" w:hAnsi="Arial"/>
                <w:sz w:val="18"/>
                <w:szCs w:val="18"/>
                <w:b w:val="1"/>
                <w:bCs w:val="1"/>
                <w:color w:val="auto"/>
              </w:rPr>
              <w:t>30071</w:t>
            </w:r>
          </w:p>
        </w:tc>
      </w:tr>
      <w:tr>
        <w:trPr>
          <w:trHeight w:val="174"/>
        </w:trPr>
        <w:tc>
          <w:tcPr>
            <w:tcW w:w="6980" w:type="dxa"/>
            <w:vAlign w:val="bottom"/>
          </w:tcPr>
          <w:p>
            <w:pPr>
              <w:jc w:val="center"/>
              <w:ind w:right="26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80" w:type="dxa"/>
            <w:vAlign w:val="bottom"/>
          </w:tcPr>
          <w:p>
            <w:pPr>
              <w:jc w:val="center"/>
              <w:ind w:left="364"/>
              <w:spacing w:after="0"/>
              <w:rPr>
                <w:sz w:val="20"/>
                <w:szCs w:val="20"/>
                <w:color w:val="auto"/>
              </w:rPr>
            </w:pPr>
            <w:r>
              <w:rPr>
                <w:rFonts w:ascii="Arial" w:cs="Arial" w:eastAsia="Arial" w:hAnsi="Arial"/>
                <w:sz w:val="14"/>
                <w:szCs w:val="14"/>
                <w:b w:val="1"/>
                <w:bCs w:val="1"/>
                <w:color w:val="auto"/>
                <w:w w:val="92"/>
              </w:rPr>
              <w:t>(Zip Code)</w:t>
            </w:r>
          </w:p>
        </w:tc>
      </w:tr>
      <w:tr>
        <w:trPr>
          <w:trHeight w:val="244"/>
        </w:trPr>
        <w:tc>
          <w:tcPr>
            <w:tcW w:w="6980" w:type="dxa"/>
            <w:vAlign w:val="bottom"/>
          </w:tcPr>
          <w:p>
            <w:pPr>
              <w:jc w:val="right"/>
              <w:ind w:right="1384"/>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1"/>
                <w:szCs w:val="21"/>
                <w:color w:val="auto"/>
              </w:rPr>
            </w:pPr>
          </w:p>
        </w:tc>
      </w:tr>
      <w:tr>
        <w:trPr>
          <w:trHeight w:val="174"/>
        </w:trPr>
        <w:tc>
          <w:tcPr>
            <w:tcW w:w="6980" w:type="dxa"/>
            <w:vAlign w:val="bottom"/>
          </w:tcPr>
          <w:p>
            <w:pPr>
              <w:jc w:val="center"/>
              <w:ind w:left="288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1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95"/>
        </w:trPr>
        <w:tc>
          <w:tcPr>
            <w:tcW w:w="34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91"/>
              </w:rPr>
              <w:t>Common Stock, $0.001 Par Value Per Share</w:t>
            </w:r>
          </w:p>
        </w:tc>
        <w:tc>
          <w:tcPr>
            <w:tcW w:w="10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3"/>
              </w:rPr>
              <w:t>The NASDAQ Capital Market</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w w:val="87"/>
              </w:rPr>
              <w:t>Units, each consisting of two shares of Common Stock and</w:t>
            </w:r>
          </w:p>
        </w:tc>
        <w:tc>
          <w:tcPr>
            <w:tcW w:w="5540" w:type="dxa"/>
            <w:vAlign w:val="bottom"/>
            <w:gridSpan w:val="2"/>
          </w:tcPr>
          <w:p>
            <w:pPr>
              <w:ind w:left="100"/>
              <w:spacing w:after="0"/>
              <w:rPr>
                <w:sz w:val="20"/>
                <w:szCs w:val="20"/>
                <w:color w:val="auto"/>
              </w:rPr>
            </w:pPr>
            <w:r>
              <w:rPr>
                <w:rFonts w:ascii="Arial" w:cs="Arial" w:eastAsia="Arial" w:hAnsi="Arial"/>
                <w:sz w:val="18"/>
                <w:szCs w:val="18"/>
                <w:b w:val="1"/>
                <w:bCs w:val="1"/>
                <w:color w:val="auto"/>
              </w:rPr>
              <w:t>one Warrant</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 purchase one share of Common Stock</w:t>
            </w:r>
          </w:p>
        </w:tc>
        <w:tc>
          <w:tcPr>
            <w:tcW w:w="28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Capital Market</w:t>
            </w:r>
          </w:p>
        </w:tc>
      </w:tr>
      <w:tr>
        <w:trPr>
          <w:trHeight w:val="228"/>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Common Stock Purchase Warrants</w:t>
            </w:r>
          </w:p>
        </w:tc>
        <w:tc>
          <w:tcPr>
            <w:tcW w:w="286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Capital Market</w:t>
            </w:r>
          </w:p>
        </w:tc>
      </w:tr>
    </w:tbl>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60"/>
          </w:cols>
          <w:pgMar w:left="240" w:top="230" w:right="299" w:bottom="1440" w:gutter="0" w:footer="0" w:header="0"/>
          <w:type w:val="continuous"/>
        </w:sectPr>
      </w:pPr>
    </w:p>
    <w:p>
      <w:pPr>
        <w:spacing w:after="0" w:line="69"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5">
            <w:col w:w="8580" w:space="180"/>
            <w:col w:w="320" w:space="100"/>
            <w:col w:w="140" w:space="180"/>
            <w:col w:w="260" w:space="100"/>
            <w:col w:w="1500"/>
          </w:cols>
          <w:pgMar w:left="240" w:top="230" w:right="29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740" w:space="180"/>
            <w:col w:w="320" w:space="80"/>
            <w:col w:w="160" w:space="180"/>
            <w:col w:w="260" w:space="80"/>
            <w:col w:w="1360"/>
          </w:cols>
          <w:pgMar w:left="240" w:top="230" w:right="299" w:bottom="1440" w:gutter="0" w:footer="0" w:header="0"/>
          <w:type w:val="continuous"/>
        </w:sectPr>
      </w:pPr>
    </w:p>
    <w:p>
      <w:pPr>
        <w:ind w:right="2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60"/>
        <w:spacing w:after="0" w:line="207" w:lineRule="exact"/>
        <w:tabs>
          <w:tab w:leader="none" w:pos="2320" w:val="left"/>
          <w:tab w:leader="none" w:pos="3920" w:val="left"/>
          <w:tab w:leader="none" w:pos="58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 w:lineRule="exact"/>
        <w:rPr>
          <w:sz w:val="24"/>
          <w:szCs w:val="24"/>
          <w:color w:val="auto"/>
        </w:rPr>
      </w:pPr>
    </w:p>
    <w:p>
      <w:pPr>
        <w:ind w:left="360"/>
        <w:spacing w:after="0" w:line="207" w:lineRule="exact"/>
        <w:tabs>
          <w:tab w:leader="none" w:pos="846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280"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sold, or the average bid and asked price of such common equity, as of June 30, 2012 was $29.9 million.</w:t>
      </w:r>
    </w:p>
    <w:p>
      <w:pPr>
        <w:spacing w:after="0" w:line="2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shares outstanding of the registrant’s common stock as of March 27, 2013 was 16,109,090.</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Portions of the definitive Proxy Statement for the 2013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4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99"/>
              </w:rPr>
              <w:t>INDEX TO FORM 10-K</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w w:val="96"/>
              </w:rPr>
              <w:t>FOR THE YEAR ENDED DECEMBER 31, 2012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4"/>
        </w:trPr>
        <w:tc>
          <w:tcPr>
            <w:tcW w:w="13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60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760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6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6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2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Discussions About Market Risk</w:t>
              </w:r>
            </w:hyperlink>
          </w:p>
        </w:tc>
        <w:tc>
          <w:tcPr>
            <w:tcW w:w="2020" w:type="dxa"/>
            <w:vAlign w:val="bottom"/>
            <w:tcBorders>
              <w:top w:val="single" w:sz="8" w:color="0000EE"/>
            </w:tcBorders>
            <w:gridSpan w:val="2"/>
          </w:tcPr>
          <w:p>
            <w:pPr>
              <w:spacing w:after="0"/>
              <w:rPr>
                <w:sz w:val="24"/>
                <w:szCs w:val="24"/>
                <w:color w:val="auto"/>
              </w:rPr>
            </w:pPr>
          </w:p>
        </w:tc>
        <w:tc>
          <w:tcPr>
            <w:tcW w:w="33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Financial Statements and Supplementary Data</w:t>
              </w:r>
            </w:hyperlink>
          </w:p>
        </w:tc>
        <w:tc>
          <w:tcPr>
            <w:tcW w:w="63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Changes in and Disagreements With Accountants on Accounting and Financial Disclosure</w:t>
              </w:r>
            </w:hyperlink>
          </w:p>
        </w:tc>
        <w:tc>
          <w:tcPr>
            <w:tcW w:w="32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Controls and Procedures</w:t>
              </w:r>
            </w:hyperlink>
          </w:p>
        </w:tc>
        <w:tc>
          <w:tcPr>
            <w:tcW w:w="786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6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Directors, Executive Officers and Corporate Governance</w:t>
              </w:r>
            </w:hyperlink>
          </w:p>
        </w:tc>
        <w:tc>
          <w:tcPr>
            <w:tcW w:w="56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6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Security Ownership of Certain Beneficial Owners and Management and Related Stockholder Matters</w:t>
              </w:r>
            </w:hyperlink>
          </w:p>
        </w:tc>
        <w:tc>
          <w:tcPr>
            <w:tcW w:w="24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96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Certain Relationships, Related Transactions and Director Independence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020" w:type="dxa"/>
            <w:vAlign w:val="bottom"/>
            <w:tcBorders>
              <w:top w:val="single" w:sz="8" w:color="0000EE"/>
            </w:tcBorders>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Principal Accountant Fees and Services</w:t>
              </w:r>
            </w:hyperlink>
          </w:p>
        </w:tc>
        <w:tc>
          <w:tcPr>
            <w:tcW w:w="45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51"/>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6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34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annual report on Form 10-K contains, in addition to historical information, forward-looking statements within the meaning of the “safe harbor” provisions of the Private Securities Litigation Reform Act of 1995. These statements relate to future events or our future financial performance and can be identified by the use of forward-looking terminology such as “project,” “may,” “could,” “expect,” “anticipate,” “estimate,” “continue” or other similar words. These forward-looking statements are based on management’s current expectations and are subject to a number of factors and uncertainties which could cause actual results to differ materially from those described in these statements. These statements include our plans, expectations and goals regarding drugs in development, clinical trials and regulatory approval for any of our drugs or treatments, potential benefits and uses of our drugs, estimates regarding cash and liquidity, expectations regarding our ability to raise additional capital and the sources and timing of such capital, intentions with respect to legal proceedings and costs related to clinical trials. The following are some of the important factors that could cause our actual performance to differ materially from those discussed in the forward-looking statements:</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9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Although we believe that we have sufficient cash on hand to fund our planned operations into 2014, if we fail to raise additional capital by the end of the first quarter of 2014, we may need to significantly curtail operations, cease operations or seek federal bankruptcy protection.</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achieve commercial viability and acceptance of our proposed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significant competition.</w:t>
      </w:r>
    </w:p>
    <w:p>
      <w:pPr>
        <w:spacing w:after="0" w:line="90"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public company,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are a development-stage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bind and inhibit galectin proteins,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molecules which bind galectin proteins and offer alternative options to larger market segments in our primary disease targets.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 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contract laboratory operation in the Boston area.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Galectins are a class of proteins that are made by many cells in the body. As a group, these proteins are able to bind to sugar molecules that are part of other proteins in and on the cells of our body. Galectin proteins act as a kind of glue, bringing together molecules that have sugars on them. Galectin proteins are known to be markedly increased in a number of important diseases including scaring of organs (e.g. liver, lung, kidney, and heart) and cancers of many kinds. The increase in galectin protein promotes the disease and is detrimental to the patient.</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two compounds in development, one intended to be used in the treatment of liver fibrosis and fatty liver disease and the other intended to be used in cancer therapy. These two compounds are produced from completely different, natural, readily available, starting materials, which, following chemical processing, both exhibit the property of binding to and inhibiting galectin proteins.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Drug</w:t>
            </w:r>
          </w:p>
        </w:tc>
        <w:tc>
          <w:tcPr>
            <w:tcW w:w="6160" w:type="dxa"/>
            <w:vAlign w:val="bottom"/>
          </w:tcPr>
          <w:p>
            <w:pPr>
              <w:ind w:left="2900"/>
              <w:spacing w:after="0"/>
              <w:rPr>
                <w:sz w:val="20"/>
                <w:szCs w:val="20"/>
                <w:color w:val="auto"/>
              </w:rPr>
            </w:pPr>
            <w:r>
              <w:rPr>
                <w:rFonts w:ascii="Arial" w:cs="Arial" w:eastAsia="Arial" w:hAnsi="Arial"/>
                <w:sz w:val="14"/>
                <w:szCs w:val="14"/>
                <w:b w:val="1"/>
                <w:bCs w:val="1"/>
                <w:color w:val="auto"/>
              </w:rPr>
              <w:t>Status</w:t>
            </w:r>
          </w:p>
        </w:tc>
      </w:tr>
      <w:tr>
        <w:trPr>
          <w:trHeight w:val="181"/>
        </w:trPr>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Fibrosis</w:t>
            </w:r>
          </w:p>
        </w:tc>
        <w:tc>
          <w:tcPr>
            <w:tcW w:w="32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160" w:type="dxa"/>
            <w:vAlign w:val="bottom"/>
            <w:tcBorders>
              <w:top w:val="single" w:sz="8" w:color="auto"/>
            </w:tcBorders>
          </w:tcPr>
          <w:p>
            <w:pPr>
              <w:spacing w:after="0"/>
              <w:rPr>
                <w:sz w:val="15"/>
                <w:szCs w:val="15"/>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NASH with Advanced Fibrosis</w:t>
            </w:r>
          </w:p>
        </w:tc>
        <w:tc>
          <w:tcPr>
            <w:tcW w:w="1380" w:type="dxa"/>
            <w:vAlign w:val="bottom"/>
            <w:gridSpan w:val="2"/>
          </w:tcPr>
          <w:p>
            <w:pPr>
              <w:spacing w:after="0"/>
              <w:rPr>
                <w:sz w:val="20"/>
                <w:szCs w:val="20"/>
                <w:color w:val="auto"/>
              </w:rPr>
            </w:pPr>
            <w:r>
              <w:rPr>
                <w:rFonts w:ascii="Arial" w:cs="Arial" w:eastAsia="Arial" w:hAnsi="Arial"/>
                <w:sz w:val="18"/>
                <w:szCs w:val="18"/>
                <w:color w:val="auto"/>
              </w:rPr>
              <w:t>GR-MD-02</w:t>
            </w:r>
          </w:p>
        </w:tc>
        <w:tc>
          <w:tcPr>
            <w:tcW w:w="6160" w:type="dxa"/>
            <w:vAlign w:val="bottom"/>
          </w:tcPr>
          <w:p>
            <w:pPr>
              <w:spacing w:after="0"/>
              <w:rPr>
                <w:sz w:val="20"/>
                <w:szCs w:val="20"/>
                <w:color w:val="auto"/>
              </w:rPr>
            </w:pPr>
            <w:r>
              <w:rPr>
                <w:rFonts w:ascii="Arial" w:cs="Arial" w:eastAsia="Arial" w:hAnsi="Arial"/>
                <w:sz w:val="18"/>
                <w:szCs w:val="18"/>
                <w:color w:val="auto"/>
                <w:w w:val="90"/>
              </w:rPr>
              <w:t>IND submitted January 2013, FDA indicated on March 1, 2013 that we could proceed</w:t>
            </w:r>
          </w:p>
        </w:tc>
      </w:tr>
      <w:tr>
        <w:trPr>
          <w:trHeight w:val="222"/>
        </w:trPr>
        <w:tc>
          <w:tcPr>
            <w:tcW w:w="6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9"/>
              </w:rPr>
              <w:t>with a Phase 1 US clinical trial. Phase I clinical trial expected to start Q2-2013</w:t>
            </w: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380" w:type="dxa"/>
            <w:vAlign w:val="bottom"/>
            <w:gridSpan w:val="2"/>
          </w:tcPr>
          <w:p>
            <w:pPr>
              <w:spacing w:after="0"/>
              <w:rPr>
                <w:sz w:val="20"/>
                <w:szCs w:val="20"/>
                <w:color w:val="auto"/>
              </w:rPr>
            </w:pPr>
            <w:r>
              <w:rPr>
                <w:rFonts w:ascii="Arial" w:cs="Arial" w:eastAsia="Arial" w:hAnsi="Arial"/>
                <w:sz w:val="18"/>
                <w:szCs w:val="18"/>
                <w:color w:val="auto"/>
              </w:rPr>
              <w:t>GM-CT-01</w:t>
            </w:r>
          </w:p>
        </w:tc>
        <w:tc>
          <w:tcPr>
            <w:tcW w:w="6160" w:type="dxa"/>
            <w:vAlign w:val="bottom"/>
          </w:tcPr>
          <w:p>
            <w:pPr>
              <w:spacing w:after="0"/>
              <w:rPr>
                <w:sz w:val="20"/>
                <w:szCs w:val="20"/>
                <w:color w:val="auto"/>
              </w:rPr>
            </w:pPr>
            <w:r>
              <w:rPr>
                <w:rFonts w:ascii="Arial" w:cs="Arial" w:eastAsia="Arial" w:hAnsi="Arial"/>
                <w:sz w:val="18"/>
                <w:szCs w:val="18"/>
                <w:color w:val="auto"/>
              </w:rPr>
              <w:t>Phase I/II study in process in Europe</w:t>
            </w:r>
          </w:p>
        </w:tc>
      </w:tr>
    </w:tbl>
    <w:p>
      <w:pPr>
        <w:spacing w:after="0" w:line="15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GR-MD-02. </w:t>
      </w:r>
      <w:r>
        <w:rPr>
          <w:rFonts w:ascii="Arial" w:cs="Arial" w:eastAsia="Arial" w:hAnsi="Arial"/>
          <w:sz w:val="16"/>
          <w:szCs w:val="16"/>
          <w:color w:val="auto"/>
        </w:rPr>
        <w:t>GR-MD-02 is our lead product candidate for treatment of fibrotic disease. Our preclinical data show that GR-MD-02 has a powerful</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I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Pre-clinical studies also show promise for the combination of GR-MD-02 with other approved immunotherapies and this additional use will be explored for possible advancement into clinical trials.</w:t>
      </w:r>
    </w:p>
    <w:p>
      <w:pPr>
        <w:spacing w:after="0" w:line="118"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GM-CT-01. </w:t>
      </w:r>
      <w:r>
        <w:rPr>
          <w:rFonts w:ascii="Arial" w:cs="Arial" w:eastAsia="Arial" w:hAnsi="Arial"/>
          <w:sz w:val="18"/>
          <w:szCs w:val="18"/>
          <w:color w:val="auto"/>
        </w:rPr>
        <w:t>GM-CT-01, our product candidate targeted for selective cancer therapy, is currently in a clinical trial in Europe. In 2012 we initiated a Phase</w:t>
      </w:r>
      <w:r>
        <w:rPr>
          <w:rFonts w:ascii="Arial" w:cs="Arial" w:eastAsia="Arial" w:hAnsi="Arial"/>
          <w:sz w:val="18"/>
          <w:szCs w:val="18"/>
          <w:i w:val="1"/>
          <w:iCs w:val="1"/>
          <w:color w:val="auto"/>
        </w:rPr>
        <w:t xml:space="preserve"> </w:t>
      </w:r>
      <w:r>
        <w:rPr>
          <w:rFonts w:ascii="Arial" w:cs="Arial" w:eastAsia="Arial" w:hAnsi="Arial"/>
          <w:sz w:val="18"/>
          <w:szCs w:val="18"/>
          <w:color w:val="auto"/>
        </w:rPr>
        <w:t>1/2 clinical trial of GM-CT-01 in combination with a tumor vaccine in patients with advanced melanoma, a deadly skin cancer. The trial is being conducted at three centers in Belgium and one in Luxembourg. The operational conduct of the trial is under the control of the Cancer Centre at the Cliniques Universitaires Saint-Luc and the Ludwig Institute for Cancer Research. Positive results from this study could indicate that inhibiting the “Galectin Effect” could be an enabling technology for therapy in other tumor types.</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believe there is potential for galectin inhibition to play a key role in the burgeoning area of cancer immunotherapy. For example, there have been two recent approvals of drugs that enhance a patient’s immune system to fight cancer: Provenge</w:t>
      </w:r>
      <w:r>
        <w:rPr>
          <w:rFonts w:ascii="Arial" w:cs="Arial" w:eastAsia="Arial" w:hAnsi="Arial"/>
          <w:sz w:val="10"/>
          <w:szCs w:val="10"/>
          <w:color w:val="auto"/>
        </w:rPr>
        <w:t>®</w:t>
      </w:r>
      <w:r>
        <w:rPr>
          <w:rFonts w:ascii="Arial" w:cs="Arial" w:eastAsia="Arial" w:hAnsi="Arial"/>
          <w:sz w:val="16"/>
          <w:szCs w:val="16"/>
          <w:color w:val="auto"/>
        </w:rPr>
        <w:t xml:space="preserve"> (Dendreon; a dendritic cell tumor vaccine) and Yervoy</w:t>
      </w:r>
      <w:r>
        <w:rPr>
          <w:rFonts w:ascii="Arial" w:cs="Arial" w:eastAsia="Arial" w:hAnsi="Arial"/>
          <w:sz w:val="10"/>
          <w:szCs w:val="10"/>
          <w:color w:val="auto"/>
        </w:rPr>
        <w:t>®</w:t>
      </w:r>
      <w:r>
        <w:rPr>
          <w:rFonts w:ascii="Arial" w:cs="Arial" w:eastAsia="Arial" w:hAnsi="Arial"/>
          <w:sz w:val="16"/>
          <w:szCs w:val="16"/>
          <w:color w:val="auto"/>
        </w:rPr>
        <w:t xml:space="preserve"> (BMC; a monoclonal inhibitor of CTLA4 which activates cytotoxic T-cells). With many additional vaccines and immune stimulatory agents in development, industry analysts forecast that this market could grow to over $7 billion by 2015. It is our goal to use a galectin inhibitor to enhance the immune system function to fight cancer and, most important, that complements other approaches to this type of therapy. Our drug candidates provide a promising new therapeutic approach to enhance the activity of the immune system against cancer cells.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the mechanism of action for GM-CT-01 and GR-MD-02 is based upon interaction with, and inhibition of, galectin proteins, which are expressed at high levels in certain pathological states including inflammation, fibrosis and cancer. While GM-CT-01 and GR-MD-02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 as discussed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Fibrosis: New Approach for a Significant Unmet Medical Need</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When an internal organ is exposed to chronic disease one of the responses is that scar tissue is laid down in the organ (this process is called fibrosis). The longer the disease affects the organ, the more fibrous tissue is deposited and this ultimately results in the failure of the organ. This chronic fibrosis of organs may occur in the liver, lung, kidney, and heart, as well as others and, as a result, fibrosis of organs has been estimated to account for as much as 45% of all mortality. Scientific findings during the last few years indicate that the galectin-3 protein is critically important in this fibrotic process in multiple organs.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liver, fibrosis is the end result of multiple inflammatory conditions and infections. Progressive liver fibrosis leads to scarring (cirrhosis), which results in reduction of liver function, multiple medical complications and ultimately death. Nearly 500,000 patients have cirrhosis in the United States with close to 50,000 losing their lives yearly. Only a fraction of patients’ lives have been saved by liver transplantation at a cost of approximately $350,000 per transplantation. One condition in particular that frequently leads to cirrhosis is non-alcoholic steatohepatitis, or NASH, a liver disease characterized by the accumulation of fat in the liver with associated inflammation and fibrosis, which can lead to end-stage cirrhosis requiring liver transplantation. The National Institute of Health estimates that 9 to 15 million Americans are affected by NASH and forecasts that the number of Americans affected by this disease is growing due to obesity and diabetes, with the potential to become the leading cause of liver cirrhosis and liver transplantation in the future. Liver transplantation is currently the only therapeutic approach to NASH or other forms of liver fibrosis as, to the best of our knowledge, there are no drug therapies on the market. Organ transplantation is a difficult, risky and costly procedure as organ availability is scarce and there is the risk of developing cirrhosis in the transplanted liver from the same disease that damaged the patient’s original liver and therefore, there is a great need for other therapeutic options. All diseases that affect the liver (viral hepatitis, alcoholic liver disease, and fatty liver as examples) lead to the development of scarring of the liver.</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primary focus of the company is to use galectin inhibitors to block galectin-3 and treat organ scarring or fibrosis in the liver. There are no approved therapies for treatment of liver fibrosis. We believe that our drug candidates have the potential to treat NASH and other forms of liver fibrosis. Scientific evidence strongly suggests that galectin-3 is essential for the development of liver fibrosis in animals. Published data show that mice lacking the galectin-3 gene, and thus unable to produce galectin-3, are incapable of developing liver fibrosis in response to toxic insult to the liver (Henderson 2006) and in fatty liver disease (Iacobini 2010). Moreover, mice that do not have the galectin-3 gene are resistant to lung (MacKinnon 2012, Nishi 2007) and kidney fibrosis (Henderson 2008). These published data show that galectin-3 is a critical protein for the development of organ fibrosis. Our drugs, based on experiments in well characterized animal models, are also potentially useful in scarring or fibrosis of other organs such as lung and kidney which expands the possibilities for therapeutic indications.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 We evaluated GR-MD-02 in pre-clinical toxicology and pharmacology studies during 2013 and filed an IND with the FDA in January 2013 for initiating human studies in patients with NASH. In February 2013 we entered into an agreement with CTI Clinical Trial Services to assist with the design, development and conduct of one or more clinical research studies, specifically for services with respect to our Phase I clinical trials to evaluate safety of GR-MD-02 in patients with NASH. The FDA notified us in March 2013 that we may proceed with a Phase I clinical trial for patients with NASH and we expect to begin enrolling patients in the Phase I clinical trial in the second quarter of 2013, with top line results expected by the end of 2013 or early 2014. Depending on the results of the Phase I study, and available funding, we may initiate a Phase II clinical trial in mid-2014 to assess the efficacy of GR-MD-02 in patients with NASH and advanced liver fibrosis with expected top-line clinical results by mid to late 2015. Our Phase II clinical program is likely to include additional clinical trials to fully characterize human response to GR-MD-02 and to better position the Company for a successful Phase III clinical trial program.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GR-MD-02 is a proprietary galactoarabino-rhamnogalacturonan polysaccharide polymer that is comprised predominantly of galacturonic acid, galactose, arabinose, rhamnose, and smaller amounts of other sugars. Structural studies have shown that GR-MD-02 binds to galectin-1 (Miller 2009 Biochem J.) and to galectin-3 (Galectin Therapeutics Inc. unpublished observations) with binding affinity to galectin-3 being significantly greater than binding to galectin-1. Similar to GM-CT-01, GR-MD-02 targets extracellular galectins.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intellectual property protection for our GR-MD-02 molecules and key features of this molecule include, amongst others: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Composition of matter patent 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 of use patent in liver fibrosis granted (US 8,236,780)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 of use patents pending in NASH and Cancer Immunotherapy</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 submitted January 2013 for use in patients with NASH with advanced fibrosis; FDA gave approval to proceed with a Phase I clinical trial on March 1,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Low toxicity potential because carbohydrates are metabolized to harmless compounds unlike other drugs that have toxic metabolites.</w:t>
      </w:r>
    </w:p>
    <w:p>
      <w:pPr>
        <w:spacing w:after="0" w:line="113"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API (active pharmaceutical ingredient) is relatively inexpensive to manufacture as the starting material is sourced from an abundant natural material In pharmaceutically acceptable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Compound(s) for subcutaneous administration under development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Inhibition in Cancer Therapy</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 GM-CT-01 has progressed in development for the therapy of colorectal cancer and is currently in a Phase I/II clinical trial in Europe as a combination therapy with a tumor vaccine in patients with advanced melanoma. The current developmental approach for GM-CT-01 is to enhance the activity of the immune system against the cancer.</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role of galectins in cancer immunotherapy can be understood through the “Galectin Effect”, a recent discovery of how tumors avoid the body’s own immune system, i.e., the tumors secrete galectin proteins that block the body’s efforts to fight tumors. Our current program to block the “Galectin Effect” is based on the research of Dr. Pierre van der Bruggen (of the Ludwig Institute of Cancer Research in Brussels, Belgium), demonstrating that galectin-3, which is produced by the vast majority of human cancers, binds to and blocks the actions of tumor-infiltrating T-lymphocytes, the major immune cell in the body’s defense against cancers. Based on these results, we believe that the body’s immune cells may be unable to attack and kill tumor cells in the presence of galectins. Using this approach, the mechanism of action for GM-CT-01 seeks to block galectins and, in turn, restore the ability of the T-lymphocytes to kill tumor cells.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2012, we initiated a Phase I/II clinical trial of GM-CT-01 in Belgium in combination with a tumor vaccine in patients with advanced melanoma, a deadly skin cancer. The Belgian Federal Agency of Medicine and Health Products, or FAMHP, granted approval for this clinical trial, which is being conducted at three centers in Belgium and one in Luxembourg. There are two primary cohorts of patients in this study, one where GM-CT-01 is given intravenously (Cohort 1) and a second cohort where GM-CT-01 is given both intravenously and directly injected into a cutaneous metastasis (Cohort 2). Because of patient availability, Cohort 1 is expected to be enrolled faster than Cohort 2. For each cohort, 6 patients will be enrolled in stage one of the study, and if at least one out of six patients has a response (PR or CR by RECIST criteria), the remaining patients will be enrolled up to a total of 23 per cohort. RECIST (Response Evaluation Criteria In Solid Tumors) is a set of published “rules” for evaluating the state of progression or remission of tumors in cancer patients. We expect the first stage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Cohort 1 of this trial (involving 6 evaluable patients) to be completed in the second or third quarter of 2013 and that it will provide data that could deliver an indication of efficacy. Depending on the results of Stage 1, which is defined as a partial or complete response by RECIST criteria in at least one out of six patients, the study could continue enrollment to complete Stage 2 (46 total patients), initiate a new Phase II trial based on positive results or be halted because of lack of efficacy. Stage 1 of the trial is being funded by the Cancer Centre at the Cliniques Universitaires Saint-Luc and Stage 2 may require funding from the Company, however, we have no commitment to provide funding for such additional trials. Galectin Therapeutics Inc. does not control this Phase I/II clinical trial in Belgium which is being conducted under an EMA-approved IMPD. An IMPD (Investigational Medicinal Product Dossier) is the basis for approval of clinical trials by regulatory authorities in the European Union. Galectin Therapeutics is the sponsor of an open IND application under the FDA for GM-CT-01; no trials are currently being conducted in the U.S.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 are potentially additional pathways for the development of GM-CT-01 for use in treatment of cancer. GM-CT-01 was found to be generally safe when studied in a Phase I clinical trial in end-stage cancer patients with multiple tumor types alone and in combination with 5-Fluorouracil (5-FU), which is an FDA-approved chemotherapy used for treatment of various types of cancer. Three Phase II studies were conducted, but were only partially completed due to financing issues at the time. Based on these completed Phase I and partially completed Phase II clinical trials, we are exploring additional potential indications for the use of GM-CT-01 in combination with cancer chemotherapy.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the galectin inhibitor compound, obtaining a composition for parenteral administration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or the reversal of fibrosis. GR-MD-02 is covered by this patent and it provides opportunities for development of additional compounds in the class.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December 31, 2012, we held eight U.S. patents, three international patents, and have patent applications pending from the U.S. Patent and Trademark Office. Many of our patents and patent applications cover composition of matter for complex carbohydrate drugs and methods of use for reducing toxicity and enhancing chemotherapeutic drugs by co-administering a polysaccharide with a chemotherapeutic agent or for use in treatment of fibrosis. The scheduled expiration dates of our United States patents span from 2020 to 2032. We have corresponding patent applications pending in Europe, Canada, Israel, Brazil, Japan, China and Australia.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primary focus is on the design and testing of agents which target galectins in various in vitro and in vivo systems and which moreover demonstrate efficacy in treatment of experimentally induced fibrosis or enhance immune system responsiveness in various tissues and in live animal models. Our prior focus was on the design and analysis of galectin targeting therapeutics to improve the clinical benefit of chemotherapeutic agents and biologics: GM-CT-01 was a result of this effort. We contract with independent laboratories and other facilities to conduct our research, which is designed, evaluated and managed by our scientists. While we conduct in house research related to our compounds at SBH laboratories, we do not anticipate building additional in-house research or development facilities or hiring staff other than for purposes of designing and managing our out-sourced research.</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February 2013, the Company established a collaborative drug discovery program with Dr. Geert-Jan Boons’ (“Dr. Boons”) laboratory located in the Complex Carbohydrate Research Center at the University of Georgia. This program is focused on the discovery of new carbohydrate molecules that can be used in the therapy of diseases where galectin proteins play a major role, including cancer, and inflammatory and fibrotic disorders. The aim of this program is to develop a pipeline of drugs that can target galectins. This is an important goal as follow-on compounds for our drugs currently in development and to extend the potential indications and routes of administration. The Complex Carbohydrate Research Center is a world-class program and Dr. Boons is a world renowned and pre-eminent carbohydrate chemist.</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research and development expenditures totaled $27.6 million for the cumulative period from inception (July 10, 2000) through December 31, 2012. During the years ended December 31, 2012 and 2011, our expenditures for research and development were $4.5 million and $3.6 million, respectively. We expense all research and development costs as they are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Marketing</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and marketers will involve risks relating to our reduced control, and other risks including those discussed in “Risk Factors — Risks Related to our Company — There are risks associated with reliance on third parties for manufacturing, marketing, sales, managed care and distribution infrastructure channels.”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Many biotechnology and pharmaceutical companies are developing new technologies for the treatment of cancer and other diseases. Technologies such as monoclonal antibodies could be competitive with our galectin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Approval Process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Drugs may not be marketed in the U.S. until the FDA has approved them. The steps required before a drug may be marketed in the U.S. include:</w:t>
      </w:r>
    </w:p>
    <w:p>
      <w:pPr>
        <w:spacing w:after="0" w:line="11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for each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 NDA,</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the NDA,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a trademark used in connection with a pharmaceutical.</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1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07"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Phase I usually involves the initial introduction of the investigational drug into patients to evaluate its safety, dosage tolerance, pharmacodynamics, and, if possible, to gain an early indication of its effectiveness. Phase II usually involves trials in a limited patient population to (i) evaluate dosage tolerance and appropriate dosage; (ii) identify possible adverse effects and safety risks; and (iii) evaluate preliminarily the efficacy of the drug for specific indications. Phase III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requires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Priority Review</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Before our products can be marketed outside of the United States, they are subject to regulatory approval similar to that required in the United States, although the requirements governing the conduct of clinical trials,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currently have five full-time employees, two of whom are involved primarily in management of our pre-clinical research and development and clinical trials and three who were involved primarily in management and administration of our Company. We also have two contractors who provide product development, manufacture and clinical trial support and two contractors who provide financial management services.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incurred net losses to date and must raise additional capital by the end of the first quarter of 2014 in order to continue to operate.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incurred net losses in each year of operation since our inception in July 2000. Our accumulated deficit as of December 31, 2012 was $80.0 million and our cumulative net loss applicable to common stockholders as of December 31, 2012 was $80.3 million. Based on $9.4 million of unrestricted cash as of December 31, 2012, we believe that we have sufficient cash to meet our financial and operating obligations through the first quarter of 2014. We will require more cash to fund our operations and believe that we will be able to obtain additional financing. However, there can be no assurance that we will be successful in obtaining such new financing or, if available, that such financing will be obtainable on terms favorable to us. We must raise additional cash by the end of the first quarter of 2014, or we may not be able to continue operations and may be forced to seek bankruptcy protection.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raise capital through public or private equity financings, partnerships, debt financings, bank borrowings, or other sources. Additional funding may not be available on favorable terms or at all.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a development stage company and have not yet generated any revenue.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 development stage company and have not generated any revenues to date. There is no assurance that we will obtain FDA approval of GR-MD-02, GM-CT-01, or any other of our products in development and, even if we do so, that we will generate revenue sufficient to become profitable. Our failure to generate revenue and profit would likely lead to loss of your investment.</w:t>
      </w:r>
    </w:p>
    <w:p>
      <w:pPr>
        <w:spacing w:after="0" w:line="221"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lead product candidates, GR-MD-02 and GM-CT-01 and we cannot be certain that these product candidates will receive regulatory approval or be successfully commercialized.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GR-MD-02 our lead product candidate for fibrosis is poised to enter the human clinical trial phase of drug development in the US. GM-CT-01, our second product candidate, is currently in human clinical trials in Belgium for use in combination with peptide vaccine for therapy of metastatic melanoma. We cannot assure you that these trials will yield successful results, that they will lead to the generation of revenue, or that we will obtain regulatory approval in other countries.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There are currently no FDA clinical trials underway for GM-CT-01. The Phase I/II clinical trial in Belgium is being conducted under an IMPD from the EMA, under an FDA-approved IND.</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filed for an IND with the FDA for GR-MD-02 in January 2013 for initiating human clinical trials in patients with NASH, and the FDA notified us in March 2013 that we may proceed with a Phase I clinical trial. 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even though GM-CT-01 progressed successfully through Phase I and was progressing successfully through Phase II human trials (which were only partially completed due to financing issues in 2010), it may fail in Phase III trials or in later stages of development. We will engage others to conduct our clinical trials, including clinical research organizations and, possibly, government-sponsored agencies. Pre-clinical studies and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 if we receive regulatory approval, we may be unable to commercialize our product candidates.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Even if GR-MD-02, GM-CT-01 and other anticipated product candidates achieve positive results in clinical trials, we may be unable to commercialize them. The availability of government and third party payor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224"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we develop products eligible for clinical trials, we will contract with independent parties to assist us in the design of the trial protocols, arrange for and monitor the clinical trials, collect data and analyze data. For instance, in February 2013, we entered into an agreement with CTI Clinical Trial Services, Inc. and CTI Clinical Consulting Services, Inc. for the purpose of assisting us in the design, development and conduct of one or more clinical research studies from time to time. In accordance with this agreement, CTI will be conducting the Phase I clinical trial for GR-MD-02 to evaluate the drug’s safety in subjects with NASH with advanced hepatic fibrosis.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228"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for manufacturing, marketing, sales, managed care and distribution infrastructure and channels.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do not have, and do not now intend to develop, facilities for the manufacture of any of our products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limited experience in marketing, sales or distribution, and we do not intend to develop a sales and marketing infrastructure to commercialize our pharmaceutical products. If we develop commercial products, we will need to rely on licensees, collaborators, joint venture partners or independent distributors to market and sell those products. Thus, we expect that we will be required to enter into agreements with commercial partners to engage in sales, marketing and distribution efforts around our products in development. We may be unable to establish or maintain third-party relationships on a commercially reasonable basis, if at all. In addition, these third parties may have similar or more established relationships with our competitors. If we do not enter into relationships with third parties for the sales and marketing of our proposed products, we will need to develop our own sales and marketing capabilities.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 if engaged, these distributors may:</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satisfy financial or contractual obligations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adequately market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cease operations with little or no notice to us;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design, manufacture or promote competing formulations or products.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develop sales, managed care, marketing and distribution channels, we would experience delays in generating sales and incur increased costs, which would harm our financial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We are exposed to product liability, pre-clinical and clinical liability risks, which could place a financial burden upon us, should we be sued, because we do not currently have product liability insurance beyond our general insurance coverage.</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exposes us to potential product liability and other liability risks that are inherent in the testing, manufacturing and marketing of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we do not currently have any FDA-approved products or formulations, we do not currently have any product liability insurance covering commercialized products. We may not be able to obtain or maintain adequate product liability insurance on acceptable terms, if at all, or such insurance may not provide adequate coverage against our potential liabilities. Furthermore,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product liability insurance coverage that may be obtained by us could have a material adverse effect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intense competition in the biotechnology and pharmaceutical industries.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99"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which may be developed by others could impair our ability to maintain and grow our business and remain competitive.</w:t>
      </w:r>
    </w:p>
    <w:p>
      <w:pPr>
        <w:spacing w:after="0" w:line="51" w:lineRule="exact"/>
        <w:rPr>
          <w:sz w:val="20"/>
          <w:szCs w:val="20"/>
          <w:color w:val="auto"/>
        </w:rPr>
      </w:pPr>
    </w:p>
    <w:p>
      <w:pPr>
        <w:jc w:val="both"/>
        <w:ind w:right="560" w:firstLine="456"/>
        <w:spacing w:after="0" w:line="256"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pre-revenue company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and less costly than our proposed products and, therefore, present a serious competitive threat to us.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proposed products, even if commercialized. Many of our targeted diseases and conditions can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lack of operating experience may cause us difficulty in managing our growth.</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have limited experience in manufacturing or procuring products in commercial quantities, conducting other later-stage phases of the regulatory approval process, selling pharmaceutical products, or negotiating, establishing and maintaining strategic relationships. Although we have engaged a number of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key individuals to develop our products and core technologies and pursue collaborative relationships.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highly dependent on Peter G. Traber, M.D. Dr. Traber is our Chief Executive Officer and our Chief Medical Officer who, among other things, designs and leads our pre-clinical and clinical studies, as well as our U.S. and European regulatory processes. The loss of Dr. Traber or failure to attract or retain other key personnel could prevent us from developing our products and core technologies and pursuing collaborative relationships.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unable to comply with our reporting and other requirements under federal securities laws.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Products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need regulatory approvals to commercialize our products.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0"/>
        <w:spacing w:after="0" w:line="332" w:lineRule="auto"/>
        <w:rPr>
          <w:sz w:val="20"/>
          <w:szCs w:val="20"/>
          <w:color w:val="auto"/>
        </w:rPr>
      </w:pPr>
      <w:r>
        <w:rPr>
          <w:rFonts w:ascii="Arial" w:cs="Arial" w:eastAsia="Arial" w:hAnsi="Arial"/>
          <w:sz w:val="16"/>
          <w:szCs w:val="16"/>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or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199"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and timing of clinical trials may vary significantly over the life of a project owing to the following non-exclusive reasons: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the clinical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 is conducted;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and ability to enroll eligible patients;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party contractors failing to comply with regulatory requirements or meet their contractual obligations to us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drug product candidates having different chemical and pharmacological properties in humans than in lab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suspend or terminate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or inadequate supply or quality of drug product candidates or other necessary materials to conduct our trials;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engaging IRBs to oversee trials or in obtaining and maintaining IRB approval of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If users of our proposed products are unable to obtain adequate reimbursement from third-party payers, market acceptance of our proposed products may be limited and we may not achieve revenues or profits.</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continuing efforts of governments, insurance companies, health maintenance organizations and other payers of healthcare costs to contain or reduce costs of health care may affect our future revenues and profitability as well as the future revenues and profitability of our potential customers, suppliers and collaborative partners in addition to the availability of capital. In other words, our ability to commercialize our proposed products will depend in large part on the extent to which appropriate reimbursement levels for the cost of our proposed formulations, products and related treatments are obtained by the health care providers of these products and treatments. At this time we cannot predict the precise impact of the Patient Protection and Affordable Care Act of 2010, as amended by the Health Care and Education Affordability Act of 2010, the comprehensive health care reform legislation passed by Congress in March 2010. It is possible that the adoption of this legislation could harm our business, financial condition and results of operations.</w:t>
      </w:r>
    </w:p>
    <w:p>
      <w:pPr>
        <w:spacing w:after="0" w:line="199"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Data obtained from clinical trials may be negative or inconclusive, and are susceptible to varying interpretations, which could delay, limit or prevent regulatory clearances.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having obtained promising results in earlier trials. The failure to adequately demonstrate the safety and effectiveness of a proposed formulation or product under development could delay or prevent regulatory clearance of the potential drug. The resulting delays in commercialization could materially harm our business. Our clinical trials may not demonstrate sufficient levels of safety and efficacy necessary to obtain the requisite regulatory approvals for our drugs, and thus, our proposed drugs may not be approved for marketing.</w:t>
      </w:r>
    </w:p>
    <w:p>
      <w:pPr>
        <w:spacing w:after="0" w:line="199"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pharmaceutical product cannot be marketed in the U.S. or other countries until it has completed rigorous and extensive regulatory review processes, including approval of a brand name. Any brand names we intend to use for our product candidates will require approval from the FDA regardless of whether we have secured a formal trademark registration from the U.S. Patent and Trademark Office, or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competitive position is contingent upon the protection of our intellectual property.</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others may be able to make compounds that are competitive with our product candidates but are not covered by the claims of our patents;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201"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5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21" w:lineRule="exact"/>
        <w:rPr>
          <w:sz w:val="20"/>
          <w:szCs w:val="20"/>
          <w:color w:val="auto"/>
        </w:rPr>
      </w:pPr>
    </w:p>
    <w:p>
      <w:pPr>
        <w:ind w:left="240" w:right="60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failure to secure trademark registration could adversely affect our ability to market our product candidates and our business.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proceedings. Failure to secure such trademark registrations in the United States and in foreign jurisdictions could adversely affect our ability to market our product candidates and our business.</w:t>
      </w:r>
    </w:p>
    <w:p>
      <w:pPr>
        <w:spacing w:after="0" w:line="213"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subject to claims that our employees have wrongfully used or disclosed alleged trade secrets of their former employers.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adversely affected by several factors.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could fluctuate significantly in response to various factors and events, including but not limited to:</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results below expectations;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issuance of additional securities, including debt or equity or a combination thereof, which will be necessary to fund our operating expenses;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any strategic relationship;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industry developments, including, without limitation, changes in healthcare policies or practices or third-party reimbursement policies;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 active trading market in our common stock develops and is maintained.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market price for securities of pharmaceutical and biotechnology companies historically has been highly volatile, and the securities markets have from time to time experienced significant price and volume fluctuations that are unrelated to the operating performance of particular companies. These broad market fluctuations may cause the market price of our common stock to decline substantially.</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materially and adversely affect our business.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213" w:lineRule="exact"/>
        <w:rPr>
          <w:sz w:val="20"/>
          <w:szCs w:val="20"/>
          <w:color w:val="auto"/>
        </w:rPr>
      </w:pPr>
    </w:p>
    <w:p>
      <w:pPr>
        <w:ind w:left="240" w:right="180"/>
        <w:spacing w:after="0" w:line="332" w:lineRule="auto"/>
        <w:rPr>
          <w:sz w:val="20"/>
          <w:szCs w:val="20"/>
          <w:color w:val="auto"/>
        </w:rPr>
      </w:pPr>
      <w:r>
        <w:rPr>
          <w:rFonts w:ascii="Arial" w:cs="Arial" w:eastAsia="Arial" w:hAnsi="Arial"/>
          <w:sz w:val="16"/>
          <w:szCs w:val="16"/>
          <w:b w:val="1"/>
          <w:bCs w:val="1"/>
          <w:i w:val="1"/>
          <w:iCs w:val="1"/>
          <w:color w:val="auto"/>
        </w:rPr>
        <w:t>Our board of directors has the power to designate, without stockholder approval, additional series of preferred stock, the shares of which could be senior to our common stock and be entitled to conversion or voting rights that adversely affect the holders of our common stock.</w:t>
      </w:r>
    </w:p>
    <w:p>
      <w:pPr>
        <w:spacing w:after="0" w:line="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articles of incorporation authorize the issuance of capital stock including 20,000,000 authorized undesignated shares (8,001,000 designated as of December 31, 2012),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w:t>
      </w:r>
    </w:p>
    <w:p>
      <w:pPr>
        <w:spacing w:after="0" w:line="197"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we have more than 200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One investor and certain directors, by virtue of ownership of our securities and related rights, may be able to control the Company.</w:t>
      </w:r>
    </w:p>
    <w:p>
      <w:pPr>
        <w:spacing w:after="0" w:line="11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10X Fund owns all of our issued and outstanding Series B Preferred Stock, which are convertible into 2,000,000 shares of our common stock. The 10X Fund owns related warrants exercisable to purchase an aggregate of 5,000,000 shares of our common stock. As of December 31, 2012, we have issued 867,527 shares of our common stock as dividends on the Series B Preferred Stock and 1,000,000 shares of our common stock on the exercise of warrants. In addition,</w:t>
      </w:r>
    </w:p>
    <w:p>
      <w:pPr>
        <w:spacing w:after="0" w:line="1" w:lineRule="exact"/>
        <w:rPr>
          <w:sz w:val="20"/>
          <w:szCs w:val="20"/>
          <w:color w:val="auto"/>
        </w:rPr>
      </w:pPr>
    </w:p>
    <w:p>
      <w:pPr>
        <w:ind w:right="80" w:firstLine="8"/>
        <w:spacing w:after="0" w:line="261"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James C. Czirr, a managing partner of the 10X Fund and Executive Chairman of our board of directors, owns or controls approximately 862,000,000 shares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including shares of Series A on an as converted basis, and has the right to acquire approximately 667,000 additional shares of our common stock upon the exercise of outstanding stock options (approximately 317,000 of which are exercisable as of December 31, 2012); and (ii) Rod D. Martin, a managing partner of the 10X Fund and Vice Chairman of our board of directors, owns or controls approximately 91,000 shares of our common stock and has the right to acquire approximately 98,000 additional shares of our common stock upon the exercise of outstanding stock options (approximately 96,000 of which are exercisable as of December 31, 2012). As of December 31, 2012, on a fully diluted basis, assuming conversion of all Series B Preferred Stock and exercise of all outstanding warrants, the 10X Fund would own approximately 38% of our then outstanding shares of common stock, which, together with the shares of our common stock that would be owned by Mr. Czirr and Mr. Martin (assuming exercise of all vested options at that date), would constitute approximately 43% of the then outstanding shares.</w:t>
      </w:r>
    </w:p>
    <w:p>
      <w:pPr>
        <w:spacing w:after="0" w:line="1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holder of Series B Preferred Stock, the 10X Fund is entitled to elect three directors in a separate class vote, nominate three directors for election by all shares entitled to vote, and provide or withhold consent to a range of fundamental corporate action we may wish to undertake, such as recapitalization, sale of our company, and other matters. Such concentration of stock ownership and related rights could have the effect of delaying, deterring or preventing corporate events that our other security holders may desire or consider beneficial to the company.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issue additional common stock, which might dilute the net tangible book value per share of our common stock.</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are currently contemplating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warrant holders exercise their warrants to purchase shares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sale of a substantial number of shares of the common stock may cause the price of our common stock to decline.</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Our common stock is currently traded on The NASDAQ Capital Market and, despite certain increases of trading volume from time to time, there have been periods when it could be considered “thinly-traded,” meaning that the number of persons interested in purchasing our common stock at or near bid prices at any given time may be relatively small or non-existent. 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of up to 9.7 million shares by these shareholders. We are currently contemplating additional capital raising transactions within the next twelve months, which would likely result in issuances of additional shares which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0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our stockholders sell, or the market perceives that our stockholders intend to sell for various reasons, including the ending of restriction on resale or the expiration of lock-up agreements such as those entered into in connection with this offering, substantial amounts of our common stock in the public market, including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not paid cash dividends in the past and do not expect to pay cash dividends in the foreseeable future.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never paid cash dividends on our capital stock and do not anticipate paying cash dividends on our capital stock in the foreseeable future. The payment of dividends on our capital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224" w:lineRule="exact"/>
        <w:rPr>
          <w:sz w:val="20"/>
          <w:szCs w:val="20"/>
          <w:color w:val="auto"/>
        </w:rPr>
      </w:pPr>
    </w:p>
    <w:p>
      <w:pPr>
        <w:ind w:left="240" w:right="180"/>
        <w:spacing w:after="0" w:line="332" w:lineRule="auto"/>
        <w:rPr>
          <w:sz w:val="20"/>
          <w:szCs w:val="20"/>
          <w:color w:val="auto"/>
        </w:rPr>
      </w:pPr>
      <w:r>
        <w:rPr>
          <w:rFonts w:ascii="Arial" w:cs="Arial" w:eastAsia="Arial" w:hAnsi="Arial"/>
          <w:sz w:val="16"/>
          <w:szCs w:val="16"/>
          <w:b w:val="1"/>
          <w:bCs w:val="1"/>
          <w:i w:val="1"/>
          <w:iCs w:val="1"/>
          <w:color w:val="auto"/>
        </w:rPr>
        <w:t>Our shares of common stock and warrants have been and continue to be thinly traded, so you may be unable to sell at or near ask prices or even at all if you need to sell your shares or warrants to raise money or otherwise desire to liquidate your shares or warrants.</w:t>
      </w:r>
    </w:p>
    <w:p>
      <w:pPr>
        <w:spacing w:after="0" w:line="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cannot predict the extent to which an active public market for our common stock and warrants will develop or be sustained. Our common stock is currently traded on The NASDAQ Capital Market and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or non-existent,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develop or be sustained, or that current trading levels will be sustained or not diminish.</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lease 3,610 square feet for our executive offices located at 4960 Peachtree Industrial Blvd., Norcross, GA. We also lease approximately 300 square feet in Natick, MA, for use by research and development consultants and which is collocated with one of research and development service vendors. We believe these spaces are suitable for our present operations.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affect on its financial condition or results of operations, except as noted below:</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October 12, 2012, David Platt, Ph.D., the Company’s former Chief Executive Officer and Chairman of the Board of Directors, commenced a lawsuit under the Massachusetts Wage Act against Peter G. Traber, M.D. and Mr. Thomas A. McGauley, who in their capacities as the Company’s Chief Executive Officer and Chief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Financial Officer respectively can be held individually liable under the Wage Act for non-payment of wages. The lawsuit is based on the facts and issues raised in the arbitration discussed below regarding the potential payment of the $1.0 million separation payment under Dr. Platt’s Separation Agreement with the Company,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believes the lawsuit is without merit, and intends a vigorous defense on their behalf.</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May 2, 2012, Dr. Platt instituted arbitration before the American Arbitration Association, seeking a $1.0 million separation payment based on a claim that a milestone event for payment in accordance with the terms of the Separation Agreement had occurred. Specifically, he argued that he was due payment because the Company’s common stock was listed on the NASDAQ Capital Markets and the Company had previously achieved the required market capitalization for the milestone event. The Company’s position, however, is that a milestone event has not yet occurred under the Separation Agreement because the Company has not achieved the required market capitalization while listed on the NASDAQ Capital Markets. On November 1, 2012, the arbitrator denied Dr. Platt’s demand in all respects. The Company has recorded the payment as an accrued expense payable if and when the milestone event occurs.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provided for under the Separation Agreement, the Company is seeking repayment of all separation benefits paid to Dr. Platt to date.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240" w:right="2220" w:hanging="227"/>
        <w:spacing w:after="0" w:line="347" w:lineRule="auto"/>
        <w:rPr>
          <w:sz w:val="20"/>
          <w:szCs w:val="20"/>
          <w:color w:val="auto"/>
        </w:rPr>
      </w:pPr>
      <w:r>
        <w:rPr>
          <w:rFonts w:ascii="Arial" w:cs="Arial" w:eastAsia="Arial" w:hAnsi="Arial"/>
          <w:sz w:val="18"/>
          <w:szCs w:val="18"/>
          <w:b w:val="1"/>
          <w:bCs w:val="1"/>
          <w:color w:val="auto"/>
        </w:rPr>
        <w:t>Item 5.</w:t>
      </w:r>
      <w:r>
        <w:rPr>
          <w:sz w:val="20"/>
          <w:szCs w:val="20"/>
          <w:color w:val="auto"/>
        </w:rPr>
        <w:t xml:space="preserve"> </w:t>
      </w:r>
      <w:r>
        <w:rPr>
          <w:rFonts w:ascii="Arial" w:cs="Arial" w:eastAsia="Arial" w:hAnsi="Arial"/>
          <w:sz w:val="18"/>
          <w:szCs w:val="18"/>
          <w:b w:val="1"/>
          <w:bCs w:val="1"/>
          <w:i w:val="1"/>
          <w:iCs w:val="1"/>
          <w:color w:val="auto"/>
        </w:rPr>
        <w:t>Market for Registrant’s Common Equity, Related Stockholder Matters and Issuer Purchases of Equity Securities Price Range of Common Stock</w:t>
      </w:r>
    </w:p>
    <w:p>
      <w:pPr>
        <w:spacing w:after="0" w:line="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common stock began trading on The NASDAQ Capital Market under the symbol GALT effective March 23, 2012. Following the delisting of our common stock from the NYSE Alternext US as of the close of trading on January 9, 2009, our common stock had been quoted on the OTC Bulletin Board since January 21, 2009 under the symbol “PRWP.OB” and since June 16, 2011 under the symbol “GALT.OB”. The high and low sale prices for our common stock as reported on the OTC Bulletin Board and the NASDAQ Capital Market, for the periods indicated as shown below. All share prices reflect the one-for-six reverse split, which was effective March 23, 2012.</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High</w:t>
            </w: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8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December 31, 2012</w:t>
            </w: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$6.00</w:t>
            </w:r>
          </w:p>
        </w:tc>
        <w:tc>
          <w:tcPr>
            <w:tcW w:w="5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$3.75</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$4.40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$1.89</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$3.48</w:t>
            </w:r>
          </w:p>
        </w:tc>
        <w:tc>
          <w:tcPr>
            <w:tcW w:w="5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$1.61</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$2.24</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$1.60</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2011</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$8.64</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$5.22</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$9.42</w:t>
            </w:r>
          </w:p>
        </w:tc>
        <w:tc>
          <w:tcPr>
            <w:tcW w:w="5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$5.88</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$7.80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$4.56</w:t>
            </w:r>
          </w:p>
        </w:tc>
        <w:tc>
          <w:tcPr>
            <w:tcW w:w="100" w:type="dxa"/>
            <w:vAlign w:val="bottom"/>
            <w:shd w:val="clear" w:color="auto" w:fill="CCEEFF"/>
          </w:tcPr>
          <w:p>
            <w:pPr>
              <w:spacing w:after="0"/>
              <w:rPr>
                <w:sz w:val="18"/>
                <w:szCs w:val="18"/>
                <w:color w:val="auto"/>
              </w:rPr>
            </w:pP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$6.78</w:t>
            </w:r>
          </w:p>
        </w:tc>
        <w:tc>
          <w:tcPr>
            <w:tcW w:w="5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$3.84</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Holders of Common Stock</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As of March 19, 2013, there were 290 shareholders of record of our common stock. Because shares of our common stock are held by depositaries, brokers and other nominees, the number of beneficial holders of our shares is substantially larger than the number of record holders. Based on information available to us, we believe there are approximately 7,250 non-objecting beneficial owners of our shares of our common stock in addition to the record holders.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have been no cash dividends declared on our common stock since our company was formed. Dividends are declared at the sole discretion of our Board of Directors. Our intention is not to declare cash dividends and retain all cash for our operations.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called for by this Item is not applicable to us because we are a smaller reporting company.</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operations through the first quarter of 2014;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without limitation, our early stage of development; our dependence on outside capital; uncertainties related to our technology and clinical trials, intellectual property protection, uncertainties of regulatory approval requirements for our products; competition and stock price volatility in the biotechnology industry, limited trading volume for our stock, concentration of ownership of our stock, and other risks detailed herein and from time to time in our SEC reports. The following discussion should be read in conjunction with the accompanying consolidated financial statements and notes thereto of Galectin Therapeutics appearing elsewhere herein.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are a development-stage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bind and inhibit galectin proteins,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molecules which bind galectin proteins and offer alternative options to larger market segments in our primary disease targets. We are pursuing a development pathway to clinical enhancement and commercialization for our lead compounds in liver fibrosis and fatty liver disease as well as in immune enhancement for cancer therapy. All of our proposed products are presently in development, including pre-clinical and clinical trials.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Common Stock and Warrant Offering and Reverse Split</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On March 22, 2012, in anticipation of completing a public offering of securities, we effected a one-for-six reverse stock split of our common stock. All common share and per unit amounts in this report, including the financial statements, have been adjusted to reflect the reverse split. Our common stock began trading on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NASDAQ Capital Market under the symbol GALT on March 23, 2012, and the units and warrants that we sold in the offering began trading on that exchange under the symbols GALTU and GALTW, respectively, on March 28, 2012.</w:t>
      </w:r>
    </w:p>
    <w:p>
      <w:pPr>
        <w:spacing w:after="0" w:line="132" w:lineRule="exact"/>
        <w:rPr>
          <w:sz w:val="20"/>
          <w:szCs w:val="20"/>
          <w:color w:val="auto"/>
        </w:rPr>
      </w:pPr>
    </w:p>
    <w:p>
      <w:pPr>
        <w:jc w:val="both"/>
        <w:ind w:right="580" w:firstLine="456"/>
        <w:spacing w:after="0" w:line="370" w:lineRule="auto"/>
        <w:rPr>
          <w:sz w:val="20"/>
          <w:szCs w:val="20"/>
          <w:color w:val="auto"/>
        </w:rPr>
      </w:pPr>
      <w:r>
        <w:rPr>
          <w:rFonts w:ascii="Arial" w:cs="Arial" w:eastAsia="Arial" w:hAnsi="Arial"/>
          <w:sz w:val="15"/>
          <w:szCs w:val="15"/>
          <w:color w:val="auto"/>
        </w:rPr>
        <w:t>On March 28, 2012, we completed the public offering in which we issued 2,666,722 shares of common stock and related warrants exercisable until March 28, 2017, at $5.63 per share to purchase 1,333,361 shares of common stock for gross proceeds of $12.0 million (net cash proceeds of 10.4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Galectins are a class of proteins that are made by many cells in the body. As a group, these proteins are able to bind to sugar molecules that are part of other proteins in and on the cells of our body. Galectin proteins act as a kind of glue, bringing together molecules that have sugars on them. Galectin proteins are known to be markedly increased in a number of important diseases including scaring of organs (e.g. liver, lung, kidney, and heart) and cancers of many kinds. The increase in galectin protein promotes the disease and is detrimental to the patient.</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two compounds in development, one intended to be used in the treatment of liver fibrosis and fatty liver disease and the other intended to be used in cancer therapy. These two compounds are produced from completely different, natural, readily available, starting materials, which, following chemical processing, both exhibit the property of binding to and inhibiting galectin proteins. GR-MD-02, our lead product for treatment of liver fibrosis and fatty liver disease with inflammation and fibrosis, is a proprietary complex polysaccharide polymer possessing both linear and globular structures, which is derived from a plant source. GM-CT-01, our lead product candidate for cancer therapy, is a proprietary linear polysaccharide polymer comprised of mannose and galactose that has a precisely defined chemical structure and which is also derived from a plant source.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the mechanism of action for GR-MD-02 and GM-CT-01 is based upon interaction with, and inhibition of, galectin proteins, which are expressed at high levels in certain pathological states including inflammation, fibrosis and cancer. While GR-MD-02 and GM-CT-01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 as discussed below.</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GR-MD-02 — Liver Fibrosis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main initiative in our development strategy is the application of galectin inhibition in connection with liver fibrosis, a condition that leads to cirrhosis. We believe that GR-MD-02 has the potential to treat nonalcoholic steatohepatitis (NASH) and other forms of liver fibrosis. The driving factor for our commitment to galectin inhibition for fibrosis is scientific evidence that strongly suggests that galectin-3 is essential for the development of liver fibrosis in animals. Published data show that mice lacking the galectin-3 gene are incapable of developing liver fibrosis in response to toxin insult to the liver and in fatty liver disease. Moreover, mice that do not have the galectin-3 gene are resistant to lung and kidney fibrosis.</w:t>
      </w:r>
    </w:p>
    <w:p>
      <w:pPr>
        <w:spacing w:after="0" w:line="1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 We filed an IND with the FDA in January 2013 for initiating human studies in patients with NASH, and the FDA notified us in March 2013 that we may proceed with a Phase I clinical trial. We plan to start a Phase I clinical trial with GR-MD-02 in patients with NASH during the second quarter of 2013 to assess safety and preliminary evidence of efficacy in humans, with top line results expected by late 2013 or early 2014. In mid-2014, depending on the results of the Phase I study and available funding, we may initiate a Phase II clinical trial to assess the efficacy of GR-MD-02 in patients with NASH and advanced liver fibrosis with expected top-line clinical results by mid to late 2015.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GM-CT-01 — Galectin Inhibition in Cancer Therapy</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 GM-CT-01 has progressed in development for the therapy of colorectal cancer and is currently in a Phase I/II clinical trial in Europe as a combination therapy with a tumor vaccine in patients with advanced melanoma. The current developmental approach for GM-CT-01 is to enhance the activity of the immune system against the cancer.</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May 2012, we initiated a Phase I/II clinical trial of GM-CT-01 in Belgium in combination with a tumor vaccine in patients with advanced melanoma, a deadly skin cancer. The Belgian Federal Agency of Medicine and Health Products, or FAMHP, granted approval for this clinical trial, which is being conducted at three centers in Belgium and one in Luxembourg. There are two primary cohorts of patients in this study, one where GM-CT-01 is given intravenously (Cohort 1) and a second cohort where GM-CT-01 is given both intravenously and directly injected into a cutaneous metastasis (Cohort 2). Because of patient availability, Cohort 1 is expected to be enrolled faster than Cohort 2. For each cohort, 6 patients will be enrolled in stage one of the study, and if at least one out of six patients has a response (PR or CR by RECIST criteria), the remaining patients will be enrolled up to a total of 23 per cohort. We expect the first stage of Cohort 1 of this trial (involving 6 evaluable patients) to be completed in the second quarter of 2013 and that it will provide data that could deliver an indication of efficacy. Depending on the results of Stage 1, which is defined as a partial or complete response by RECIST criteria in at least one out of six patients, the study could continue enrollment to complete Stage 2 (46 total patients), initiate a new Phase II trial based on positive results or be halted because of lack of efficacy. Stage 1 of the trial is being funded by the Cancer Centre at the Cliniques Universitaires Saint-Luc and Stage 2 may require funding from the Company, beyond the provision of material, however, we have no commitment to fund Stage 2 of the trial. We do not control this Phase I/II clinical trial in Belgium which is being conducted under an EMA-approved IMPD. We are the sponsor of an open IND application under the FDA for GM-CT-01; no trials are currently being conducted in the U.S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previously attempted to gain regulatory approval of GM-CT-01 for use in combination with 5-FU (5-Fluorouracil, an anti-cancer chemotherapy drug) containing chemotherapy regiments for metastatic colorectal cancer in Colombia. This approach had been recommended to the Company by key oncology opinion leaders in Colombia and by PROCAPS S.A. (“PROCAPS”), a Colombia-based pharmaceutical company. There has been no approval of GM-CT-01 in a major region such as the U.S. or Europe and it was determined that approval from the regulatory authority in Columbia (INVIMA) would require additional clinical trial data. Although the Company worked with PROCAPS to design a Phase III clinical trial, a satisfactory plan could not be agreed upon and we terminated the Agreement with PROCAPS (as described below), effective September 29, 2012, and have no current plans to continue attempts to gain approval of GM-CT-01 in Columbia. We had not taken into account projections for any potential revenues from this agreement in our financing plans.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 with PROCAPS S.A.</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25, 2010, we granted PROCAPS S.A. (in the form of a definitive term sheet) exclusive rights to market and sell GM-CT-01 to treat cancer in Colombia, South America. PROCAPS is an international, privately held pharmaceutical company based in Barranquilla, Colombia. In October 2010, we received a payment of $200,000 and shipped GM-CT-01 to PROCAPS to be used by PROCAPS to undertake initial steps contemplated by the term sheet. We recorded the $200,000 payment from PROCAPS as deferred revenue on the condensed consolidated balance sheet as of December 31, 2011, to be recognized when the remaining deliverables of the agreement were completed.</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October 18, 2011, we entered into a Collaboration, Supply, Marketing and Distribution Agreement (the “Agreement”) with PROCAPS. The Agreement granted PROCAPS first negotiation rights to enter into similar agreements in other Central and South American countries. We were to be the sole manufacturer and supplier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GM-CT-01 to PROCAPS. The Agreement obligated PROCAPS to procure regulatory approvals necessary for the marketing and sale of GM-CT-01 naming us as the owner of such approvals to the extent permitted by law, or alternatively hold the approvals for our benefit. PROCAPS was required to pay us a stated fee for each dose it purchases and royalties at an incremental rate determined by annual net sales of GM-CT-01. We retained all intellectual property rights to GM-CT-01 and related products and PROCAPS may not produce, modify, reverse engineer, or otherwise interfere with the GM-CT-01 compound. PROCAPS may not manufacture or sell products that compete with GM-CT-01 during the term of the Agreement and for five years thereafter.</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PROCAPS had not obtained approval to sell GM-CT-01 in Columbia as required by the Agreement and, as they were in material breach of the Agreement, we terminated the Agreement, effective September 29, 2012. With no further obligations under the Agreement, we recognized the $200,000 payment as Other Income in the Statements of Operations during the year ended December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from the Years Ended December 31, 2012 and 2011</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4"/>
              </w:rPr>
              <w:t>Year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2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2012 as Compared to 2011</w:t>
            </w:r>
          </w:p>
        </w:tc>
      </w:tr>
      <w:tr>
        <w:trPr>
          <w:trHeight w:val="142"/>
        </w:trPr>
        <w:tc>
          <w:tcPr>
            <w:tcW w:w="3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62"/>
              <w:spacing w:after="0" w:line="142" w:lineRule="exact"/>
              <w:rPr>
                <w:sz w:val="20"/>
                <w:szCs w:val="20"/>
                <w:color w:val="auto"/>
              </w:rPr>
            </w:pPr>
            <w:r>
              <w:rPr>
                <w:rFonts w:ascii="Arial" w:cs="Arial" w:eastAsia="Arial" w:hAnsi="Arial"/>
                <w:sz w:val="14"/>
                <w:szCs w:val="14"/>
                <w:b w:val="1"/>
                <w:bCs w:val="1"/>
                <w:color w:val="auto"/>
                <w:w w:val="88"/>
              </w:rPr>
              <w:t>$ Change</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40" w:type="dxa"/>
            <w:vAlign w:val="bottom"/>
            <w:gridSpan w:val="4"/>
          </w:tcPr>
          <w:p>
            <w:pPr>
              <w:jc w:val="right"/>
              <w:ind w:right="402"/>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975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15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two product candidates, GR-MD-02 and GM-CT-01. We filed for an IND for GR-MD-02 in January 2013 and in February 2013 we entered into an agreement with CTI to conduct a Phase I clinical trial of GR-MD-02 which we expect will begin enrolling patients in the second quarter of 2013. In March 2013, the FDA indicated we could proceed with a Phase I human clinical trial of GR-MD-02. GM-CT-01 is in a Phase I/II clinical trial in Europe at this time, which is being conducted in collaboration with the Cancer Centre at the Cliniques Universitaires Saint-Luc and the Ludwig Institute for Cancer Research in Belgium.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Clinical programs and pre-clinical activities</w:t>
            </w:r>
          </w:p>
        </w:tc>
        <w:tc>
          <w:tcPr>
            <w:tcW w:w="6240" w:type="dxa"/>
            <w:vAlign w:val="bottom"/>
            <w:gridSpan w:val="3"/>
          </w:tcPr>
          <w:p>
            <w:pPr>
              <w:jc w:val="right"/>
              <w:ind w:right="420"/>
              <w:spacing w:after="0"/>
              <w:rPr>
                <w:sz w:val="20"/>
                <w:szCs w:val="20"/>
                <w:color w:val="auto"/>
              </w:rPr>
            </w:pPr>
            <w:r>
              <w:rPr>
                <w:rFonts w:ascii="Arial" w:cs="Arial" w:eastAsia="Arial" w:hAnsi="Arial"/>
                <w:sz w:val="18"/>
                <w:szCs w:val="18"/>
                <w:color w:val="auto"/>
              </w:rPr>
              <w:t>$2,999</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All other research and development expenses</w:t>
            </w:r>
          </w:p>
        </w:tc>
        <w:tc>
          <w:tcPr>
            <w:tcW w:w="5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19"/>
                <w:szCs w:val="19"/>
                <w:color w:val="auto"/>
              </w:rPr>
            </w:pPr>
          </w:p>
        </w:tc>
        <w:tc>
          <w:tcPr>
            <w:tcW w:w="62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4,527</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320" w:type="dxa"/>
            <w:vAlign w:val="bottom"/>
            <w:vMerge w:val="restart"/>
          </w:tcPr>
          <w:p>
            <w:pPr>
              <w:jc w:val="right"/>
              <w:ind w:right="4012"/>
              <w:spacing w:after="0"/>
              <w:rPr>
                <w:sz w:val="20"/>
                <w:szCs w:val="20"/>
                <w:color w:val="auto"/>
              </w:rPr>
            </w:pPr>
            <w:r>
              <w:rPr>
                <w:rFonts w:ascii="Arial" w:cs="Arial" w:eastAsia="Arial" w:hAnsi="Arial"/>
                <w:sz w:val="18"/>
                <w:szCs w:val="18"/>
                <w:color w:val="auto"/>
              </w:rPr>
              <w:t>28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Clinical programs and pre-clinical expenses for the year ended December 31, 2012, increased compared to the same period in 2011, due primarily to increased pre-clinical activity on our fibrosis program as we prepared to file an IND in January 2013 and begin a Phase I clinical trial in 2013. Included in clinical programs and pre-clinical costs above, are costs related to clinical trials during 2012 and 2011 of approximately $205,000 and $666,000, respectively, which consisted primarily of costs related to drug manufacturing to supply GM-CT-01 for the Phase I/II trial, which, as previously discussed, is not being conducted by us. We expect as we begin our Phase I trial for GR-MD-02, our clinical program costs will increase substantially, as discussed further below. Other research and development expense decreased primarily due to decreased stock-based compensation ($635,000).</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February 2013, we signed an agreement with CTI Clinical Trial Services, Inc. and CTI clinical Consulting Services, Inc. (collectively “CTI”) to conduct our Phase I clinical trial for GR-MD-02. The initial work order related to the contract is for $2,155,000, which we expect will be expensed over the year ended December 31, 2013 as expenses are incurred. The total costs of conducting the Phase I trial may be greater than the initial work order due to potential additional studies that may be required.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 However, we expect to continue to have substantial research and development expenses for the foreseeable future as we continue to develop our products.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4"/>
              </w:rPr>
              <w:t>Year ended</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December 31,</w:t>
            </w:r>
          </w:p>
        </w:tc>
        <w:tc>
          <w:tcPr>
            <w:tcW w:w="2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2012 as Compared to 2011</w:t>
            </w:r>
          </w:p>
        </w:tc>
      </w:tr>
      <w:tr>
        <w:trPr>
          <w:trHeight w:val="142"/>
        </w:trPr>
        <w:tc>
          <w:tcPr>
            <w:tcW w:w="3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26"/>
              <w:spacing w:after="0" w:line="142" w:lineRule="exact"/>
              <w:rPr>
                <w:sz w:val="20"/>
                <w:szCs w:val="20"/>
                <w:color w:val="auto"/>
              </w:rPr>
            </w:pPr>
            <w:r>
              <w:rPr>
                <w:rFonts w:ascii="Arial" w:cs="Arial" w:eastAsia="Arial" w:hAnsi="Arial"/>
                <w:sz w:val="14"/>
                <w:szCs w:val="14"/>
                <w:b w:val="1"/>
                <w:bCs w:val="1"/>
                <w:color w:val="auto"/>
                <w:w w:val="88"/>
              </w:rPr>
              <w:t>$ Change</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40" w:type="dxa"/>
            <w:vAlign w:val="bottom"/>
            <w:gridSpan w:val="3"/>
          </w:tcPr>
          <w:p>
            <w:pPr>
              <w:jc w:val="right"/>
              <w:ind w:right="366"/>
              <w:spacing w:after="0" w:line="142" w:lineRule="exact"/>
              <w:rPr>
                <w:sz w:val="20"/>
                <w:szCs w:val="20"/>
                <w:color w:val="auto"/>
              </w:rPr>
            </w:pPr>
            <w:r>
              <w:rPr>
                <w:rFonts w:ascii="Arial" w:cs="Arial" w:eastAsia="Arial" w:hAnsi="Arial"/>
                <w:sz w:val="14"/>
                <w:szCs w:val="14"/>
                <w:b w:val="1"/>
                <w:bCs w:val="1"/>
                <w:color w:val="auto"/>
              </w:rPr>
              <w:t>(in thousands, except %)</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$5,372</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$6,857</w:t>
            </w:r>
          </w:p>
        </w:tc>
        <w:tc>
          <w:tcPr>
            <w:tcW w:w="980" w:type="dxa"/>
            <w:vAlign w:val="bottom"/>
            <w:shd w:val="clear" w:color="auto" w:fill="CCEEFF"/>
          </w:tcPr>
          <w:p>
            <w:pPr>
              <w:jc w:val="right"/>
              <w:ind w:right="226"/>
              <w:spacing w:after="0"/>
              <w:rPr>
                <w:sz w:val="20"/>
                <w:szCs w:val="20"/>
                <w:color w:val="auto"/>
              </w:rPr>
            </w:pPr>
            <w:r>
              <w:rPr>
                <w:rFonts w:ascii="Arial" w:cs="Arial" w:eastAsia="Arial" w:hAnsi="Arial"/>
                <w:sz w:val="18"/>
                <w:szCs w:val="18"/>
                <w:color w:val="auto"/>
                <w:w w:val="91"/>
              </w:rPr>
              <w:t>$ (1,485)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reasons for the decrease for the year ended December 31, 2012 as compared to the same period in 2011 is due to decreased legal expenses ($119,000) and decreased investor relations and business development costs ($299,000) as we decreased work related to the PROCAPS agreement which we terminated in 2012, offset by increased insurance and public company related costs ($113,000). Additionally, in 2011, when it became probable that we would be relisted on a national securities exchange we recognized a $1.0 million payment due to our former CEO, Dr. Platt. Also, we settled litigation and recognized $162,000 of related expense in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the year ended December 31, 2012, other income and expense consisted primarily of the $200,000 payment from PROCAPS which was previously accounted for as deferred income and recognized upon the termination of the PROCAPS Agreement, as previously described.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income and expense for the year ended December 31, 2011 included an expense of $524,000, related to the change in fair value of warrant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warrant liabilities as of December 31, 2012 or during the year then ended or as of December 31,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2012, we raised a net total of $68.8 million from these offerings. At December 31, 2012, we had $9,364,000 of unrestricted cash and cash equivalents available to fund future operations. We believe that with the cash on hand at December 31, 2012, there is sufficient cash to fund operations through the first quarter of 2014. We will require more cash to fund our operations and believe we will be able to obtain additional financing. However, there can be no assurance that we will be successful in obtaining such new financing or, if available, that such financing will be on terms favorable to us. We plan to raise additional capital and have significantly reduced our administrative and clinical spending. If we are unsuccessful in raising additional capital before the end of the first quarter of 2014, we may be required to cease operations or seek bankruptcy protection.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accrued an expense of $1,000,000 that is payable to David Platt, Ph.D., the Company’s former Chief Executive Officer and Chairman of the Board of Directors, if and when certain company milestone events occur pursuant to his Separation Agreement with the Company; however, on March 29, 2013, we instituted arbitration before the American Arbitration Association, seeking to rescind or reform the Separation Agreement. Depending on the outcome of the arbitration, the accrual could be reversed. The timing and ultimate outcome of this arbitration, though, is uncertain and there is no guarantee that we will be successful in this demand. See “Item 3. Legal Proceedings” for further description of the arbitration.</w:t>
      </w:r>
    </w:p>
    <w:p>
      <w:pPr>
        <w:spacing w:after="0" w:line="11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Net cash used in operations increased by $1,824,000 to $7,500,000 for 2012, as compared to $5,676,000 for 2011. Cash operating expenses increased principally due to increased research and development activities primarily related to our fibrosis development and preparation for an IND filing and a Phase I clinical trial for GR-MD-02 in 2013, offset by decreased general and administrative expenses as previously discussed.</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Cash used in investing activities during 2012 consisted of a decrease in restricted cash by $64,000 as our $59,000 secured letter of credit for office space and $10,000 of secured credit cards were released, offset by equipment purchases of $5,000 as compared to $5,000 of equipment purchases in 2011 and $10,000 to secure credit cards in 2011.</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cash provided by financing activities was $10,403,000 during 2012 as compared to $6,197,000 during 2011, due primarily to the transaction described below.</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March 28, 2012, we issued 2,666,722 shares of common stock and related $5.63 warrants to purchase 1,333,361 shares of common stock, resulting in gross proceeds of $12,000,000 (net proceeds of $10,403,000).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the payments due under our contractual obligations at December 31, 2012, and the effect such obligations are expected to have on liquidity and cash flow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Payments due by period (in thousands)</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5260" w:type="dxa"/>
            <w:vAlign w:val="bottom"/>
            <w:vMerge w:val="restart"/>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1-</w:t>
            </w:r>
          </w:p>
        </w:tc>
        <w:tc>
          <w:tcPr>
            <w:tcW w:w="1020" w:type="dxa"/>
            <w:vAlign w:val="bottom"/>
            <w:gridSpan w:val="2"/>
          </w:tcPr>
          <w:p>
            <w:pPr>
              <w:jc w:val="right"/>
              <w:ind w:right="79"/>
              <w:spacing w:after="0" w:line="129" w:lineRule="exact"/>
              <w:rPr>
                <w:sz w:val="20"/>
                <w:szCs w:val="20"/>
                <w:color w:val="auto"/>
              </w:rPr>
            </w:pPr>
            <w:r>
              <w:rPr>
                <w:rFonts w:ascii="Arial" w:cs="Arial" w:eastAsia="Arial" w:hAnsi="Arial"/>
                <w:sz w:val="14"/>
                <w:szCs w:val="14"/>
                <w:b w:val="1"/>
                <w:bCs w:val="1"/>
                <w:color w:val="auto"/>
              </w:rPr>
              <w:t>3-</w:t>
            </w:r>
          </w:p>
        </w:tc>
        <w:tc>
          <w:tcPr>
            <w:tcW w:w="54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5260" w:type="dxa"/>
            <w:vAlign w:val="bottom"/>
            <w:vMerge w:val="continue"/>
          </w:tcPr>
          <w:p>
            <w:pPr>
              <w:spacing w:after="0"/>
              <w:rPr>
                <w:sz w:val="14"/>
                <w:szCs w:val="14"/>
                <w:color w:val="auto"/>
              </w:rPr>
            </w:pPr>
          </w:p>
        </w:tc>
        <w:tc>
          <w:tcPr>
            <w:tcW w:w="300" w:type="dxa"/>
            <w:vAlign w:val="bottom"/>
          </w:tcPr>
          <w:p>
            <w:pPr>
              <w:spacing w:after="0" w:line="148" w:lineRule="exact"/>
              <w:rPr>
                <w:sz w:val="20"/>
                <w:szCs w:val="20"/>
                <w:color w:val="auto"/>
              </w:rPr>
            </w:pPr>
            <w:r>
              <w:rPr>
                <w:rFonts w:ascii="Arial" w:cs="Arial" w:eastAsia="Arial" w:hAnsi="Arial"/>
                <w:sz w:val="14"/>
                <w:szCs w:val="14"/>
                <w:b w:val="1"/>
                <w:bCs w:val="1"/>
                <w:color w:val="auto"/>
                <w:w w:val="83"/>
              </w:rPr>
              <w:t>Total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4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3 years</w:t>
            </w:r>
          </w:p>
        </w:tc>
        <w:tc>
          <w:tcPr>
            <w:tcW w:w="600" w:type="dxa"/>
            <w:vAlign w:val="bottom"/>
          </w:tcPr>
          <w:p>
            <w:pPr>
              <w:spacing w:after="0"/>
              <w:rPr>
                <w:sz w:val="14"/>
                <w:szCs w:val="14"/>
                <w:color w:val="auto"/>
              </w:rPr>
            </w:pP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w w:val="82"/>
              </w:rPr>
              <w:t>5 years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3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$ 85</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w:t>
            </w: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rPr>
                <w:sz w:val="20"/>
                <w:szCs w:val="20"/>
                <w:color w:val="auto"/>
              </w:rPr>
            </w:pPr>
            <w:r>
              <w:rPr>
                <w:rFonts w:ascii="Arial" w:cs="Arial" w:eastAsia="Arial" w:hAnsi="Arial"/>
                <w:sz w:val="18"/>
                <w:szCs w:val="18"/>
                <w:color w:val="auto"/>
              </w:rPr>
              <w:t>Total payments due under contractual obligations</w:t>
            </w:r>
          </w:p>
        </w:tc>
        <w:tc>
          <w:tcPr>
            <w:tcW w:w="300" w:type="dxa"/>
            <w:vAlign w:val="bottom"/>
          </w:tcPr>
          <w:p>
            <w:pPr>
              <w:spacing w:after="0"/>
              <w:rPr>
                <w:sz w:val="20"/>
                <w:szCs w:val="20"/>
                <w:color w:val="auto"/>
              </w:rPr>
            </w:pPr>
            <w:r>
              <w:rPr>
                <w:rFonts w:ascii="Arial" w:cs="Arial" w:eastAsia="Arial" w:hAnsi="Arial"/>
                <w:sz w:val="18"/>
                <w:szCs w:val="18"/>
                <w:color w:val="auto"/>
                <w:w w:val="79"/>
              </w:rPr>
              <w:t>$ 85</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September 2012, we entered into an operating lease for office space in Norcross, GA for a term of twenty-six months, beginning on October 1, 2012 and ending November 30, 2014 at a rate of $3,000 per month.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lease provides for free rent for the first two months of the lease and required a security deposit of $6,000. In addition to base rental payments included in the contractual obligations table above, we are responsible for our pro-rata share of the operating expenses for the building.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2012, we entered into an operating lease for office space collocated with lab space for research and development activities in Massachusetts.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lease is for a period of one year, beginning on October 1, 2012, for a rate of $15,000 for the term, payable in equal monthly increments.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February 2009, we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our securities on a national securities exchange and the achievement of a market capitalization of $100 million. Payment upon the events (i) and (iii) may be deferred up to six months, and if we have insufficient cash at the time of any of such events, we may issue Dr. Platt a secured promissory note for such amount. If we file a voluntary or involuntary petition for bankruptcy, whether or not a milestone event has occurred, such event shall trigger our obligation to pay the $1.0 million with the result that Dr. Platt may assert a claim for such obligation against the bankruptcy estate. During 2011, when it became probable that our common stock could be relisted on a national securities exchange and eventually reach a market capitalization of $100 million, we recognized the $1.0 million severance payment due to Dr. Platt and it is included in accrued expenses at December 31, 2012 and December 31, 2011.</w:t>
      </w:r>
    </w:p>
    <w:p>
      <w:pPr>
        <w:spacing w:after="0" w:line="12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May 2, 2012, Dr. Platt instituted arbitration before the American Arbitration Association, seeking a $1.0 million separation payment based on a claim that a milestone event in the Separation Agreement has occurred (see clause (iii) above). On March 22, 2012, the Company’s common stock was listed on the NASDAQ Capital Markets, but since that date, the stock has not achieved the required market capitalization. Therefore, it is the Company’s position that a milestone event has not yet occurred. The arbitration hearing was held on October 16 – 17, 2012 and on November 1, 2012, the arbitrator denied Dr. Platt’s demand in all respects. Insofar as the Company does not dispute its obligations under the Separation Agreement to pay Dr. Platt upon the occurrence of a milestone event, it has recorded the payment as an accrued expense payable if and when the milestone event occurs.</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On October 12, 2012, Dr. Platt commenced a lawsuit under the Massachusetts Wage Act against Dr. Traber and Mr. McGauley who in their capacities as the Company’s Chief Executive Officer and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believes the lawsuit is without merit, and intends a vigorous defense on their behalf.</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provided for under the Separation Agreement, the Company is seeking repayment of all separation benefits paid to Dr. Platt to date. Depending on the outcome of the arbitration, the previously accrued $1.0 million could be reversed. The timing and ultimate outcome of this arbitration, though, is uncertain and there is no guarantee that we will be successful in this demand.</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We have engaged outside vendors for certain services associated with our clinical trials. These services are generally available from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and, accordingly, our arrangements are typically cancellable on 30 days notice.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and warrant liability valuations and performance vesting features of certain of these instruments, useful lives and potential impairment of property and equipment and intangible assets, accrued liabilities, deferred income taxes and cash flow.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Accrued Expenses</w:t>
      </w:r>
      <w:r>
        <w:rPr>
          <w:rFonts w:ascii="Arial" w:cs="Arial" w:eastAsia="Arial" w:hAnsi="Arial"/>
          <w:sz w:val="16"/>
          <w:szCs w:val="16"/>
          <w:color w:val="auto"/>
        </w:rPr>
        <w:t>. As part of the process of preparing our consolidated financial statements, we are required to estimate accrued expenses. This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pre-clinical and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We have issued common stock warrants in connection with the execution of certain equity and debt financings and consulting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warrants, no longer outstanding, had been accounted for as derivative liabilities at fair value. Such warrants did not meet the criteria that a contract should not be considered a derivative instrument if it is (1) indexed to its own stock and (2) classified in stockholders’ equity. Changes in fair value of derivative liabilities were recorded in the consolidated statement of operations under the caption “Change in fair value of warrant liabilities.” Warrants that are not considered derivative liabilities are accounted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for at fair value at the date of issuance in additional paid-in capital. The fair value of warrants is determined using the Black-Scholes option-pricing model using assumptions regarding volatility of our common share price, remaining life of the warrant, and risk-free interest rates at each period end.</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over the service period, which generally represents the vesting period. For awards that have performance based vesting conditions we recognize the expense over the estimated period that the awards are expected to be earned. We generally use the Black-Scholes option-pricing model to calculate the grant date fair value of stock options. The expense recognized over the service period is required to include an estimate of the awards that will be forfeited.</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among other costs, salaries and other personnel-related costs, and costs incurred by outside laboratories and other accredited facilities in connection with clinical trials and preclinical studies.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At the date of issuance, our Series C Super Dividend Convertible Preferred Stock (“Series C”) have an embedded dividend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receive dividend payments after conversion to common stock (the Series C Post Conversion Dividend Right) which requires bifurcation. The value of this post conversion dividend right on the date of issuance was determined to be de minimis due to the payment of a dividend stream other than the 6% dividend and conversion of Series C prior to the Company achieving sales of GM-CT-01 was deemed improbable at that time. Upon a conversion of the Series C, we will be required to record a liability and the related expense during the period of conversion. In July 2011, 5 shares of Series C were converted into 8,334 shares of common stock and 5 Series C Post Conversion Dividend Rights (“Dividend Rights”) were issued. In January 2013, 5 shares of Series C were converted into 8,334 shares of common stock and 5 Dividend Rights were issued. Per the terms of the Series C, these Dividend Rights shall continue to participate in dividends, however the dividend will only be paid based on sales of GM-CT-01 and will not participate in the 6% dividend. At December 31, 2012, these Dividend Rights were determined to have a de minimis value, as the payment of a dividend (other than the 6% dividend) is considered improbable at this time. The Company will continue to evaluate and assess the Series C Post Conversion Dividend Right for each reporting period.</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called for by this Item is not applicable to us because we are a smaller reporting company.</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required by this item are attached to this Annual Report on Form 10-K beginning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2012. Our management has concluded, based on their evaluation, that our disclosure controls and procedures were effective as of December 31, 2012 to ensure that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information required to be disclosed by us in the reports we file or submit under the Exchange Act is recorded, processed, summarized and reported within the time periods specified in the Securities and Exchange Commission’s rules and forms.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43"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a company;</w:t>
      </w:r>
    </w:p>
    <w:p>
      <w:pPr>
        <w:spacing w:after="0" w:line="194" w:lineRule="exact"/>
        <w:rPr>
          <w:rFonts w:ascii="Arial" w:cs="Arial" w:eastAsia="Arial" w:hAnsi="Arial"/>
          <w:sz w:val="16"/>
          <w:szCs w:val="16"/>
          <w:color w:val="auto"/>
        </w:rPr>
      </w:pPr>
    </w:p>
    <w:p>
      <w:pPr>
        <w:ind w:right="180" w:firstLine="464"/>
        <w:spacing w:after="0" w:line="259" w:lineRule="auto"/>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40" w:lineRule="exact"/>
        <w:rPr>
          <w:rFonts w:ascii="Arial" w:cs="Arial" w:eastAsia="Arial" w:hAnsi="Arial"/>
          <w:sz w:val="18"/>
          <w:szCs w:val="18"/>
          <w:color w:val="auto"/>
        </w:rPr>
      </w:pPr>
    </w:p>
    <w:p>
      <w:pPr>
        <w:ind w:right="200" w:firstLine="464"/>
        <w:spacing w:after="0" w:line="268" w:lineRule="auto"/>
        <w:tabs>
          <w:tab w:leader="none" w:pos="6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 company’s assets that could have a material effect on its financial statements.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management has used the criteria established in “Internal Control-Integrated Framework” issued by the Committee of Sponsoring Organizations of the Treadway Commission, or COSO, to evaluate the effectiveness of the Company’s internal control over financial reporting. Management has selected the COSO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Management conducted an evaluation of internal controls based on the COSO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2012.</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we are neither a large accelerated filer nor an accelerated filer, as defined in Rule 12b-2 under the Exchange Act, we are exempt from the requirement to include an attestation report of our independent registered public accounting firm regarding internal control over financial reporting.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2012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Securities and Exchange Commission, or SEC, in connection with our 2012 Annual Meeting of Stockholders which is scheduled to be held on May 23, 2013 (the “2013 Proxy Statement”) under the captions “Election of Directors,” “Board of Directors Meetings and Committees of the Board,” “Executive Officers” and “Section 16(a) Beneficial Ownership Reporting Compliance” and is incorporated herein by reference.</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“Compensation of Named Executive Officers” contained in our 2013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“Security Ownership of Certain Beneficial Owners and Management” contained in our 2013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Related Transactions and Director Independence</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 “Certain Relationships and Related Transactions” contained in our 2013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will be incorporated by reference from the information under the captions “Audit Fees”, “Audit-Related Fees,” “Tax Fees,” “All Other Fees” and “Pre-Approval Policies and Procedures” contained in our 2013 Proxy Statement.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5"/>
          <w:szCs w:val="15"/>
          <w:color w:val="auto"/>
        </w:rPr>
        <w:t>Consolidated Financial Statement Schedules</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Consolidated Financial Statements are filed as part of this report.</w:t>
      </w:r>
    </w:p>
    <w:p>
      <w:pPr>
        <w:spacing w:after="0" w:line="90" w:lineRule="exact"/>
        <w:rPr>
          <w:sz w:val="20"/>
          <w:szCs w:val="20"/>
          <w:color w:val="auto"/>
        </w:rPr>
      </w:pPr>
    </w:p>
    <w:p>
      <w:pPr>
        <w:ind w:left="1140" w:hanging="3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90" w:lineRule="exact"/>
        <w:rPr>
          <w:rFonts w:ascii="Arial" w:cs="Arial" w:eastAsia="Arial" w:hAnsi="Arial"/>
          <w:sz w:val="18"/>
          <w:szCs w:val="18"/>
          <w:color w:val="auto"/>
        </w:rPr>
      </w:pPr>
    </w:p>
    <w:p>
      <w:pPr>
        <w:ind w:left="1140" w:right="80"/>
        <w:spacing w:after="0" w:line="268" w:lineRule="auto"/>
        <w:rPr>
          <w:rFonts w:ascii="Arial" w:cs="Arial" w:eastAsia="Arial" w:hAnsi="Arial"/>
          <w:sz w:val="18"/>
          <w:szCs w:val="18"/>
          <w:color w:val="auto"/>
        </w:rPr>
      </w:pPr>
      <w:r>
        <w:rPr>
          <w:rFonts w:ascii="Arial" w:cs="Arial" w:eastAsia="Arial" w:hAnsi="Arial"/>
          <w:sz w:val="18"/>
          <w:szCs w:val="18"/>
          <w:color w:val="auto"/>
        </w:rPr>
        <w:t>All schedules are omitted because of the absence of conditions under which they are required or because the required information is included in the Consolidated Financial Statements or notes thereto.</w:t>
      </w:r>
    </w:p>
    <w:p>
      <w:pPr>
        <w:spacing w:after="0" w:line="50" w:lineRule="exact"/>
        <w:rPr>
          <w:rFonts w:ascii="Arial" w:cs="Arial" w:eastAsia="Arial" w:hAnsi="Arial"/>
          <w:sz w:val="18"/>
          <w:szCs w:val="18"/>
          <w:color w:val="auto"/>
        </w:rPr>
      </w:pPr>
    </w:p>
    <w:p>
      <w:pPr>
        <w:ind w:left="1140" w:hanging="3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Note</w:t>
            </w: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460" w:type="dxa"/>
            <w:vAlign w:val="bottom"/>
          </w:tcPr>
          <w:p>
            <w:pPr>
              <w:spacing w:after="0"/>
              <w:rPr>
                <w:sz w:val="15"/>
                <w:szCs w:val="15"/>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Description of Document</w:t>
            </w:r>
          </w:p>
        </w:tc>
        <w:tc>
          <w:tcPr>
            <w:tcW w:w="42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Reference</w:t>
            </w:r>
          </w:p>
        </w:tc>
      </w:tr>
      <w:tr>
        <w:trPr>
          <w:trHeight w:val="181"/>
        </w:trPr>
        <w:tc>
          <w:tcPr>
            <w:tcW w:w="500" w:type="dxa"/>
            <w:vAlign w:val="bottom"/>
          </w:tcPr>
          <w:p>
            <w:pPr>
              <w:ind w:left="100"/>
              <w:spacing w:after="0" w:line="182" w:lineRule="exact"/>
              <w:rPr>
                <w:sz w:val="20"/>
                <w:szCs w:val="20"/>
                <w:color w:val="auto"/>
              </w:rPr>
            </w:pPr>
            <w:r>
              <w:rPr>
                <w:rFonts w:ascii="Arial" w:cs="Arial" w:eastAsia="Arial" w:hAnsi="Arial"/>
                <w:sz w:val="18"/>
                <w:szCs w:val="18"/>
                <w:color w:val="auto"/>
              </w:rPr>
              <w:t>3.1</w:t>
            </w:r>
          </w:p>
        </w:tc>
        <w:tc>
          <w:tcPr>
            <w:tcW w:w="6000" w:type="dxa"/>
            <w:vAlign w:val="bottom"/>
            <w:gridSpan w:val="2"/>
          </w:tcPr>
          <w:p>
            <w:pPr>
              <w:ind w:left="780"/>
              <w:spacing w:after="0" w:line="182" w:lineRule="exact"/>
              <w:rPr>
                <w:sz w:val="20"/>
                <w:szCs w:val="20"/>
                <w:color w:val="auto"/>
              </w:rPr>
            </w:pPr>
            <w:r>
              <w:rPr>
                <w:rFonts w:ascii="Arial" w:cs="Arial" w:eastAsia="Arial" w:hAnsi="Arial"/>
                <w:sz w:val="18"/>
                <w:szCs w:val="18"/>
                <w:color w:val="auto"/>
                <w:w w:val="90"/>
              </w:rPr>
              <w:t>Articles of Incorporation of Pro Pharmaceuticals, Inc., dated January 23,</w:t>
            </w:r>
          </w:p>
        </w:tc>
        <w:tc>
          <w:tcPr>
            <w:tcW w:w="4240" w:type="dxa"/>
            <w:vAlign w:val="bottom"/>
          </w:tcPr>
          <w:p>
            <w:pPr>
              <w:spacing w:after="0" w:line="182" w:lineRule="exact"/>
              <w:rPr>
                <w:sz w:val="20"/>
                <w:szCs w:val="20"/>
                <w:color w:val="auto"/>
              </w:rPr>
            </w:pPr>
            <w:r>
              <w:rPr>
                <w:rFonts w:ascii="Arial" w:cs="Arial" w:eastAsia="Arial" w:hAnsi="Arial"/>
                <w:sz w:val="18"/>
                <w:szCs w:val="18"/>
                <w:color w:val="auto"/>
              </w:rPr>
              <w:t>2001, as filed with the Secretary of State of the State</w:t>
            </w:r>
          </w:p>
        </w:tc>
        <w:tc>
          <w:tcPr>
            <w:tcW w:w="580" w:type="dxa"/>
            <w:vAlign w:val="bottom"/>
          </w:tcPr>
          <w:p>
            <w:pPr>
              <w:spacing w:after="0"/>
              <w:rPr>
                <w:sz w:val="15"/>
                <w:szCs w:val="15"/>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of Nevada.</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9"/>
              </w:rPr>
              <w:t>Articles of Merger of Pro-Pharmaceuticals, Inc. (a Massachusetts corporation) into Pro-Pharmaceuticals, Inc. (a Nevada</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corporation) dated June 6, 2011.</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3.3</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6"/>
              </w:rPr>
              <w:t>Certificate of Amendment to Articles of Incorporation of Pro Pharmaceuticals, Inc., as filed with the Secretary of State of the</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State of Nevada on May 28, 2004.</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3.4</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Certificate of Designation of Preferences, Rights and Limitations of Series A 12% Convertible Preferred Stock of Pro</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Pharmaceuticals, Inc., as filed with the Secretary of State of the State of Nevada on October 5, 2007.</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3.5</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6"/>
              </w:rPr>
              <w:t>Certificate of Amendment to Articles of Incorporation of Pro Pharmaceuticals, Inc., as filed with the Secretary of State of the</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State of Nevada on May 29, 2008.</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3.6</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7"/>
              </w:rPr>
              <w:t>Certificate of Designation of Preferences, Rights and Limitations of Series B-1 Convertible Preferred Stock and Series B-2</w:t>
            </w:r>
          </w:p>
        </w:tc>
        <w:tc>
          <w:tcPr>
            <w:tcW w:w="5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w w:val="97"/>
              </w:rPr>
              <w:t>Convertible Preferred Stock of Pro Pharmaceuticals, Inc., as filed with the Secretary of State of the State of Nevada on</w:t>
            </w:r>
          </w:p>
        </w:tc>
        <w:tc>
          <w:tcPr>
            <w:tcW w:w="5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February 11, 2009.</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3.7</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6"/>
              </w:rPr>
              <w:t>Certificate of Amendment to Articles of Incorporation of Pro Pharmaceuticals, Inc., as filed with the Secretary of State of the</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State of Nevada on May 27, 2009.</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3.8</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6"/>
              </w:rPr>
              <w:t>Certificate of Amendment to the Certificate of Designation of Preferences, Rights and Limitations of Series B-1 Convertible</w:t>
            </w:r>
          </w:p>
        </w:tc>
        <w:tc>
          <w:tcPr>
            <w:tcW w:w="5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w w:val="98"/>
              </w:rPr>
              <w:t>Preferred Stock and Series B-2 Convertible Preferred Stock of Pro-Pharmaceuticals, Inc., as filed with the secretary of</w:t>
            </w:r>
          </w:p>
        </w:tc>
        <w:tc>
          <w:tcPr>
            <w:tcW w:w="5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State of the State of Nevada on August 12, 2009.</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3.9</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Certificate of Amendment No. 2 to the Certificate of Designation of Preferences, Rights and Limitations of Series B-1</w:t>
            </w:r>
          </w:p>
        </w:tc>
        <w:tc>
          <w:tcPr>
            <w:tcW w:w="5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w w:val="94"/>
              </w:rPr>
              <w:t>Convertible Preferred Stock and Series B-2 Convertible Preferred Stock, as filed with the State of Nevada, on February 17,</w:t>
            </w:r>
          </w:p>
        </w:tc>
        <w:tc>
          <w:tcPr>
            <w:tcW w:w="5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460" w:type="dxa"/>
            <w:vAlign w:val="bottom"/>
          </w:tcPr>
          <w:p>
            <w:pPr>
              <w:ind w:left="1000"/>
              <w:spacing w:after="0"/>
              <w:rPr>
                <w:sz w:val="20"/>
                <w:szCs w:val="20"/>
                <w:color w:val="auto"/>
              </w:rPr>
            </w:pPr>
            <w:r>
              <w:rPr>
                <w:rFonts w:ascii="Arial" w:cs="Arial" w:eastAsia="Arial" w:hAnsi="Arial"/>
                <w:sz w:val="18"/>
                <w:szCs w:val="18"/>
                <w:color w:val="auto"/>
              </w:rPr>
              <w:t>2010.</w:t>
            </w:r>
          </w:p>
        </w:tc>
        <w:tc>
          <w:tcPr>
            <w:tcW w:w="15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3.10</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7"/>
              </w:rPr>
              <w:t>Certificate of Amendment with respect to the Amended and Restated Certificate of Designation of Preferences, Rights and</w:t>
            </w:r>
          </w:p>
        </w:tc>
        <w:tc>
          <w:tcPr>
            <w:tcW w:w="5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w w:val="96"/>
              </w:rPr>
              <w:t>Limitation of Series B-1 Convertible Preferred Stock and Series B-2 Convertible Preferred Stock of Pro-Pharmaceuticals,</w:t>
            </w:r>
          </w:p>
        </w:tc>
        <w:tc>
          <w:tcPr>
            <w:tcW w:w="5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Inc., as filed with the Secretary of State of the State of Nevada on January 26, 2011.</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3.11</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7"/>
              </w:rPr>
              <w:t>Certificate of Designation of Preferences, Rights and Limitation of Series C Super Dividend Convertible Preferred Stock of</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Pro-Pharmaceuticals, Inc., as filed with the Secretary of State of Nevada on December 30, 2010.</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3.12</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6"/>
              </w:rPr>
              <w:t>Certificate of Amendment to Articles of Incorporation of Pro-Pharmaceuticals, Inc., as filed with the Secretary of the State of</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Nevada on May 26, 2011</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5"/>
        </w:trPr>
        <w:tc>
          <w:tcPr>
            <w:tcW w:w="500" w:type="dxa"/>
            <w:vAlign w:val="bottom"/>
          </w:tcPr>
          <w:p>
            <w:pPr>
              <w:spacing w:after="0"/>
              <w:rPr>
                <w:sz w:val="24"/>
                <w:szCs w:val="24"/>
                <w:color w:val="auto"/>
              </w:rPr>
            </w:pPr>
          </w:p>
        </w:tc>
        <w:tc>
          <w:tcPr>
            <w:tcW w:w="6000" w:type="dxa"/>
            <w:vAlign w:val="bottom"/>
            <w:gridSpan w:val="2"/>
          </w:tcPr>
          <w:p>
            <w:pPr>
              <w:ind w:left="5120"/>
              <w:spacing w:after="0"/>
              <w:rPr>
                <w:sz w:val="20"/>
                <w:szCs w:val="20"/>
                <w:color w:val="auto"/>
              </w:rPr>
            </w:pPr>
            <w:r>
              <w:rPr>
                <w:rFonts w:ascii="Arial" w:cs="Arial" w:eastAsia="Arial" w:hAnsi="Arial"/>
                <w:sz w:val="18"/>
                <w:szCs w:val="18"/>
                <w:color w:val="auto"/>
              </w:rPr>
              <w:t>36</w:t>
            </w:r>
          </w:p>
        </w:tc>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Note</w:t>
            </w: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460" w:type="dxa"/>
            <w:vAlign w:val="bottom"/>
          </w:tcPr>
          <w:p>
            <w:pPr>
              <w:spacing w:after="0"/>
              <w:rPr>
                <w:sz w:val="15"/>
                <w:szCs w:val="15"/>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Description of Document</w:t>
            </w:r>
          </w:p>
        </w:tc>
        <w:tc>
          <w:tcPr>
            <w:tcW w:w="42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Reference</w:t>
            </w:r>
          </w:p>
        </w:tc>
      </w:tr>
      <w:tr>
        <w:trPr>
          <w:trHeight w:val="209"/>
        </w:trPr>
        <w:tc>
          <w:tcPr>
            <w:tcW w:w="5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3.13</w:t>
            </w:r>
          </w:p>
        </w:tc>
        <w:tc>
          <w:tcPr>
            <w:tcW w:w="6000" w:type="dxa"/>
            <w:vAlign w:val="bottom"/>
            <w:gridSpan w:val="2"/>
          </w:tcPr>
          <w:p>
            <w:pPr>
              <w:ind w:left="780"/>
              <w:spacing w:after="0" w:line="202" w:lineRule="exact"/>
              <w:rPr>
                <w:sz w:val="20"/>
                <w:szCs w:val="20"/>
                <w:color w:val="auto"/>
              </w:rPr>
            </w:pPr>
            <w:r>
              <w:rPr>
                <w:rFonts w:ascii="Arial" w:cs="Arial" w:eastAsia="Arial" w:hAnsi="Arial"/>
                <w:sz w:val="18"/>
                <w:szCs w:val="18"/>
                <w:color w:val="auto"/>
                <w:w w:val="87"/>
              </w:rPr>
              <w:t>Certificate of Change as filed with the Nevada Secretary of State on March</w:t>
            </w:r>
          </w:p>
        </w:tc>
        <w:tc>
          <w:tcPr>
            <w:tcW w:w="4240" w:type="dxa"/>
            <w:vAlign w:val="bottom"/>
          </w:tcPr>
          <w:p>
            <w:pPr>
              <w:jc w:val="right"/>
              <w:ind w:right="3492"/>
              <w:spacing w:after="0" w:line="202" w:lineRule="exact"/>
              <w:rPr>
                <w:sz w:val="20"/>
                <w:szCs w:val="20"/>
                <w:color w:val="auto"/>
              </w:rPr>
            </w:pPr>
            <w:r>
              <w:rPr>
                <w:rFonts w:ascii="Arial" w:cs="Arial" w:eastAsia="Arial" w:hAnsi="Arial"/>
                <w:sz w:val="18"/>
                <w:szCs w:val="18"/>
                <w:color w:val="auto"/>
                <w:w w:val="98"/>
              </w:rPr>
              <w:t>1, 2012.</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6"/>
        </w:trPr>
        <w:tc>
          <w:tcPr>
            <w:tcW w:w="500" w:type="dxa"/>
            <w:vAlign w:val="bottom"/>
          </w:tcPr>
          <w:p>
            <w:pPr>
              <w:jc w:val="right"/>
              <w:ind w:right="14"/>
              <w:spacing w:after="0"/>
              <w:rPr>
                <w:sz w:val="20"/>
                <w:szCs w:val="20"/>
                <w:color w:val="auto"/>
              </w:rPr>
            </w:pPr>
            <w:r>
              <w:rPr>
                <w:rFonts w:ascii="Arial" w:cs="Arial" w:eastAsia="Arial" w:hAnsi="Arial"/>
                <w:sz w:val="18"/>
                <w:szCs w:val="18"/>
                <w:color w:val="auto"/>
              </w:rPr>
              <w:t>3.14</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Amended and Restated Bylaws of Galectin Therapeutics Inc..</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Specimen certificate for shares of common stock.</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Class A-1 Common Stock Purchase Warrant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Class A-2 Common Stock Purchase Warrant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4.4</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Class B Common Stock Purchase Warrant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Amended Form of Class A-1 Common Stock Purchase Warrant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Amended Form of Class A-2 Common Stock Purchase Warrant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4.7</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Amended Form of Class B Common Stock Purchase Warrant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4"/>
              </w:rPr>
              <w:t>Warrant Agreement dated as of March 28, 2012, between Galectin Theapeitucs Inc. and Continental Stock Transfer and Trust</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Company, as warrant agent (including form of warrant certificate)</w:t>
            </w: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10.1</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Pro-Pharmaceuticals, Inc. 2001 Stock Incentive Plan.</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10.2</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Pro-Pharmaceuticals, Inc. 2003 Non-employee Director Stock Incentive Plan.</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10.3</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Employment Agreement, effective January 2, 2004, between Pro Pharmaceuticals, Inc. and David Platt.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10.4</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Incentive Stock Option Agreement (under the 2001 Stock Incentive Plan).</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10.5</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Non-Qualified Stock Option Agreement (under the 2001 Stock Incentive Plan).</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10.6</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Non-Qualified Stock Option Agreement (under the 2003 Non-Employee Director Stock Incentive Plan).</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10.7</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Common Stock Purchase Warrant.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10.8</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Promissory Note dated February 12, 2009 issued by Pro Pharmaceuticals, Inc. in favor of 10X Fund, L.P.</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10.9</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Security Agreement dated February 12, 2009 between Pro Pharmaceuticals, Inc. and 10X Fund, L.P.</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10.10</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w w:val="94"/>
              </w:rPr>
              <w:t>Escrow Agreement dated February 12, 2009 among Pro Pharmaceuticals, Inc., 10X Fund, L.P. and Investment Law Group of</w:t>
            </w:r>
          </w:p>
        </w:tc>
        <w:tc>
          <w:tcPr>
            <w:tcW w:w="58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1000"/>
              <w:spacing w:after="0"/>
              <w:rPr>
                <w:sz w:val="20"/>
                <w:szCs w:val="20"/>
                <w:color w:val="auto"/>
              </w:rPr>
            </w:pPr>
            <w:r>
              <w:rPr>
                <w:rFonts w:ascii="Arial" w:cs="Arial" w:eastAsia="Arial" w:hAnsi="Arial"/>
                <w:sz w:val="18"/>
                <w:szCs w:val="18"/>
                <w:color w:val="auto"/>
              </w:rPr>
              <w:t>Gillett, Mottern &amp; Walker, LLP, as Escrow Agent.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10.11</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Registration Rights Agreement dated February 12, 2009 between Pro Pharmaceuticals, Inc. and 10X Fund, L.P.</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10.12</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Separation Agreement dated February 12, 2009 between Pro Pharmaceuticals, Inc. and David Platt, Ph.D.</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10.13</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Pro-Pharmaceuticals, Inc. 2009 Incentive Compensation Plan.</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10.14</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Restricted Stock Grant Agreement (under the 2009 Incentive Compensation Plan).</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10.15</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Non-Qualified Stock Option Grant Agreement (under the 2009 Incentive Compensation Plan).</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10.16</w:t>
            </w:r>
          </w:p>
        </w:tc>
        <w:tc>
          <w:tcPr>
            <w:tcW w:w="10240" w:type="dxa"/>
            <w:vAlign w:val="bottom"/>
            <w:gridSpan w:val="3"/>
          </w:tcPr>
          <w:p>
            <w:pPr>
              <w:ind w:left="780"/>
              <w:spacing w:after="0"/>
              <w:rPr>
                <w:sz w:val="20"/>
                <w:szCs w:val="20"/>
                <w:color w:val="auto"/>
              </w:rPr>
            </w:pPr>
            <w:r>
              <w:rPr>
                <w:rFonts w:ascii="Arial" w:cs="Arial" w:eastAsia="Arial" w:hAnsi="Arial"/>
                <w:sz w:val="18"/>
                <w:szCs w:val="18"/>
                <w:color w:val="auto"/>
              </w:rPr>
              <w:t>Form of Incentive Stock Option Grant Agreement (under the 2009 Incentive Compensation Plan).</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500" w:type="dxa"/>
            <w:vAlign w:val="bottom"/>
          </w:tcPr>
          <w:p>
            <w:pPr>
              <w:spacing w:after="0"/>
              <w:rPr>
                <w:sz w:val="24"/>
                <w:szCs w:val="24"/>
                <w:color w:val="auto"/>
              </w:rPr>
            </w:pPr>
          </w:p>
        </w:tc>
        <w:tc>
          <w:tcPr>
            <w:tcW w:w="6000" w:type="dxa"/>
            <w:vAlign w:val="bottom"/>
            <w:gridSpan w:val="2"/>
          </w:tcPr>
          <w:p>
            <w:pPr>
              <w:ind w:left="5120"/>
              <w:spacing w:after="0"/>
              <w:rPr>
                <w:sz w:val="20"/>
                <w:szCs w:val="20"/>
                <w:color w:val="auto"/>
              </w:rPr>
            </w:pPr>
            <w:r>
              <w:rPr>
                <w:rFonts w:ascii="Arial" w:cs="Arial" w:eastAsia="Arial" w:hAnsi="Arial"/>
                <w:sz w:val="18"/>
                <w:szCs w:val="18"/>
                <w:color w:val="auto"/>
              </w:rPr>
              <w:t>37</w:t>
            </w:r>
          </w:p>
        </w:tc>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8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4360" w:type="dxa"/>
            <w:vAlign w:val="bottom"/>
            <w:vMerge w:val="restart"/>
          </w:tcPr>
          <w:p>
            <w:pPr>
              <w:ind w:left="660"/>
              <w:spacing w:after="0"/>
              <w:rPr>
                <w:sz w:val="20"/>
                <w:szCs w:val="20"/>
                <w:color w:val="auto"/>
              </w:rPr>
            </w:pPr>
            <w:r>
              <w:rPr>
                <w:rFonts w:ascii="Arial" w:cs="Arial" w:eastAsia="Arial" w:hAnsi="Arial"/>
                <w:sz w:val="18"/>
                <w:szCs w:val="18"/>
                <w:color w:val="auto"/>
                <w:w w:val="90"/>
              </w:rPr>
              <w:t>Agreement with the 10X Fund L.P., dated February</w:t>
            </w:r>
          </w:p>
        </w:tc>
        <w:tc>
          <w:tcPr>
            <w:tcW w:w="5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2"/>
              </w:rPr>
              <w:t>Reference</w:t>
            </w:r>
          </w:p>
        </w:tc>
        <w:tc>
          <w:tcPr>
            <w:tcW w:w="0" w:type="dxa"/>
            <w:vAlign w:val="bottom"/>
          </w:tcPr>
          <w:p>
            <w:pPr>
              <w:spacing w:after="0"/>
              <w:rPr>
                <w:sz w:val="1"/>
                <w:szCs w:val="1"/>
                <w:color w:val="auto"/>
              </w:rPr>
            </w:pPr>
          </w:p>
        </w:tc>
      </w:tr>
      <w:tr>
        <w:trPr>
          <w:trHeight w:val="209"/>
        </w:trPr>
        <w:tc>
          <w:tcPr>
            <w:tcW w:w="5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10.17</w:t>
            </w:r>
          </w:p>
        </w:tc>
        <w:tc>
          <w:tcPr>
            <w:tcW w:w="4360" w:type="dxa"/>
            <w:vAlign w:val="bottom"/>
            <w:vMerge w:val="continue"/>
          </w:tcPr>
          <w:p>
            <w:pPr>
              <w:spacing w:after="0"/>
              <w:rPr>
                <w:sz w:val="18"/>
                <w:szCs w:val="18"/>
                <w:color w:val="auto"/>
              </w:rPr>
            </w:pPr>
          </w:p>
        </w:tc>
        <w:tc>
          <w:tcPr>
            <w:tcW w:w="1540" w:type="dxa"/>
            <w:vAlign w:val="bottom"/>
            <w:tcBorders>
              <w:top w:val="single" w:sz="8" w:color="auto"/>
            </w:tcBorders>
          </w:tcPr>
          <w:p>
            <w:pPr>
              <w:jc w:val="right"/>
              <w:ind w:right="862"/>
              <w:spacing w:after="0" w:line="202" w:lineRule="exact"/>
              <w:rPr>
                <w:sz w:val="20"/>
                <w:szCs w:val="20"/>
                <w:color w:val="auto"/>
              </w:rPr>
            </w:pPr>
            <w:r>
              <w:rPr>
                <w:rFonts w:ascii="Arial" w:cs="Arial" w:eastAsia="Arial" w:hAnsi="Arial"/>
                <w:sz w:val="18"/>
                <w:szCs w:val="18"/>
                <w:color w:val="auto"/>
                <w:w w:val="77"/>
              </w:rPr>
              <w:t>11, 2010.</w:t>
            </w:r>
          </w:p>
        </w:tc>
        <w:tc>
          <w:tcPr>
            <w:tcW w:w="43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Common Stock Purchase Warrant dated August 3, 2010 issued to Peter Traber.</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Letter Agreement Between 10X Fund, L.P. and Pro-Pharmaceuticals, Inc.</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Form of Securities Purchase Agreement for Series C Super Dividend Convertible Preferred Stock</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Agreement dated January 21, 2011, between Pro-Pharmaceuticals, Inc. and 10X Fund L.P.</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Non-Qualified Stock Option Agreement dated March 7, 2011</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Amended Employment Agreement dated March 8, 2011 between Anthony D. Squeglia, and Pro-Pharmaceuticals, Inc.</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Amended Employment Agreement dated March 8, 2011 between Maureen Foley, and Pro-Pharmaceuticals, Inc.</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Amended Employment Agreement dated March 31, 2011 between Anatole Klyosov, and Pro-Pharmaceuticals, Inc.</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March 31, 2011 between Eli Zomer and Pro-Pharmaceuticals, Inc.</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Separation Agreement dated March 31, 2011 between Pro-Pharmaceuticals, Inc. and Theodore D. Zucconi</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Agreement dated April 22, 2011, between Pro-Pharmaceuticals, Inc. and Sigma-Aldrich, Inc.</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March 31, 2011 between Peter Traber, and Galectin Therapeutics Inc.</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June 28, 2011 between James C. Czirr, and Galectin Therapeutics Inc.</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w w:val="96"/>
              </w:rPr>
              <w:t>Collaboration, Supply, Marketing and Distribution Agreement dated October 18, 2011 between PROCAPS S.A. and Galectin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240" w:type="dxa"/>
            <w:vAlign w:val="bottom"/>
            <w:gridSpan w:val="3"/>
          </w:tcPr>
          <w:p>
            <w:pPr>
              <w:ind w:left="880"/>
              <w:spacing w:after="0"/>
              <w:rPr>
                <w:sz w:val="20"/>
                <w:szCs w:val="20"/>
                <w:color w:val="auto"/>
              </w:rPr>
            </w:pPr>
            <w:r>
              <w:rPr>
                <w:rFonts w:ascii="Arial" w:cs="Arial" w:eastAsia="Arial" w:hAnsi="Arial"/>
                <w:sz w:val="18"/>
                <w:szCs w:val="18"/>
                <w:color w:val="auto"/>
              </w:rPr>
              <w:t>Therapeutics Inc.</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Non-Qualified Stock Option Agreement for Peter G. Traber, M.D.</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Non-Qualified Stock Option Agreement for James C. Czirr</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Consulting Agreement, dated March 2, 2012 between Galectin Therapeutics Inc. and Thomas A. McGauley</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w w:val="98"/>
              </w:rPr>
              <w:t>Independent Consulting Agreement dated April 30, 2012, between Scott L. Friedman, M.D. and Galectin Therapeutics Inc.</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Amended Employment Agreement dated July 19, 2012 between Maureen Foley and Galectin Therapeutics Inc.</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August 27, 2012, 2012 between Harold H. Shlevin and Galectin Therapeutics Inc.</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w w:val="95"/>
              </w:rPr>
              <w:t>Independent Consulting Agreement dated September 19, 2012 between Thomas A. McGauley and Galectin Therapeutics Inc.</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Subsidiaries of Galectin Therapeutics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240" w:type="dxa"/>
            <w:vAlign w:val="bottom"/>
            <w:gridSpan w:val="3"/>
          </w:tcPr>
          <w:p>
            <w:pPr>
              <w:ind w:left="660"/>
              <w:spacing w:after="0"/>
              <w:rPr>
                <w:sz w:val="20"/>
                <w:szCs w:val="20"/>
                <w:color w:val="auto"/>
              </w:rPr>
            </w:pPr>
            <w:r>
              <w:rPr>
                <w:rFonts w:ascii="Arial" w:cs="Arial" w:eastAsia="Arial" w:hAnsi="Arial"/>
                <w:sz w:val="18"/>
                <w:szCs w:val="18"/>
                <w:color w:val="auto"/>
              </w:rPr>
              <w:t>Consent of McGladrey LLP, an independent registered public accounting firm.</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5900" w:type="dxa"/>
            <w:vAlign w:val="bottom"/>
            <w:gridSpan w:val="2"/>
          </w:tcPr>
          <w:p>
            <w:pPr>
              <w:ind w:left="5120"/>
              <w:spacing w:after="0"/>
              <w:rPr>
                <w:sz w:val="20"/>
                <w:szCs w:val="20"/>
                <w:color w:val="auto"/>
              </w:rPr>
            </w:pPr>
            <w:r>
              <w:rPr>
                <w:rFonts w:ascii="Arial" w:cs="Arial" w:eastAsia="Arial" w:hAnsi="Arial"/>
                <w:sz w:val="18"/>
                <w:szCs w:val="18"/>
                <w:color w:val="auto"/>
              </w:rPr>
              <w:t>38</w:t>
            </w: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6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820" w:type="dxa"/>
            <w:vAlign w:val="bottom"/>
          </w:tcPr>
          <w:p>
            <w:pPr>
              <w:spacing w:after="0"/>
              <w:rPr>
                <w:sz w:val="14"/>
                <w:szCs w:val="14"/>
                <w:color w:val="auto"/>
              </w:rPr>
            </w:pPr>
          </w:p>
        </w:tc>
        <w:tc>
          <w:tcPr>
            <w:tcW w:w="4660" w:type="dxa"/>
            <w:vAlign w:val="bottom"/>
            <w:gridSpan w:val="2"/>
          </w:tcPr>
          <w:p>
            <w:pPr>
              <w:jc w:val="center"/>
              <w:ind w:right="3052"/>
              <w:spacing w:after="0"/>
              <w:rPr>
                <w:sz w:val="20"/>
                <w:szCs w:val="20"/>
                <w:color w:val="auto"/>
              </w:rPr>
            </w:pPr>
            <w:r>
              <w:rPr>
                <w:rFonts w:ascii="Arial" w:cs="Arial" w:eastAsia="Arial" w:hAnsi="Arial"/>
                <w:sz w:val="14"/>
                <w:szCs w:val="14"/>
                <w:b w:val="1"/>
                <w:bCs w:val="1"/>
                <w:color w:val="auto"/>
                <w:w w:val="86"/>
              </w:rPr>
              <w:t>Description of Document</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8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w w:val="93"/>
              </w:rPr>
              <w:t>Certification Pursuant to Rule 13a-14(a) of the</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8"/>
              </w:rPr>
              <w:t>Securities Exchange Act</w:t>
            </w:r>
          </w:p>
        </w:tc>
        <w:tc>
          <w:tcPr>
            <w:tcW w:w="3120" w:type="dxa"/>
            <w:vAlign w:val="bottom"/>
          </w:tcPr>
          <w:p>
            <w:pPr>
              <w:ind w:left="80"/>
              <w:spacing w:after="0"/>
              <w:rPr>
                <w:sz w:val="20"/>
                <w:szCs w:val="20"/>
                <w:color w:val="auto"/>
              </w:rPr>
            </w:pPr>
            <w:r>
              <w:rPr>
                <w:rFonts w:ascii="Arial" w:cs="Arial" w:eastAsia="Arial" w:hAnsi="Arial"/>
                <w:sz w:val="18"/>
                <w:szCs w:val="18"/>
                <w:color w:val="auto"/>
              </w:rPr>
              <w:t>of 1934.</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00" w:type="dxa"/>
            <w:vAlign w:val="bottom"/>
          </w:tcPr>
          <w:p>
            <w:pPr>
              <w:spacing w:after="0"/>
              <w:rPr>
                <w:sz w:val="24"/>
                <w:szCs w:val="24"/>
                <w:color w:val="auto"/>
              </w:rPr>
            </w:pP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Rule 13a-14(a) of the Securities Exchange Act of 1934.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7"/>
              </w:rPr>
              <w:t>32.1**</w:t>
            </w:r>
          </w:p>
        </w:tc>
        <w:tc>
          <w:tcPr>
            <w:tcW w:w="800" w:type="dxa"/>
            <w:vAlign w:val="bottom"/>
          </w:tcPr>
          <w:p>
            <w:pPr>
              <w:spacing w:after="0"/>
              <w:rPr>
                <w:sz w:val="24"/>
                <w:szCs w:val="24"/>
                <w:color w:val="auto"/>
              </w:rPr>
            </w:pP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20" w:type="dxa"/>
            <w:vAlign w:val="bottom"/>
          </w:tcPr>
          <w:p>
            <w:pPr>
              <w:ind w:left="580"/>
              <w:spacing w:after="0"/>
              <w:rPr>
                <w:sz w:val="20"/>
                <w:szCs w:val="20"/>
                <w:color w:val="auto"/>
              </w:rPr>
            </w:pPr>
            <w:r>
              <w:rPr>
                <w:rFonts w:ascii="Arial" w:cs="Arial" w:eastAsia="Arial" w:hAnsi="Arial"/>
                <w:sz w:val="18"/>
                <w:szCs w:val="18"/>
                <w:color w:val="auto"/>
              </w:rPr>
              <w:t>2002.</w:t>
            </w:r>
          </w:p>
        </w:tc>
        <w:tc>
          <w:tcPr>
            <w:tcW w:w="154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7"/>
              </w:rPr>
              <w:t>32.2**</w:t>
            </w:r>
          </w:p>
        </w:tc>
        <w:tc>
          <w:tcPr>
            <w:tcW w:w="800" w:type="dxa"/>
            <w:vAlign w:val="bottom"/>
          </w:tcPr>
          <w:p>
            <w:pPr>
              <w:spacing w:after="0"/>
              <w:rPr>
                <w:sz w:val="24"/>
                <w:szCs w:val="24"/>
                <w:color w:val="auto"/>
              </w:rPr>
            </w:pP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20" w:type="dxa"/>
            <w:vAlign w:val="bottom"/>
          </w:tcPr>
          <w:p>
            <w:pPr>
              <w:ind w:left="580"/>
              <w:spacing w:after="0"/>
              <w:rPr>
                <w:sz w:val="20"/>
                <w:szCs w:val="20"/>
                <w:color w:val="auto"/>
              </w:rPr>
            </w:pPr>
            <w:r>
              <w:rPr>
                <w:rFonts w:ascii="Arial" w:cs="Arial" w:eastAsia="Arial" w:hAnsi="Arial"/>
                <w:sz w:val="18"/>
                <w:szCs w:val="18"/>
                <w:color w:val="auto"/>
              </w:rPr>
              <w:t>2002.</w:t>
            </w:r>
          </w:p>
        </w:tc>
        <w:tc>
          <w:tcPr>
            <w:tcW w:w="154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rPr>
              <w:t>XBRL Taxonomy Definition Linkbase Document.</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480" w:type="dxa"/>
            <w:vAlign w:val="bottom"/>
            <w:gridSpan w:val="3"/>
          </w:tcPr>
          <w:p>
            <w:pPr>
              <w:ind w:left="36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Reference</w:t>
      </w:r>
    </w:p>
    <w:p>
      <w:pPr>
        <w:spacing w:after="0" w:line="3726" w:lineRule="exact"/>
        <w:rPr>
          <w:sz w:val="20"/>
          <w:szCs w:val="20"/>
          <w:color w:val="auto"/>
        </w:rPr>
      </w:pPr>
    </w:p>
    <w:p>
      <w:pPr>
        <w:sectPr>
          <w:pgSz w:w="11900" w:h="16838" w:orient="portrait"/>
          <w:cols w:equalWidth="0" w:num="2">
            <w:col w:w="10120" w:space="720"/>
            <w:col w:w="580"/>
          </w:cols>
          <w:pgMar w:left="240" w:top="459" w:right="239" w:bottom="1440" w:gutter="0" w:footer="0" w:header="0"/>
          <w:type w:val="continuous"/>
        </w:sect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10-SB, as filed with the Commission on June 13, 2001.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with the Commission on August 16,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October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June 2,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February 18,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December 17,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as filed with the Commission on March 30, 2012.</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10-QSB for the quarter ended September 30, 2001 filed with the Commission on November 14, 2001.</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as filed with the Commission on October 22, 2003.</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fiscal year ended December 31, 2003, as filed with the Commission on March 30, 2004.</w:t>
      </w:r>
    </w:p>
    <w:p>
      <w:pPr>
        <w:ind w:left="460" w:right="3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period ended September 30, 2004 as filed with the Commission on November 19, 2004.</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February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as filed with the Commission on March 30,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May 28,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period ended June 30, 2009 as filed with the Commission on August 14, 2009.</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February 17,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as filed with the Commission on August 13,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January 27,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January 6,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January 27,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January 6,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March 9,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March 14,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April 6,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April 28,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June 2,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July 5,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August 15,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the Company’s Quarterly Report on Form 10-Q as filed with the Commission on November 10,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the Commission on March 23,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as filed with the Commission on May 11,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the Company’s Quarterly Report on Form 10-Q as filed with the Commission on November 9, 2012.</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640"/>
          </w:cols>
          <w:pgMar w:left="240" w:top="459" w:right="10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29,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G. T</w:t>
      </w:r>
      <w:r>
        <w:rPr>
          <w:rFonts w:ascii="Arial" w:cs="Arial" w:eastAsia="Arial" w:hAnsi="Arial"/>
          <w:sz w:val="13"/>
          <w:szCs w:val="13"/>
          <w:color w:val="auto"/>
        </w:rPr>
        <w: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Peter G. Traber, M.D.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 and President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080" w:type="dxa"/>
            <w:vAlign w:val="bottom"/>
            <w:gridSpan w:val="3"/>
          </w:tcPr>
          <w:p>
            <w:pPr>
              <w:ind w:left="194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G. T</w:t>
            </w:r>
            <w:r>
              <w:rPr>
                <w:rFonts w:ascii="Arial" w:cs="Arial" w:eastAsia="Arial" w:hAnsi="Arial"/>
                <w:sz w:val="14"/>
                <w:szCs w:val="14"/>
                <w:color w:val="auto"/>
              </w:rPr>
              <w:t>RABER</w:t>
            </w: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8"/>
        </w:trPr>
        <w:tc>
          <w:tcPr>
            <w:tcW w:w="2840" w:type="dxa"/>
            <w:vAlign w:val="bottom"/>
            <w:gridSpan w:val="3"/>
          </w:tcPr>
          <w:p>
            <w:pPr>
              <w:spacing w:after="0"/>
              <w:rPr>
                <w:sz w:val="20"/>
                <w:szCs w:val="20"/>
                <w:color w:val="auto"/>
              </w:rPr>
            </w:pPr>
            <w:r>
              <w:rPr>
                <w:rFonts w:ascii="Arial" w:cs="Arial" w:eastAsia="Arial" w:hAnsi="Arial"/>
                <w:sz w:val="18"/>
                <w:szCs w:val="18"/>
                <w:color w:val="auto"/>
              </w:rPr>
              <w:t>Peter G. Traber, M.D.</w:t>
            </w:r>
          </w:p>
        </w:tc>
        <w:tc>
          <w:tcPr>
            <w:tcW w:w="2240" w:type="dxa"/>
            <w:vAlign w:val="bottom"/>
          </w:tcPr>
          <w:p>
            <w:pPr>
              <w:spacing w:after="0"/>
              <w:rPr>
                <w:sz w:val="18"/>
                <w:szCs w:val="18"/>
                <w:color w:val="auto"/>
              </w:rPr>
            </w:pPr>
          </w:p>
        </w:tc>
        <w:tc>
          <w:tcPr>
            <w:tcW w:w="40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executive officer)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7"/>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A. M</w:t>
            </w:r>
            <w:r>
              <w:rPr>
                <w:rFonts w:ascii="Arial" w:cs="Arial" w:eastAsia="Arial" w:hAnsi="Arial"/>
                <w:sz w:val="14"/>
                <w:szCs w:val="14"/>
                <w:color w:val="auto"/>
              </w:rPr>
              <w:t>C</w:t>
            </w:r>
            <w:r>
              <w:rPr>
                <w:rFonts w:ascii="Arial" w:cs="Arial" w:eastAsia="Arial" w:hAnsi="Arial"/>
                <w:sz w:val="18"/>
                <w:szCs w:val="18"/>
                <w:color w:val="auto"/>
              </w:rPr>
              <w:t>G</w:t>
            </w:r>
            <w:r>
              <w:rPr>
                <w:rFonts w:ascii="Arial" w:cs="Arial" w:eastAsia="Arial" w:hAnsi="Arial"/>
                <w:sz w:val="14"/>
                <w:szCs w:val="14"/>
                <w:color w:val="auto"/>
              </w:rPr>
              <w:t>AULEY</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8"/>
        </w:trPr>
        <w:tc>
          <w:tcPr>
            <w:tcW w:w="2840" w:type="dxa"/>
            <w:vAlign w:val="bottom"/>
            <w:gridSpan w:val="3"/>
          </w:tcPr>
          <w:p>
            <w:pPr>
              <w:spacing w:after="0"/>
              <w:rPr>
                <w:sz w:val="20"/>
                <w:szCs w:val="20"/>
                <w:color w:val="auto"/>
              </w:rPr>
            </w:pPr>
            <w:r>
              <w:rPr>
                <w:rFonts w:ascii="Arial" w:cs="Arial" w:eastAsia="Arial" w:hAnsi="Arial"/>
                <w:sz w:val="18"/>
                <w:szCs w:val="18"/>
                <w:color w:val="auto"/>
              </w:rPr>
              <w:t>Thomas A. McGauley</w:t>
            </w:r>
          </w:p>
        </w:tc>
        <w:tc>
          <w:tcPr>
            <w:tcW w:w="2240" w:type="dxa"/>
            <w:vAlign w:val="bottom"/>
          </w:tcPr>
          <w:p>
            <w:pPr>
              <w:spacing w:after="0"/>
              <w:rPr>
                <w:sz w:val="18"/>
                <w:szCs w:val="18"/>
                <w:color w:val="auto"/>
              </w:rPr>
            </w:pPr>
          </w:p>
        </w:tc>
        <w:tc>
          <w:tcPr>
            <w:tcW w:w="40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C. C</w:t>
            </w:r>
            <w:r>
              <w:rPr>
                <w:rFonts w:ascii="Arial" w:cs="Arial" w:eastAsia="Arial" w:hAnsi="Arial"/>
                <w:sz w:val="14"/>
                <w:szCs w:val="14"/>
                <w:color w:val="auto"/>
              </w:rPr>
              <w:t>ZIRR</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Executive Chairman and 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OD</w:t>
            </w:r>
            <w:r>
              <w:rPr>
                <w:rFonts w:ascii="Arial" w:cs="Arial" w:eastAsia="Arial" w:hAnsi="Arial"/>
                <w:sz w:val="18"/>
                <w:szCs w:val="18"/>
                <w:color w:val="auto"/>
              </w:rPr>
              <w:t xml:space="preserve"> D. M</w:t>
            </w:r>
            <w:r>
              <w:rPr>
                <w:rFonts w:ascii="Arial" w:cs="Arial" w:eastAsia="Arial" w:hAnsi="Arial"/>
                <w:sz w:val="14"/>
                <w:szCs w:val="14"/>
                <w:color w:val="auto"/>
              </w:rPr>
              <w:t>ARTIN</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Vice-Chairman and 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Rod D. Martin</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ILBERT</w:t>
            </w:r>
            <w:r>
              <w:rPr>
                <w:rFonts w:ascii="Arial" w:cs="Arial" w:eastAsia="Arial" w:hAnsi="Arial"/>
                <w:sz w:val="18"/>
                <w:szCs w:val="18"/>
                <w:color w:val="auto"/>
              </w:rPr>
              <w:t xml:space="preserve"> F. A</w:t>
            </w:r>
            <w:r>
              <w:rPr>
                <w:rFonts w:ascii="Arial" w:cs="Arial" w:eastAsia="Arial" w:hAnsi="Arial"/>
                <w:sz w:val="14"/>
                <w:szCs w:val="14"/>
                <w:color w:val="auto"/>
              </w:rPr>
              <w:t>MELIO</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Gilbert F. Amelio</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RTHUR</w:t>
            </w:r>
            <w:r>
              <w:rPr>
                <w:rFonts w:ascii="Arial" w:cs="Arial" w:eastAsia="Arial" w:hAnsi="Arial"/>
                <w:sz w:val="18"/>
                <w:szCs w:val="18"/>
                <w:color w:val="auto"/>
              </w:rPr>
              <w:t xml:space="preserve"> R. G</w:t>
            </w:r>
            <w:r>
              <w:rPr>
                <w:rFonts w:ascii="Arial" w:cs="Arial" w:eastAsia="Arial" w:hAnsi="Arial"/>
                <w:sz w:val="14"/>
                <w:szCs w:val="14"/>
                <w:color w:val="auto"/>
              </w:rPr>
              <w:t>REENBERG</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Arthur R. Greenberg</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EVIN</w:t>
            </w:r>
            <w:r>
              <w:rPr>
                <w:rFonts w:ascii="Arial" w:cs="Arial" w:eastAsia="Arial" w:hAnsi="Arial"/>
                <w:sz w:val="18"/>
                <w:szCs w:val="18"/>
                <w:color w:val="auto"/>
              </w:rPr>
              <w:t xml:space="preserve"> D. F</w:t>
            </w:r>
            <w:r>
              <w:rPr>
                <w:rFonts w:ascii="Arial" w:cs="Arial" w:eastAsia="Arial" w:hAnsi="Arial"/>
                <w:sz w:val="14"/>
                <w:szCs w:val="14"/>
                <w:color w:val="auto"/>
              </w:rPr>
              <w:t>REEMAN</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Kevin D. Freeman</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M</w:t>
            </w:r>
            <w:r>
              <w:rPr>
                <w:rFonts w:ascii="Arial" w:cs="Arial" w:eastAsia="Arial" w:hAnsi="Arial"/>
                <w:sz w:val="14"/>
                <w:szCs w:val="14"/>
                <w:color w:val="auto"/>
              </w:rPr>
              <w:t>AULDIN</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John Mauldin.</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TEVEN</w:t>
            </w:r>
            <w:r>
              <w:rPr>
                <w:rFonts w:ascii="Arial" w:cs="Arial" w:eastAsia="Arial" w:hAnsi="Arial"/>
                <w:sz w:val="18"/>
                <w:szCs w:val="18"/>
                <w:color w:val="auto"/>
              </w:rPr>
              <w:t xml:space="preserve"> P</w:t>
            </w:r>
            <w:r>
              <w:rPr>
                <w:rFonts w:ascii="Arial" w:cs="Arial" w:eastAsia="Arial" w:hAnsi="Arial"/>
                <w:sz w:val="14"/>
                <w:szCs w:val="14"/>
                <w:color w:val="auto"/>
              </w:rPr>
              <w:t>RELACK</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 P</w:t>
            </w:r>
            <w:r>
              <w:rPr>
                <w:rFonts w:ascii="Arial" w:cs="Arial" w:eastAsia="Arial" w:hAnsi="Arial"/>
                <w:sz w:val="14"/>
                <w:szCs w:val="14"/>
                <w:color w:val="auto"/>
              </w:rPr>
              <w:t>AUL</w:t>
            </w:r>
            <w:r>
              <w:rPr>
                <w:rFonts w:ascii="Arial" w:cs="Arial" w:eastAsia="Arial" w:hAnsi="Arial"/>
                <w:sz w:val="18"/>
                <w:szCs w:val="18"/>
                <w:color w:val="auto"/>
              </w:rPr>
              <w:t xml:space="preserve"> P</w:t>
            </w:r>
            <w:r>
              <w:rPr>
                <w:rFonts w:ascii="Arial" w:cs="Arial" w:eastAsia="Arial" w:hAnsi="Arial"/>
                <w:sz w:val="14"/>
                <w:szCs w:val="14"/>
                <w:color w:val="auto"/>
              </w:rPr>
              <w:t>RESSLER</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H. Paul Pressler</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ERALD</w:t>
            </w:r>
            <w:r>
              <w:rPr>
                <w:rFonts w:ascii="Arial" w:cs="Arial" w:eastAsia="Arial" w:hAnsi="Arial"/>
                <w:sz w:val="18"/>
                <w:szCs w:val="18"/>
                <w:color w:val="auto"/>
              </w:rPr>
              <w:t xml:space="preserve"> K. R</w:t>
            </w:r>
            <w:r>
              <w:rPr>
                <w:rFonts w:ascii="Arial" w:cs="Arial" w:eastAsia="Arial" w:hAnsi="Arial"/>
                <w:sz w:val="14"/>
                <w:szCs w:val="14"/>
                <w:color w:val="auto"/>
              </w:rPr>
              <w:t>OME</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Jerald K. Rome</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w:t>
            </w:r>
            <w:r>
              <w:rPr>
                <w:rFonts w:ascii="Arial" w:cs="Arial" w:eastAsia="Arial" w:hAnsi="Arial"/>
                <w:sz w:val="18"/>
                <w:szCs w:val="18"/>
                <w:color w:val="auto"/>
              </w:rPr>
              <w:t xml:space="preserve"> R</w:t>
            </w:r>
            <w:r>
              <w:rPr>
                <w:rFonts w:ascii="Arial" w:cs="Arial" w:eastAsia="Arial" w:hAnsi="Arial"/>
                <w:sz w:val="14"/>
                <w:szCs w:val="14"/>
                <w:color w:val="auto"/>
              </w:rPr>
              <w:t>UBIN</w:t>
            </w:r>
          </w:p>
        </w:tc>
        <w:tc>
          <w:tcPr>
            <w:tcW w:w="2240" w:type="dxa"/>
            <w:vAlign w:val="bottom"/>
            <w:tcBorders>
              <w:bottom w:val="single" w:sz="8" w:color="auto"/>
            </w:tcBorders>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March 29, 2013</w:t>
            </w:r>
          </w:p>
        </w:tc>
      </w:tr>
      <w:tr>
        <w:trPr>
          <w:trHeight w:val="217"/>
        </w:trPr>
        <w:tc>
          <w:tcPr>
            <w:tcW w:w="284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gridSpan w:val="2"/>
          </w:tcPr>
          <w:p>
            <w:pPr>
              <w:jc w:val="right"/>
              <w:ind w:right="1134"/>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Borders>
              <w:bottom w:val="single" w:sz="8" w:color="0000EE"/>
            </w:tcBorders>
          </w:tcPr>
          <w:p>
            <w:pPr>
              <w:jc w:val="right"/>
              <w:ind w:right="52"/>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1.</w:t>
              </w:r>
            </w:hyperlink>
          </w:p>
        </w:tc>
        <w:tc>
          <w:tcPr>
            <w:tcW w:w="4240" w:type="dxa"/>
            <w:vAlign w:val="bottom"/>
            <w:tcBorders>
              <w:bottom w:val="single" w:sz="8" w:color="0000EE"/>
            </w:tcBorders>
          </w:tcPr>
          <w:p>
            <w:pPr>
              <w:ind w:left="12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Report of Independent Registered Public Accounting Firm</w:t>
              </w:r>
            </w:hyperlink>
          </w:p>
        </w:tc>
        <w:tc>
          <w:tcPr>
            <w:tcW w:w="420" w:type="dxa"/>
            <w:vAlign w:val="bottom"/>
          </w:tcPr>
          <w:p>
            <w:pPr>
              <w:spacing w:after="0"/>
              <w:rPr>
                <w:sz w:val="17"/>
                <w:szCs w:val="17"/>
                <w:color w:val="auto"/>
              </w:rPr>
            </w:pPr>
          </w:p>
        </w:tc>
        <w:tc>
          <w:tcPr>
            <w:tcW w:w="6380" w:type="dxa"/>
            <w:vAlign w:val="bottom"/>
          </w:tcPr>
          <w:p>
            <w:pPr>
              <w:ind w:left="6140"/>
              <w:spacing w:after="0"/>
              <w:rPr>
                <w:sz w:val="20"/>
                <w:szCs w:val="20"/>
                <w:color w:val="auto"/>
              </w:rPr>
            </w:pPr>
            <w:r>
              <w:rPr>
                <w:rFonts w:ascii="Arial" w:cs="Arial" w:eastAsia="Arial" w:hAnsi="Arial"/>
                <w:sz w:val="18"/>
                <w:szCs w:val="18"/>
                <w:color w:val="auto"/>
                <w:w w:val="81"/>
              </w:rPr>
              <w:t>F-1</w:t>
            </w:r>
          </w:p>
        </w:tc>
      </w:tr>
      <w:tr>
        <w:trPr>
          <w:trHeight w:val="304"/>
        </w:trPr>
        <w:tc>
          <w:tcPr>
            <w:tcW w:w="280" w:type="dxa"/>
            <w:vAlign w:val="bottom"/>
            <w:tcBorders>
              <w:bottom w:val="single" w:sz="8" w:color="0000EE"/>
            </w:tcBorders>
          </w:tcPr>
          <w:p>
            <w:pPr>
              <w:jc w:val="right"/>
              <w:ind w:right="52"/>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2.</w:t>
              </w:r>
            </w:hyperlink>
          </w:p>
        </w:tc>
        <w:tc>
          <w:tcPr>
            <w:tcW w:w="4660" w:type="dxa"/>
            <w:vAlign w:val="bottom"/>
            <w:tcBorders>
              <w:bottom w:val="single" w:sz="8" w:color="0000EE"/>
            </w:tcBorders>
            <w:gridSpan w:val="2"/>
          </w:tcPr>
          <w:p>
            <w:pPr>
              <w:ind w:left="120"/>
              <w:spacing w:after="0"/>
              <w:rPr>
                <w:rFonts w:ascii="Arial" w:cs="Arial" w:eastAsia="Arial" w:hAnsi="Arial"/>
                <w:sz w:val="18"/>
                <w:szCs w:val="18"/>
                <w:color w:val="0000EE"/>
                <w:w w:val="86"/>
              </w:rPr>
            </w:pPr>
            <w:hyperlink w:anchor="page46">
              <w:r>
                <w:rPr>
                  <w:rFonts w:ascii="Arial" w:cs="Arial" w:eastAsia="Arial" w:hAnsi="Arial"/>
                  <w:sz w:val="18"/>
                  <w:szCs w:val="18"/>
                  <w:color w:val="0000EE"/>
                  <w:w w:val="86"/>
                </w:rPr>
                <w:t>Consolidated Balance Sheets as of December 31, 2012 and 2011</w:t>
              </w:r>
            </w:hyperlink>
          </w:p>
        </w:tc>
        <w:tc>
          <w:tcPr>
            <w:tcW w:w="6380" w:type="dxa"/>
            <w:vAlign w:val="bottom"/>
          </w:tcPr>
          <w:p>
            <w:pPr>
              <w:ind w:left="6140"/>
              <w:spacing w:after="0"/>
              <w:rPr>
                <w:sz w:val="20"/>
                <w:szCs w:val="20"/>
                <w:color w:val="auto"/>
              </w:rPr>
            </w:pPr>
            <w:r>
              <w:rPr>
                <w:rFonts w:ascii="Arial" w:cs="Arial" w:eastAsia="Arial" w:hAnsi="Arial"/>
                <w:sz w:val="18"/>
                <w:szCs w:val="18"/>
                <w:color w:val="auto"/>
                <w:w w:val="81"/>
              </w:rPr>
              <w:t>F-2</w:t>
            </w:r>
          </w:p>
        </w:tc>
      </w:tr>
    </w:tbl>
    <w:p>
      <w:pPr>
        <w:spacing w:after="0" w:line="127"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Consolidated Statements of Operations for the years ended December 31, 2012 and 2011 and for the cumulative period from inception (July 10,</w:t>
        </w:r>
      </w:hyperlink>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20" w:type="dxa"/>
            <w:vAlign w:val="bottom"/>
            <w:tcBorders>
              <w:bottom w:val="single" w:sz="8" w:color="0000EE"/>
            </w:tcBorders>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2000) to December 31, 2012</w:t>
              </w:r>
            </w:hyperlink>
          </w:p>
        </w:tc>
        <w:tc>
          <w:tcPr>
            <w:tcW w:w="8860" w:type="dxa"/>
            <w:vAlign w:val="bottom"/>
          </w:tcPr>
          <w:p>
            <w:pPr>
              <w:ind w:left="8620"/>
              <w:spacing w:after="0"/>
              <w:rPr>
                <w:sz w:val="20"/>
                <w:szCs w:val="20"/>
                <w:color w:val="auto"/>
              </w:rPr>
            </w:pPr>
            <w:r>
              <w:rPr>
                <w:rFonts w:ascii="Arial" w:cs="Arial" w:eastAsia="Arial" w:hAnsi="Arial"/>
                <w:sz w:val="18"/>
                <w:szCs w:val="18"/>
                <w:color w:val="auto"/>
                <w:w w:val="81"/>
              </w:rPr>
              <w:t>F-3</w:t>
            </w:r>
          </w:p>
        </w:tc>
      </w:tr>
    </w:tbl>
    <w:p>
      <w:pPr>
        <w:spacing w:after="0" w:line="127"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Consolidated Statements of Redeemable Convertible Preferred Stock and Stockholders’ Equity (Deficit) for the years ended December 31, 2012</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and 2011 and for the cumulative period from inception (July 10, 2000) to December 31, 2012</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280" w:type="dxa"/>
            <w:vAlign w:val="bottom"/>
          </w:tcPr>
          <w:p>
            <w:pPr>
              <w:jc w:val="right"/>
              <w:ind w:right="52"/>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c>
          <w:tcPr>
            <w:tcW w:w="10400" w:type="dxa"/>
            <w:vAlign w:val="bottom"/>
            <w:gridSpan w:val="5"/>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Consolidated Statements of Cash Flows for the years ended December 31, 2012 and 2011 and for the cumulative period from inception (July 10,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196"/>
        </w:trPr>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2000) to December 31, 2012</w:t>
              </w:r>
            </w:hyperlink>
          </w:p>
        </w:tc>
        <w:tc>
          <w:tcPr>
            <w:tcW w:w="8140" w:type="dxa"/>
            <w:vAlign w:val="bottom"/>
            <w:tcBorders>
              <w:top w:val="single" w:sz="8" w:color="0000EE"/>
            </w:tcBorders>
            <w:gridSpan w:val="3"/>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04"/>
        </w:trPr>
        <w:tc>
          <w:tcPr>
            <w:tcW w:w="280" w:type="dxa"/>
            <w:vAlign w:val="bottom"/>
          </w:tcPr>
          <w:p>
            <w:pPr>
              <w:jc w:val="right"/>
              <w:ind w:right="52"/>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w:t>
              </w:r>
            </w:hyperlink>
          </w:p>
        </w:tc>
        <w:tc>
          <w:tcPr>
            <w:tcW w:w="10560" w:type="dxa"/>
            <w:vAlign w:val="bottom"/>
            <w:gridSpan w:val="6"/>
          </w:tcPr>
          <w:p>
            <w:pPr>
              <w:ind w:left="120"/>
              <w:spacing w:after="0"/>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5"/>
        </w:trPr>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20" w:type="dxa"/>
            <w:vAlign w:val="bottom"/>
            <w:tcBorders>
              <w:top w:val="single" w:sz="8" w:color="0000EE"/>
            </w:tcBorders>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35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Galectin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Norcross, Georgia</w:t>
      </w:r>
    </w:p>
    <w:p>
      <w:pPr>
        <w:spacing w:after="0" w:line="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audited the accompanying consolidated balance sheets of Galectin Therapeutics Inc. and subsidiaries (a development stage company) (the “Company”) as of December 31, 2012 and 2011, and the related consolidated statements of operations, changes in redeemable convertible preferred stock and stockholders’ equity (deficit), and cash flows for the years then ended, and for the period from inception (July 10, 2000) to December 31, 2012. These financial statements are the responsibility of the Company’s management. Our responsibility is to express an opinion on these financial statements based on our audits. The financial statements for the period from inception (July 10, 2000) to December 31, 2009 were audited by other auditors and our opinion, insofar as it relates to cumulative amounts included for such prior periods, is based solely on the report of other such auditors.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our opinion, based on our audits and the report of other auditors, the consolidated financial statements referred to above present fairly, in all material respects, the financial position of the Company as of December 31, 2012 and 2011, and the results of their operations and their cash flows for the years then ended, and for the period from inception (July 10, 2000) to December 31, 2012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 Development-Stage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Prepaid expenses and other current assets</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and security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net</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ind w:left="220" w:right="500" w:hanging="215"/>
        <w:spacing w:after="0" w:line="257" w:lineRule="auto"/>
        <w:rPr>
          <w:sz w:val="20"/>
          <w:szCs w:val="20"/>
          <w:color w:val="auto"/>
        </w:rPr>
      </w:pPr>
      <w:r>
        <w:rPr>
          <w:rFonts w:ascii="Arial" w:cs="Arial" w:eastAsia="Arial" w:hAnsi="Arial"/>
          <w:sz w:val="18"/>
          <w:szCs w:val="18"/>
          <w:b w:val="1"/>
          <w:bCs w:val="1"/>
          <w:color w:val="auto"/>
        </w:rPr>
        <w:t>LIABILITIES, REDEEMABLE CONVERTIBLE PREFERRED STOCK AND STOCKHOLDERS’ EQUITY (DEFICIT)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dividends payable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3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r>
      <w:tr>
        <w:trPr>
          <w:trHeight w:val="142"/>
        </w:trPr>
        <w:tc>
          <w:tcPr>
            <w:tcW w:w="4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412"/>
              <w:spacing w:after="0" w:line="142" w:lineRule="exact"/>
              <w:rPr>
                <w:sz w:val="20"/>
                <w:szCs w:val="20"/>
                <w:color w:val="auto"/>
              </w:rPr>
            </w:pPr>
            <w:r>
              <w:rPr>
                <w:rFonts w:ascii="Arial" w:cs="Arial" w:eastAsia="Arial" w:hAnsi="Arial"/>
                <w:sz w:val="14"/>
                <w:szCs w:val="14"/>
                <w:b w:val="1"/>
                <w:bCs w:val="1"/>
                <w:color w:val="auto"/>
                <w:w w:val="87"/>
              </w:rPr>
              <w:t>(in thousands)</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9,364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6,397</w:t>
            </w:r>
          </w:p>
        </w:tc>
      </w:tr>
      <w:tr>
        <w:trPr>
          <w:trHeight w:val="223"/>
        </w:trPr>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9,517</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w:t>
            </w:r>
          </w:p>
        </w:tc>
      </w:tr>
      <w:tr>
        <w:trPr>
          <w:trHeight w:val="216"/>
        </w:trPr>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85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2"/>
        </w:trPr>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1,161</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1,551</w:t>
            </w:r>
          </w:p>
        </w:tc>
      </w:tr>
    </w:tbl>
    <w:p>
      <w:pPr>
        <w:ind w:left="1660" w:hanging="1179"/>
        <w:spacing w:after="0"/>
        <w:tabs>
          <w:tab w:leader="none" w:pos="1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80</w:t>
      </w:r>
    </w:p>
    <w:p>
      <w:pPr>
        <w:spacing w:after="0" w:line="32"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200</w:t>
      </w:r>
    </w:p>
    <w:p>
      <w:pPr>
        <w:spacing w:after="0" w:line="9" w:lineRule="exact"/>
        <w:rPr>
          <w:sz w:val="20"/>
          <w:szCs w:val="20"/>
          <w:color w:val="auto"/>
        </w:rPr>
      </w:pPr>
    </w:p>
    <w:p>
      <w:pPr>
        <w:sectPr>
          <w:pgSz w:w="11900" w:h="16838" w:orient="portrait"/>
          <w:cols w:equalWidth="0" w:num="2">
            <w:col w:w="8760" w:space="720"/>
            <w:col w:w="19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1,644</w:t>
            </w:r>
          </w:p>
        </w:tc>
        <w:tc>
          <w:tcPr>
            <w:tcW w:w="28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2,215</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24"/>
        </w:trPr>
        <w:tc>
          <w:tcPr>
            <w:tcW w:w="9480" w:type="dxa"/>
            <w:vAlign w:val="bottom"/>
            <w:gridSpan w:val="2"/>
          </w:tcPr>
          <w:p>
            <w:pPr>
              <w:spacing w:after="0"/>
              <w:rPr>
                <w:sz w:val="20"/>
                <w:szCs w:val="20"/>
                <w:color w:val="auto"/>
              </w:rPr>
            </w:pPr>
            <w:r>
              <w:rPr>
                <w:rFonts w:ascii="Arial" w:cs="Arial" w:eastAsia="Arial" w:hAnsi="Arial"/>
                <w:sz w:val="18"/>
                <w:szCs w:val="18"/>
                <w:color w:val="auto"/>
                <w:w w:val="94"/>
              </w:rPr>
              <w:t>Series B-1 12% redeemable convertible preferred stock; 900,000 shares authorized, issued and outstanding at December 31,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2012 and 2011, redemption value and liquidation value: $1,800,000, at December 31, 2012</w:t>
            </w:r>
          </w:p>
        </w:tc>
        <w:tc>
          <w:tcPr>
            <w:tcW w:w="660" w:type="dxa"/>
            <w:vAlign w:val="bottom"/>
          </w:tcPr>
          <w:p>
            <w:pPr>
              <w:jc w:val="right"/>
              <w:spacing w:after="0"/>
              <w:rPr>
                <w:sz w:val="20"/>
                <w:szCs w:val="20"/>
                <w:color w:val="auto"/>
              </w:rPr>
            </w:pPr>
            <w:r>
              <w:rPr>
                <w:rFonts w:ascii="Arial" w:cs="Arial" w:eastAsia="Arial" w:hAnsi="Arial"/>
                <w:sz w:val="18"/>
                <w:szCs w:val="18"/>
                <w:color w:val="auto"/>
              </w:rPr>
              <w:t>1,698</w:t>
            </w:r>
          </w:p>
        </w:tc>
        <w:tc>
          <w:tcPr>
            <w:tcW w:w="28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1,681</w:t>
            </w: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w w:val="93"/>
              </w:rPr>
              <w:t>Series B-2 12% redeemable convertible preferred stock; 2,100,000 shares authorized, issued and outstanding at December 31,</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 and 2011, redemption value and liquidation value: $4,200,000, at December 31, 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2,687</w:t>
            </w:r>
          </w:p>
        </w:tc>
      </w:tr>
      <w:tr>
        <w:trPr>
          <w:trHeight w:val="208"/>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2"/>
              </w:rPr>
              <w:t>Series C super dividend convertible preferred stock; 1,000 shares authorized, 220 issued and outstanding at December 31, 2012</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and 2011, redemption value: $5,204,000, liquidation value: $2,233,000 at December 31, 2012</w:t>
            </w:r>
          </w:p>
        </w:tc>
        <w:tc>
          <w:tcPr>
            <w:tcW w:w="660" w:type="dxa"/>
            <w:vAlign w:val="bottom"/>
          </w:tcPr>
          <w:p>
            <w:pPr>
              <w:jc w:val="right"/>
              <w:spacing w:after="0"/>
              <w:rPr>
                <w:sz w:val="20"/>
                <w:szCs w:val="20"/>
                <w:color w:val="auto"/>
              </w:rPr>
            </w:pPr>
            <w:r>
              <w:rPr>
                <w:rFonts w:ascii="Arial" w:cs="Arial" w:eastAsia="Arial" w:hAnsi="Arial"/>
                <w:sz w:val="18"/>
                <w:szCs w:val="18"/>
                <w:color w:val="auto"/>
              </w:rPr>
              <w:t>2,154</w:t>
            </w:r>
          </w:p>
        </w:tc>
        <w:tc>
          <w:tcPr>
            <w:tcW w:w="28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2,154</w:t>
            </w: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w w:val="96"/>
              </w:rPr>
              <w:t>Undesignated stock, $0.01 par value; 20,000,000 shares authorized at December 31, 2012 and 2011, 8,001,000</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1060"/>
              <w:spacing w:after="0"/>
              <w:rPr>
                <w:sz w:val="20"/>
                <w:szCs w:val="20"/>
                <w:color w:val="auto"/>
              </w:rPr>
            </w:pPr>
            <w:r>
              <w:rPr>
                <w:rFonts w:ascii="Arial" w:cs="Arial" w:eastAsia="Arial" w:hAnsi="Arial"/>
                <w:sz w:val="18"/>
                <w:szCs w:val="18"/>
                <w:color w:val="auto"/>
              </w:rPr>
              <w:t>shares designated at December 31, 2012 and 2011</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Series A 12% convertible preferred stock; 5,000,000 shares authorized, 1,562,500 issued and outstanding at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2012 and 2011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r>
      <w:tr>
        <w:trPr>
          <w:trHeight w:val="208"/>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w w:val="94"/>
              </w:rPr>
              <w:t>Common stock, $0.001 par value; 50,000,000 shares authorized at December 31, 2012 and 2011, 16,060,853 and</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1060"/>
              <w:spacing w:after="0"/>
              <w:rPr>
                <w:sz w:val="20"/>
                <w:szCs w:val="20"/>
                <w:color w:val="auto"/>
              </w:rPr>
            </w:pPr>
            <w:r>
              <w:rPr>
                <w:rFonts w:ascii="Arial" w:cs="Arial" w:eastAsia="Arial" w:hAnsi="Arial"/>
                <w:sz w:val="18"/>
                <w:szCs w:val="18"/>
                <w:color w:val="auto"/>
              </w:rPr>
              <w:t>12,919,538 issued and outstanding at December 31, 2012 and 2011, respectively</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80,535</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66,367</w:t>
            </w: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Deficit accumulated during the development stage</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(80,018)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(69,137)</w:t>
            </w: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equity (deficit)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w:t>
            </w: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9,561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6,612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(July 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2000)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8"/>
          </w:tcPr>
          <w:p>
            <w:pPr>
              <w:jc w:val="right"/>
              <w:ind w:right="338"/>
              <w:spacing w:after="0" w:line="142" w:lineRule="exact"/>
              <w:rPr>
                <w:sz w:val="20"/>
                <w:szCs w:val="20"/>
                <w:color w:val="auto"/>
              </w:rPr>
            </w:pPr>
            <w:r>
              <w:rPr>
                <w:rFonts w:ascii="Arial" w:cs="Arial" w:eastAsia="Arial" w:hAnsi="Arial"/>
                <w:sz w:val="14"/>
                <w:szCs w:val="14"/>
                <w:b w:val="1"/>
                <w:bCs w:val="1"/>
                <w:color w:val="auto"/>
                <w:w w:val="95"/>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4,527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3,552</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10,409</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(10,409)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(74,646)</w:t>
            </w:r>
          </w:p>
        </w:tc>
        <w:tc>
          <w:tcPr>
            <w:tcW w:w="0" w:type="dxa"/>
            <w:vAlign w:val="bottom"/>
          </w:tcPr>
          <w:p>
            <w:pPr>
              <w:spacing w:after="0"/>
              <w:rPr>
                <w:sz w:val="1"/>
                <w:szCs w:val="1"/>
                <w:color w:val="auto"/>
              </w:rPr>
            </w:pPr>
          </w:p>
        </w:tc>
      </w:tr>
      <w:tr>
        <w:trPr>
          <w:trHeight w:val="222"/>
        </w:trPr>
        <w:tc>
          <w:tcPr>
            <w:tcW w:w="8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convertible debt instrument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(10,915)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(71,992)</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860"/>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(10,881)</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(12,713)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15,131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11,986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80" w:type="dxa"/>
            <w:vAlign w:val="bottom"/>
          </w:tcPr>
          <w:p>
            <w:pPr>
              <w:spacing w:after="0"/>
              <w:rPr>
                <w:sz w:val="21"/>
                <w:szCs w:val="21"/>
                <w:color w:val="auto"/>
              </w:rPr>
            </w:pPr>
          </w:p>
        </w:tc>
        <w:tc>
          <w:tcPr>
            <w:tcW w:w="14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Series B-1 12%</w:t>
            </w:r>
          </w:p>
        </w:tc>
        <w:tc>
          <w:tcPr>
            <w:tcW w:w="14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Series B-2 12%</w:t>
            </w: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Series C Super</w:t>
            </w:r>
          </w:p>
        </w:tc>
        <w:tc>
          <w:tcPr>
            <w:tcW w:w="26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9"/>
          </w:tcPr>
          <w:p>
            <w:pPr>
              <w:ind w:left="700"/>
              <w:spacing w:after="0"/>
              <w:rPr>
                <w:sz w:val="20"/>
                <w:szCs w:val="20"/>
                <w:color w:val="auto"/>
              </w:rPr>
            </w:pPr>
            <w:r>
              <w:rPr>
                <w:rFonts w:ascii="Arial" w:cs="Arial" w:eastAsia="Arial" w:hAnsi="Arial"/>
                <w:sz w:val="14"/>
                <w:szCs w:val="14"/>
                <w:b w:val="1"/>
                <w:bCs w:val="1"/>
                <w:color w:val="auto"/>
              </w:rPr>
              <w:t>Stockholders’ Deficit</w:t>
            </w:r>
          </w:p>
        </w:tc>
        <w:tc>
          <w:tcPr>
            <w:tcW w:w="7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4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4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Dividend</w:t>
            </w: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4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4"/>
                <w:szCs w:val="1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Preferred Stock</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2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Number of</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Development</w:t>
            </w:r>
          </w:p>
        </w:tc>
        <w:tc>
          <w:tcPr>
            <w:tcW w:w="1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Stage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2"/>
        </w:trPr>
        <w:tc>
          <w:tcPr>
            <w:tcW w:w="1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Issuance of</w:t>
            </w: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88"/>
              </w:rPr>
              <w:t>founders shares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July 10, 2000</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  —</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  —</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26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2"/>
              </w:rPr>
              <w:t>2,059,112</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5"/>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480" w:type="dxa"/>
            <w:vAlign w:val="bottom"/>
          </w:tcPr>
          <w:p>
            <w:pPr>
              <w:spacing w:after="0"/>
              <w:rPr>
                <w:sz w:val="20"/>
                <w:szCs w:val="20"/>
                <w:color w:val="auto"/>
              </w:rPr>
            </w:pPr>
            <w:r>
              <w:rPr>
                <w:rFonts w:ascii="Arial" w:cs="Arial" w:eastAsia="Arial" w:hAnsi="Arial"/>
                <w:sz w:val="18"/>
                <w:szCs w:val="18"/>
                <w:color w:val="auto"/>
              </w:rPr>
              <w:t>Beneficial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rPr>
              <w:t>conversion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rPr>
              <w:t>feature and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rPr>
              <w:t>rights to</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rPr>
              <w:t>embedded in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w w:val="97"/>
              </w:rPr>
              <w:t>convertible note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80" w:type="dxa"/>
            <w:vAlign w:val="bottom"/>
          </w:tcPr>
          <w:p>
            <w:pPr>
              <w:ind w:left="220"/>
              <w:spacing w:after="0"/>
              <w:rPr>
                <w:sz w:val="20"/>
                <w:szCs w:val="20"/>
                <w:color w:val="auto"/>
              </w:rPr>
            </w:pPr>
            <w:r>
              <w:rPr>
                <w:rFonts w:ascii="Arial" w:cs="Arial" w:eastAsia="Arial" w:hAnsi="Arial"/>
                <w:sz w:val="18"/>
                <w:szCs w:val="18"/>
                <w:color w:val="auto"/>
              </w:rPr>
              <w:t>in 2000</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beneficial</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feature related to</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convertible note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2001</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110,054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80" w:type="dxa"/>
            <w:vAlign w:val="bottom"/>
          </w:tcPr>
          <w:p>
            <w:pPr>
              <w:spacing w:after="0"/>
              <w:rPr>
                <w:sz w:val="20"/>
                <w:szCs w:val="20"/>
                <w:color w:val="auto"/>
              </w:rPr>
            </w:pPr>
            <w:r>
              <w:rPr>
                <w:rFonts w:ascii="Arial" w:cs="Arial" w:eastAsia="Arial" w:hAnsi="Arial"/>
                <w:sz w:val="18"/>
                <w:szCs w:val="18"/>
                <w:color w:val="auto"/>
              </w:rPr>
              <w:t>Issuance of</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w w:val="91"/>
              </w:rPr>
              <w:t>common stock in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w w:val="99"/>
              </w:rPr>
              <w:t>connection with</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rPr>
              <w:t>reverse merger</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rPr>
              <w:t>of Pro-</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20"/>
              <w:spacing w:after="0"/>
              <w:rPr>
                <w:sz w:val="20"/>
                <w:szCs w:val="20"/>
                <w:color w:val="auto"/>
              </w:rPr>
            </w:pPr>
            <w:r>
              <w:rPr>
                <w:rFonts w:ascii="Arial" w:cs="Arial" w:eastAsia="Arial" w:hAnsi="Arial"/>
                <w:sz w:val="18"/>
                <w:szCs w:val="18"/>
                <w:color w:val="auto"/>
                <w:w w:val="89"/>
              </w:rPr>
              <w:t>Pharmaceuticals-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80" w:type="dxa"/>
            <w:vAlign w:val="bottom"/>
          </w:tcPr>
          <w:p>
            <w:pPr>
              <w:ind w:left="220"/>
              <w:spacing w:after="0"/>
              <w:rPr>
                <w:sz w:val="20"/>
                <w:szCs w:val="20"/>
                <w:color w:val="auto"/>
              </w:rPr>
            </w:pPr>
            <w:r>
              <w:rPr>
                <w:rFonts w:ascii="Arial" w:cs="Arial" w:eastAsia="Arial" w:hAnsi="Arial"/>
                <w:sz w:val="18"/>
                <w:szCs w:val="18"/>
                <w:color w:val="auto"/>
              </w:rPr>
              <w:t>NV in 2001</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203,649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1"/>
              </w:rPr>
              <w:t>Conversion of notes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and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accrued interest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to common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2001</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99,705</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8"/>
                <w:szCs w:val="18"/>
                <w:color w:val="auto"/>
              </w:rPr>
              <w:t>F-4</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00" w:type="dxa"/>
            <w:vAlign w:val="bottom"/>
          </w:tcPr>
          <w:p>
            <w:pPr>
              <w:spacing w:after="0"/>
              <w:rPr>
                <w:sz w:val="21"/>
                <w:szCs w:val="21"/>
                <w:color w:val="auto"/>
              </w:rPr>
            </w:pPr>
          </w:p>
        </w:tc>
        <w:tc>
          <w:tcPr>
            <w:tcW w:w="12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Series B-1 12%</w:t>
            </w:r>
          </w:p>
        </w:tc>
        <w:tc>
          <w:tcPr>
            <w:tcW w:w="12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7"/>
              </w:rPr>
              <w:t>Series B-2 12%</w:t>
            </w:r>
          </w:p>
        </w:tc>
        <w:tc>
          <w:tcPr>
            <w:tcW w:w="1340" w:type="dxa"/>
            <w:vAlign w:val="bottom"/>
            <w:tcBorders>
              <w:right w:val="single" w:sz="8" w:color="auto"/>
            </w:tcBorders>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Series C Super</w:t>
            </w:r>
          </w:p>
        </w:tc>
        <w:tc>
          <w:tcPr>
            <w:tcW w:w="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Stockholders’ Deficit</w:t>
            </w: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30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340" w:type="dxa"/>
            <w:vAlign w:val="bottom"/>
            <w:tcBorders>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Redeemable</w:t>
            </w:r>
          </w:p>
        </w:tc>
        <w:tc>
          <w:tcPr>
            <w:tcW w:w="1340" w:type="dxa"/>
            <w:vAlign w:val="bottom"/>
            <w:tcBorders>
              <w:right w:val="single" w:sz="8" w:color="auto"/>
            </w:tcBorders>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Dividend</w:t>
            </w:r>
          </w:p>
        </w:tc>
        <w:tc>
          <w:tcPr>
            <w:tcW w:w="60" w:type="dxa"/>
            <w:vAlign w:val="bottom"/>
          </w:tcPr>
          <w:p>
            <w:pPr>
              <w:spacing w:after="0"/>
              <w:rPr>
                <w:sz w:val="12"/>
                <w:szCs w:val="12"/>
                <w:color w:val="auto"/>
              </w:rPr>
            </w:pPr>
          </w:p>
        </w:tc>
        <w:tc>
          <w:tcPr>
            <w:tcW w:w="12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40" w:type="dxa"/>
            <w:vAlign w:val="bottom"/>
            <w:tcBorders>
              <w:right w:val="single" w:sz="8" w:color="auto"/>
            </w:tcBorders>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0" w:type="dxa"/>
            <w:vAlign w:val="bottom"/>
          </w:tcPr>
          <w:p>
            <w:pPr>
              <w:spacing w:after="0"/>
              <w:rPr>
                <w:sz w:val="12"/>
                <w:szCs w:val="12"/>
                <w:color w:val="auto"/>
              </w:rPr>
            </w:pP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Preferred Stock</w:t>
            </w: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134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14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340" w:type="dxa"/>
            <w:vAlign w:val="bottom"/>
            <w:tcBorders>
              <w:right w:val="single" w:sz="8" w:color="auto"/>
            </w:tcBorders>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1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2"/>
              </w:rPr>
              <w:t>Development Stockholders’</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124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Shares   Amount</w:t>
            </w: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1340" w:type="dxa"/>
            <w:vAlign w:val="bottom"/>
            <w:tcBorders>
              <w:righ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60" w:type="dxa"/>
            <w:vAlign w:val="bottom"/>
          </w:tcPr>
          <w:p>
            <w:pPr>
              <w:spacing w:after="0"/>
              <w:rPr>
                <w:sz w:val="14"/>
                <w:szCs w:val="14"/>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w w:val="98"/>
              </w:rPr>
              <w:t>Shares   Amount</w:t>
            </w:r>
          </w:p>
        </w:tc>
        <w:tc>
          <w:tcPr>
            <w:tcW w:w="640" w:type="dxa"/>
            <w:vAlign w:val="bottom"/>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Stage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8"/>
        </w:trPr>
        <w:tc>
          <w:tcPr>
            <w:tcW w:w="23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Issuance of warrants to induce</w:t>
            </w: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conversion of notes payable</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 2001</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40" w:type="dxa"/>
            <w:vAlign w:val="bottom"/>
            <w:gridSpan w:val="5"/>
          </w:tcPr>
          <w:p>
            <w:pPr>
              <w:spacing w:after="0"/>
              <w:rPr>
                <w:sz w:val="20"/>
                <w:szCs w:val="20"/>
                <w:color w:val="auto"/>
              </w:rPr>
            </w:pPr>
            <w:r>
              <w:rPr>
                <w:rFonts w:ascii="Arial" w:cs="Arial" w:eastAsia="Arial" w:hAnsi="Arial"/>
                <w:sz w:val="18"/>
                <w:szCs w:val="18"/>
                <w:color w:val="auto"/>
              </w:rPr>
              <w:t>Issuance of common stock and</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warrants (net of issuance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costs of $17,000) in 2001</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114,884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2,221</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common stock (net</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of issuance costs of</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$49,000) in 2002</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40" w:type="dxa"/>
            <w:vAlign w:val="bottom"/>
            <w:gridSpan w:val="5"/>
          </w:tcPr>
          <w:p>
            <w:pPr>
              <w:spacing w:after="0"/>
              <w:rPr>
                <w:sz w:val="20"/>
                <w:szCs w:val="20"/>
                <w:color w:val="auto"/>
              </w:rPr>
            </w:pPr>
            <w:r>
              <w:rPr>
                <w:rFonts w:ascii="Arial" w:cs="Arial" w:eastAsia="Arial" w:hAnsi="Arial"/>
                <w:sz w:val="18"/>
                <w:szCs w:val="18"/>
                <w:color w:val="auto"/>
              </w:rPr>
              <w:t>Issuance of common stock</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related to 2002 private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placement (net of issuance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costs of $212,000)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537,227</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620" w:type="dxa"/>
            <w:vAlign w:val="bottom"/>
          </w:tcPr>
          <w:p>
            <w:pPr>
              <w:jc w:val="right"/>
              <w:spacing w:after="0"/>
              <w:rPr>
                <w:sz w:val="20"/>
                <w:szCs w:val="20"/>
                <w:color w:val="auto"/>
              </w:rPr>
            </w:pPr>
            <w:r>
              <w:rPr>
                <w:rFonts w:ascii="Arial" w:cs="Arial" w:eastAsia="Arial" w:hAnsi="Arial"/>
                <w:sz w:val="18"/>
                <w:szCs w:val="18"/>
                <w:color w:val="auto"/>
              </w:rPr>
              <w:t>2,860</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Conversion of notes payable</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and accrued interest to</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40" w:type="dxa"/>
            <w:vAlign w:val="bottom"/>
            <w:gridSpan w:val="5"/>
          </w:tcPr>
          <w:p>
            <w:pPr>
              <w:spacing w:after="0"/>
              <w:rPr>
                <w:sz w:val="20"/>
                <w:szCs w:val="20"/>
                <w:color w:val="auto"/>
              </w:rPr>
            </w:pPr>
            <w:r>
              <w:rPr>
                <w:rFonts w:ascii="Arial" w:cs="Arial" w:eastAsia="Arial" w:hAnsi="Arial"/>
                <w:sz w:val="18"/>
                <w:szCs w:val="18"/>
                <w:color w:val="auto"/>
              </w:rPr>
              <w:t>Issuance of warrants to</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purchase common stock in</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consideration for placement</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of convertible notes payable</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gridSpan w:val="5"/>
          </w:tcPr>
          <w:p>
            <w:pPr>
              <w:ind w:left="220"/>
              <w:spacing w:after="0"/>
              <w:rPr>
                <w:sz w:val="20"/>
                <w:szCs w:val="20"/>
                <w:color w:val="auto"/>
              </w:rPr>
            </w:pPr>
            <w:r>
              <w:rPr>
                <w:rFonts w:ascii="Arial" w:cs="Arial" w:eastAsia="Arial" w:hAnsi="Arial"/>
                <w:sz w:val="18"/>
                <w:szCs w:val="18"/>
                <w:color w:val="auto"/>
              </w:rPr>
              <w:t>in 2002</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ind w:left="100"/>
              <w:spacing w:after="0"/>
              <w:rPr>
                <w:sz w:val="20"/>
                <w:szCs w:val="20"/>
                <w:color w:val="auto"/>
              </w:rPr>
            </w:pPr>
            <w:r>
              <w:rPr>
                <w:rFonts w:ascii="Arial" w:cs="Arial" w:eastAsia="Arial" w:hAnsi="Arial"/>
                <w:sz w:val="18"/>
                <w:szCs w:val="18"/>
                <w:color w:val="auto"/>
              </w:rPr>
              <w:t>F-5</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60" w:type="dxa"/>
            <w:vAlign w:val="bottom"/>
          </w:tcPr>
          <w:p>
            <w:pPr>
              <w:spacing w:after="0"/>
              <w:rPr>
                <w:sz w:val="21"/>
                <w:szCs w:val="21"/>
                <w:color w:val="auto"/>
              </w:rPr>
            </w:pPr>
          </w:p>
        </w:tc>
        <w:tc>
          <w:tcPr>
            <w:tcW w:w="13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Series B-1 12%</w:t>
            </w:r>
          </w:p>
        </w:tc>
        <w:tc>
          <w:tcPr>
            <w:tcW w:w="13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Series B-2 12%</w:t>
            </w:r>
          </w:p>
        </w:tc>
        <w:tc>
          <w:tcPr>
            <w:tcW w:w="1380" w:type="dxa"/>
            <w:vAlign w:val="bottom"/>
            <w:tcBorders>
              <w:right w:val="single" w:sz="8" w:color="auto"/>
            </w:tcBorders>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Series C Super</w:t>
            </w:r>
          </w:p>
        </w:tc>
        <w:tc>
          <w:tcPr>
            <w:tcW w:w="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Stockholders’ Deficit</w:t>
            </w: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6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380" w:type="dxa"/>
            <w:vAlign w:val="bottom"/>
            <w:tcBorders>
              <w:right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80" w:type="dxa"/>
            <w:vAlign w:val="bottom"/>
            <w:tcBorders>
              <w:right w:val="single" w:sz="8" w:color="auto"/>
            </w:tcBorders>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Dividend</w:t>
            </w:r>
          </w:p>
        </w:tc>
        <w:tc>
          <w:tcPr>
            <w:tcW w:w="8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tcBorders>
              <w:right w:val="single" w:sz="8" w:color="auto"/>
            </w:tcBorders>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0" w:type="dxa"/>
            <w:vAlign w:val="bottom"/>
          </w:tcPr>
          <w:p>
            <w:pPr>
              <w:spacing w:after="0"/>
              <w:rPr>
                <w:sz w:val="12"/>
                <w:szCs w:val="12"/>
                <w:color w:val="auto"/>
              </w:rPr>
            </w:pPr>
          </w:p>
        </w:tc>
        <w:tc>
          <w:tcPr>
            <w:tcW w:w="13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Preferred Stock</w:t>
            </w:r>
          </w:p>
        </w:tc>
        <w:tc>
          <w:tcPr>
            <w:tcW w:w="1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3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4"/>
                <w:szCs w:val="14"/>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Preferred Stock</w:t>
            </w:r>
          </w:p>
        </w:tc>
        <w:tc>
          <w:tcPr>
            <w:tcW w:w="150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380" w:type="dxa"/>
            <w:vAlign w:val="bottom"/>
            <w:tcBorders>
              <w:right w:val="single" w:sz="8" w:color="auto"/>
            </w:tcBorders>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3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Development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132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1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1380" w:type="dxa"/>
            <w:vAlign w:val="bottom"/>
            <w:tcBorders>
              <w:righ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80" w:type="dxa"/>
            <w:vAlign w:val="bottom"/>
          </w:tcPr>
          <w:p>
            <w:pPr>
              <w:spacing w:after="0"/>
              <w:rPr>
                <w:sz w:val="14"/>
                <w:szCs w:val="14"/>
                <w:color w:val="auto"/>
              </w:rPr>
            </w:pPr>
          </w:p>
        </w:tc>
        <w:tc>
          <w:tcPr>
            <w:tcW w:w="132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620" w:type="dxa"/>
            <w:vAlign w:val="bottom"/>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Amount</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Capital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Stage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8"/>
        </w:trPr>
        <w:tc>
          <w:tcPr>
            <w:tcW w:w="19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Issuance of common</w:t>
            </w: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stock to investors in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2002 private placement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(net of issuance costs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of $18,000)</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181,334</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80" w:type="dxa"/>
            <w:vAlign w:val="bottom"/>
            <w:gridSpan w:val="5"/>
          </w:tcPr>
          <w:p>
            <w:pPr>
              <w:spacing w:after="0"/>
              <w:rPr>
                <w:sz w:val="20"/>
                <w:szCs w:val="20"/>
                <w:color w:val="auto"/>
              </w:rPr>
            </w:pPr>
            <w:r>
              <w:rPr>
                <w:rFonts w:ascii="Arial" w:cs="Arial" w:eastAsia="Arial" w:hAnsi="Arial"/>
                <w:sz w:val="18"/>
                <w:szCs w:val="18"/>
                <w:color w:val="auto"/>
              </w:rPr>
              <w:t>Issuance of common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ind w:left="220"/>
              <w:spacing w:after="0"/>
              <w:rPr>
                <w:sz w:val="20"/>
                <w:szCs w:val="20"/>
                <w:color w:val="auto"/>
              </w:rPr>
            </w:pPr>
            <w:r>
              <w:rPr>
                <w:rFonts w:ascii="Arial" w:cs="Arial" w:eastAsia="Arial" w:hAnsi="Arial"/>
                <w:sz w:val="18"/>
                <w:szCs w:val="18"/>
                <w:color w:val="auto"/>
              </w:rPr>
              <w:t>stock to consultants for</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ind w:left="220"/>
              <w:spacing w:after="0"/>
              <w:rPr>
                <w:sz w:val="20"/>
                <w:szCs w:val="20"/>
                <w:color w:val="auto"/>
              </w:rPr>
            </w:pPr>
            <w:r>
              <w:rPr>
                <w:rFonts w:ascii="Arial" w:cs="Arial" w:eastAsia="Arial" w:hAnsi="Arial"/>
                <w:sz w:val="18"/>
                <w:szCs w:val="18"/>
                <w:color w:val="auto"/>
              </w:rPr>
              <w:t>services related to</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gridSpan w:val="5"/>
          </w:tcPr>
          <w:p>
            <w:pPr>
              <w:ind w:left="220"/>
              <w:spacing w:after="0"/>
              <w:rPr>
                <w:sz w:val="20"/>
                <w:szCs w:val="20"/>
                <w:color w:val="auto"/>
              </w:rPr>
            </w:pPr>
            <w:r>
              <w:rPr>
                <w:rFonts w:ascii="Arial" w:cs="Arial" w:eastAsia="Arial" w:hAnsi="Arial"/>
                <w:sz w:val="18"/>
                <w:szCs w:val="18"/>
                <w:color w:val="auto"/>
              </w:rPr>
              <w:t>2002 private placement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Receipt of subscription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receivable</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80" w:type="dxa"/>
            <w:vAlign w:val="bottom"/>
            <w:gridSpan w:val="5"/>
          </w:tcPr>
          <w:p>
            <w:pPr>
              <w:spacing w:after="0"/>
              <w:rPr>
                <w:sz w:val="20"/>
                <w:szCs w:val="20"/>
                <w:color w:val="auto"/>
              </w:rPr>
            </w:pPr>
            <w:r>
              <w:rPr>
                <w:rFonts w:ascii="Arial" w:cs="Arial" w:eastAsia="Arial" w:hAnsi="Arial"/>
                <w:sz w:val="18"/>
                <w:szCs w:val="18"/>
                <w:color w:val="auto"/>
              </w:rPr>
              <w:t>Conversion of accrued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ind w:left="220"/>
              <w:spacing w:after="0"/>
              <w:rPr>
                <w:sz w:val="20"/>
                <w:szCs w:val="20"/>
                <w:color w:val="auto"/>
              </w:rPr>
            </w:pPr>
            <w:r>
              <w:rPr>
                <w:rFonts w:ascii="Arial" w:cs="Arial" w:eastAsia="Arial" w:hAnsi="Arial"/>
                <w:sz w:val="18"/>
                <w:szCs w:val="18"/>
                <w:color w:val="auto"/>
              </w:rPr>
              <w:t>expenses to common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gridSpan w:val="5"/>
          </w:tcPr>
          <w:p>
            <w:pPr>
              <w:ind w:left="220"/>
              <w:spacing w:after="0"/>
              <w:rPr>
                <w:sz w:val="20"/>
                <w:szCs w:val="20"/>
                <w:color w:val="auto"/>
              </w:rPr>
            </w:pPr>
            <w:r>
              <w:rPr>
                <w:rFonts w:ascii="Arial" w:cs="Arial" w:eastAsia="Arial" w:hAnsi="Arial"/>
                <w:sz w:val="18"/>
                <w:szCs w:val="18"/>
                <w:color w:val="auto"/>
              </w:rPr>
              <w:t>stock and options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33,618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common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stock to investors in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May, 2003 private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placement (net of</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issuance costs of</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$128,000)</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399,917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280"/>
              <w:spacing w:after="0"/>
              <w:rPr>
                <w:sz w:val="20"/>
                <w:szCs w:val="20"/>
                <w:color w:val="auto"/>
              </w:rPr>
            </w:pPr>
            <w:r>
              <w:rPr>
                <w:rFonts w:ascii="Arial" w:cs="Arial" w:eastAsia="Arial" w:hAnsi="Arial"/>
                <w:sz w:val="18"/>
                <w:szCs w:val="18"/>
                <w:color w:val="auto"/>
              </w:rPr>
              <w:t>F-6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80" w:type="dxa"/>
            <w:vAlign w:val="bottom"/>
          </w:tcPr>
          <w:p>
            <w:pPr>
              <w:spacing w:after="0"/>
              <w:rPr>
                <w:sz w:val="21"/>
                <w:szCs w:val="21"/>
                <w:color w:val="auto"/>
              </w:rPr>
            </w:pPr>
          </w:p>
        </w:tc>
        <w:tc>
          <w:tcPr>
            <w:tcW w:w="12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7"/>
              </w:rPr>
              <w:t>Series B-1 12%</w:t>
            </w:r>
          </w:p>
        </w:tc>
        <w:tc>
          <w:tcPr>
            <w:tcW w:w="12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7"/>
              </w:rPr>
              <w:t>Series B-2 12%</w:t>
            </w:r>
          </w:p>
        </w:tc>
        <w:tc>
          <w:tcPr>
            <w:tcW w:w="1340" w:type="dxa"/>
            <w:vAlign w:val="bottom"/>
            <w:tcBorders>
              <w:right w:val="single" w:sz="8" w:color="auto"/>
            </w:tcBorders>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Series C Super</w:t>
            </w:r>
          </w:p>
        </w:tc>
        <w:tc>
          <w:tcPr>
            <w:tcW w:w="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Stockholders’ Deficit</w:t>
            </w: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38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340" w:type="dxa"/>
            <w:vAlign w:val="bottom"/>
            <w:tcBorders>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Redeemable</w:t>
            </w:r>
          </w:p>
        </w:tc>
        <w:tc>
          <w:tcPr>
            <w:tcW w:w="12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40" w:type="dxa"/>
            <w:vAlign w:val="bottom"/>
            <w:tcBorders>
              <w:right w:val="single" w:sz="8" w:color="auto"/>
            </w:tcBorders>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Dividend</w:t>
            </w:r>
          </w:p>
        </w:tc>
        <w:tc>
          <w:tcPr>
            <w:tcW w:w="60" w:type="dxa"/>
            <w:vAlign w:val="bottom"/>
          </w:tcPr>
          <w:p>
            <w:pPr>
              <w:spacing w:after="0"/>
              <w:rPr>
                <w:sz w:val="12"/>
                <w:szCs w:val="12"/>
                <w:color w:val="auto"/>
              </w:rPr>
            </w:pPr>
          </w:p>
        </w:tc>
        <w:tc>
          <w:tcPr>
            <w:tcW w:w="12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40" w:type="dxa"/>
            <w:vAlign w:val="bottom"/>
            <w:tcBorders>
              <w:right w:val="single" w:sz="8" w:color="auto"/>
            </w:tcBorders>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60" w:type="dxa"/>
            <w:vAlign w:val="bottom"/>
          </w:tcPr>
          <w:p>
            <w:pPr>
              <w:spacing w:after="0"/>
              <w:rPr>
                <w:sz w:val="12"/>
                <w:szCs w:val="12"/>
                <w:color w:val="auto"/>
              </w:rPr>
            </w:pP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134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Preferred Stock</w:t>
            </w:r>
          </w:p>
        </w:tc>
        <w:tc>
          <w:tcPr>
            <w:tcW w:w="6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2140" w:type="dxa"/>
            <w:vAlign w:val="bottom"/>
            <w:gridSpan w:val="6"/>
          </w:tcPr>
          <w:p>
            <w:pPr>
              <w:ind w:left="20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3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340" w:type="dxa"/>
            <w:vAlign w:val="bottom"/>
            <w:tcBorders>
              <w:right w:val="single" w:sz="8" w:color="auto"/>
            </w:tcBorders>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2"/>
              </w:rPr>
              <w:t>Development Stockholders’</w:t>
            </w: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1340" w:type="dxa"/>
            <w:vAlign w:val="bottom"/>
            <w:tcBorders>
              <w:righ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6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5"/>
              </w:rPr>
              <w:t>Amount   Capital</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Stage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8"/>
        </w:trPr>
        <w:tc>
          <w:tcPr>
            <w:tcW w:w="23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Fair value of common stock</w:t>
            </w: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warrants issued to placement</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agents in May, 2003 private</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placement</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40" w:type="dxa"/>
            <w:vAlign w:val="bottom"/>
            <w:gridSpan w:val="5"/>
          </w:tcPr>
          <w:p>
            <w:pPr>
              <w:spacing w:after="0"/>
              <w:rPr>
                <w:sz w:val="20"/>
                <w:szCs w:val="20"/>
                <w:color w:val="auto"/>
              </w:rPr>
            </w:pPr>
            <w:r>
              <w:rPr>
                <w:rFonts w:ascii="Arial" w:cs="Arial" w:eastAsia="Arial" w:hAnsi="Arial"/>
                <w:sz w:val="18"/>
                <w:szCs w:val="18"/>
                <w:color w:val="auto"/>
              </w:rPr>
              <w:t>Issuance of common stock to</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5"/>
          </w:tcPr>
          <w:p>
            <w:pPr>
              <w:ind w:left="220"/>
              <w:spacing w:after="0"/>
              <w:rPr>
                <w:sz w:val="20"/>
                <w:szCs w:val="20"/>
                <w:color w:val="auto"/>
              </w:rPr>
            </w:pPr>
            <w:r>
              <w:rPr>
                <w:rFonts w:ascii="Arial" w:cs="Arial" w:eastAsia="Arial" w:hAnsi="Arial"/>
                <w:sz w:val="18"/>
                <w:szCs w:val="18"/>
                <w:color w:val="auto"/>
              </w:rPr>
              <w:t>investors in October, 2003</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5"/>
          </w:tcPr>
          <w:p>
            <w:pPr>
              <w:ind w:left="220"/>
              <w:spacing w:after="0"/>
              <w:rPr>
                <w:sz w:val="20"/>
                <w:szCs w:val="20"/>
                <w:color w:val="auto"/>
              </w:rPr>
            </w:pPr>
            <w:r>
              <w:rPr>
                <w:rFonts w:ascii="Arial" w:cs="Arial" w:eastAsia="Arial" w:hAnsi="Arial"/>
                <w:sz w:val="18"/>
                <w:szCs w:val="18"/>
                <w:color w:val="auto"/>
              </w:rPr>
              <w:t>private placement (net of</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5"/>
          </w:tcPr>
          <w:p>
            <w:pPr>
              <w:ind w:left="220"/>
              <w:spacing w:after="0"/>
              <w:rPr>
                <w:sz w:val="20"/>
                <w:szCs w:val="20"/>
                <w:color w:val="auto"/>
              </w:rPr>
            </w:pPr>
            <w:r>
              <w:rPr>
                <w:rFonts w:ascii="Arial" w:cs="Arial" w:eastAsia="Arial" w:hAnsi="Arial"/>
                <w:sz w:val="18"/>
                <w:szCs w:val="18"/>
                <w:color w:val="auto"/>
              </w:rPr>
              <w:t>issuance costs of $559,000)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219,096</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1,319</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Cashless exercise of employee</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40" w:type="dxa"/>
            <w:vAlign w:val="bottom"/>
            <w:gridSpan w:val="5"/>
          </w:tcPr>
          <w:p>
            <w:pPr>
              <w:spacing w:after="0"/>
              <w:rPr>
                <w:sz w:val="20"/>
                <w:szCs w:val="20"/>
                <w:color w:val="auto"/>
              </w:rPr>
            </w:pPr>
            <w:r>
              <w:rPr>
                <w:rFonts w:ascii="Arial" w:cs="Arial" w:eastAsia="Arial" w:hAnsi="Arial"/>
                <w:sz w:val="18"/>
                <w:szCs w:val="18"/>
                <w:color w:val="auto"/>
              </w:rPr>
              <w:t>Issuance of common stock to</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5"/>
          </w:tcPr>
          <w:p>
            <w:pPr>
              <w:ind w:left="220"/>
              <w:spacing w:after="0"/>
              <w:rPr>
                <w:sz w:val="20"/>
                <w:szCs w:val="20"/>
                <w:color w:val="auto"/>
              </w:rPr>
            </w:pPr>
            <w:r>
              <w:rPr>
                <w:rFonts w:ascii="Arial" w:cs="Arial" w:eastAsia="Arial" w:hAnsi="Arial"/>
                <w:sz w:val="18"/>
                <w:szCs w:val="18"/>
                <w:color w:val="auto"/>
              </w:rPr>
              <w:t>investors in April, 2004</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5"/>
          </w:tcPr>
          <w:p>
            <w:pPr>
              <w:ind w:left="220"/>
              <w:spacing w:after="0"/>
              <w:rPr>
                <w:sz w:val="20"/>
                <w:szCs w:val="20"/>
                <w:color w:val="auto"/>
              </w:rPr>
            </w:pPr>
            <w:r>
              <w:rPr>
                <w:rFonts w:ascii="Arial" w:cs="Arial" w:eastAsia="Arial" w:hAnsi="Arial"/>
                <w:sz w:val="18"/>
                <w:szCs w:val="18"/>
                <w:color w:val="auto"/>
              </w:rPr>
              <w:t>private placement (net of</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gridSpan w:val="5"/>
          </w:tcPr>
          <w:p>
            <w:pPr>
              <w:ind w:left="220"/>
              <w:spacing w:after="0"/>
              <w:rPr>
                <w:sz w:val="20"/>
                <w:szCs w:val="20"/>
                <w:color w:val="auto"/>
              </w:rPr>
            </w:pPr>
            <w:r>
              <w:rPr>
                <w:rFonts w:ascii="Arial" w:cs="Arial" w:eastAsia="Arial" w:hAnsi="Arial"/>
                <w:sz w:val="18"/>
                <w:szCs w:val="18"/>
                <w:color w:val="auto"/>
              </w:rPr>
              <w:t>issuance costs of $466,000)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206,019</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1,898</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4"/>
          </w:tcPr>
          <w:p>
            <w:pPr>
              <w:ind w:left="60"/>
              <w:spacing w:after="0"/>
              <w:rPr>
                <w:sz w:val="20"/>
                <w:szCs w:val="20"/>
                <w:color w:val="auto"/>
              </w:rPr>
            </w:pPr>
            <w:r>
              <w:rPr>
                <w:rFonts w:ascii="Arial" w:cs="Arial" w:eastAsia="Arial" w:hAnsi="Arial"/>
                <w:sz w:val="18"/>
                <w:szCs w:val="18"/>
                <w:color w:val="auto"/>
              </w:rPr>
              <w:t>F-7</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40" w:type="dxa"/>
            <w:vAlign w:val="bottom"/>
          </w:tcPr>
          <w:p>
            <w:pPr>
              <w:spacing w:after="0"/>
              <w:rPr>
                <w:sz w:val="21"/>
                <w:szCs w:val="21"/>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9"/>
              </w:rPr>
              <w:t>Series B-1 12%</w:t>
            </w:r>
          </w:p>
        </w:tc>
        <w:tc>
          <w:tcPr>
            <w:tcW w:w="13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Series B-2 12%</w:t>
            </w:r>
          </w:p>
        </w:tc>
        <w:tc>
          <w:tcPr>
            <w:tcW w:w="1380" w:type="dxa"/>
            <w:vAlign w:val="bottom"/>
            <w:tcBorders>
              <w:right w:val="single" w:sz="8" w:color="auto"/>
            </w:tcBorders>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Series C Super</w:t>
            </w:r>
          </w:p>
        </w:tc>
        <w:tc>
          <w:tcPr>
            <w:tcW w:w="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Stockholders’ Deficit</w:t>
            </w: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84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380" w:type="dxa"/>
            <w:vAlign w:val="bottom"/>
            <w:tcBorders>
              <w:right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Redeemable</w:t>
            </w:r>
          </w:p>
        </w:tc>
        <w:tc>
          <w:tcPr>
            <w:tcW w:w="1380" w:type="dxa"/>
            <w:vAlign w:val="bottom"/>
            <w:tcBorders>
              <w:right w:val="single" w:sz="8" w:color="auto"/>
            </w:tcBorders>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Dividend</w:t>
            </w:r>
          </w:p>
        </w:tc>
        <w:tc>
          <w:tcPr>
            <w:tcW w:w="8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tcBorders>
              <w:right w:val="single" w:sz="8" w:color="auto"/>
            </w:tcBorders>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0" w:type="dxa"/>
            <w:vAlign w:val="bottom"/>
          </w:tcPr>
          <w:p>
            <w:pPr>
              <w:spacing w:after="0"/>
              <w:rPr>
                <w:sz w:val="12"/>
                <w:szCs w:val="12"/>
                <w:color w:val="auto"/>
              </w:rPr>
            </w:pPr>
          </w:p>
        </w:tc>
        <w:tc>
          <w:tcPr>
            <w:tcW w:w="13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4"/>
                <w:szCs w:val="14"/>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Preferred Stock</w:t>
            </w:r>
          </w:p>
        </w:tc>
        <w:tc>
          <w:tcPr>
            <w:tcW w:w="1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3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Preferred Stock</w:t>
            </w:r>
          </w:p>
        </w:tc>
        <w:tc>
          <w:tcPr>
            <w:tcW w:w="80" w:type="dxa"/>
            <w:vAlign w:val="bottom"/>
          </w:tcPr>
          <w:p>
            <w:pPr>
              <w:spacing w:after="0"/>
              <w:rPr>
                <w:sz w:val="14"/>
                <w:szCs w:val="14"/>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Preferred Stock</w:t>
            </w:r>
          </w:p>
        </w:tc>
        <w:tc>
          <w:tcPr>
            <w:tcW w:w="1620" w:type="dxa"/>
            <w:vAlign w:val="bottom"/>
            <w:gridSpan w:val="4"/>
          </w:tcPr>
          <w:p>
            <w:pPr>
              <w:ind w:left="260"/>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380" w:type="dxa"/>
            <w:vAlign w:val="bottom"/>
            <w:tcBorders>
              <w:right w:val="single" w:sz="8" w:color="auto"/>
            </w:tcBorders>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Development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4"/>
                <w:szCs w:val="14"/>
                <w:color w:val="auto"/>
              </w:rPr>
            </w:pPr>
          </w:p>
        </w:tc>
        <w:tc>
          <w:tcPr>
            <w:tcW w:w="132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1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1380" w:type="dxa"/>
            <w:vAlign w:val="bottom"/>
            <w:tcBorders>
              <w:righ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80" w:type="dxa"/>
            <w:vAlign w:val="bottom"/>
          </w:tcPr>
          <w:p>
            <w:pPr>
              <w:spacing w:after="0"/>
              <w:rPr>
                <w:sz w:val="14"/>
                <w:szCs w:val="14"/>
                <w:color w:val="auto"/>
              </w:rPr>
            </w:pPr>
          </w:p>
        </w:tc>
        <w:tc>
          <w:tcPr>
            <w:tcW w:w="132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74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Amount</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Capital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Stage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8"/>
        </w:trPr>
        <w:tc>
          <w:tcPr>
            <w:tcW w:w="18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Issuance of common</w:t>
            </w: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stock to investors 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August, 2004 private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placement (net of</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issuance costs of</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$485,000)</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60" w:type="dxa"/>
            <w:vAlign w:val="bottom"/>
            <w:gridSpan w:val="5"/>
          </w:tcPr>
          <w:p>
            <w:pPr>
              <w:spacing w:after="0"/>
              <w:rPr>
                <w:sz w:val="20"/>
                <w:szCs w:val="20"/>
                <w:color w:val="auto"/>
              </w:rPr>
            </w:pPr>
            <w:r>
              <w:rPr>
                <w:rFonts w:ascii="Arial" w:cs="Arial" w:eastAsia="Arial" w:hAnsi="Arial"/>
                <w:sz w:val="18"/>
                <w:szCs w:val="18"/>
                <w:color w:val="auto"/>
              </w:rPr>
              <w:t>Common stock issued in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tcPr>
          <w:p>
            <w:pPr>
              <w:ind w:left="220"/>
              <w:spacing w:after="0"/>
              <w:rPr>
                <w:sz w:val="20"/>
                <w:szCs w:val="20"/>
                <w:color w:val="auto"/>
              </w:rPr>
            </w:pPr>
            <w:r>
              <w:rPr>
                <w:rFonts w:ascii="Arial" w:cs="Arial" w:eastAsia="Arial" w:hAnsi="Arial"/>
                <w:sz w:val="18"/>
                <w:szCs w:val="18"/>
                <w:color w:val="auto"/>
              </w:rPr>
              <w:t>2006 related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tcPr>
          <w:p>
            <w:pPr>
              <w:ind w:left="220"/>
              <w:spacing w:after="0"/>
              <w:rPr>
                <w:sz w:val="20"/>
                <w:szCs w:val="20"/>
                <w:color w:val="auto"/>
              </w:rPr>
            </w:pPr>
            <w:r>
              <w:rPr>
                <w:rFonts w:ascii="Arial" w:cs="Arial" w:eastAsia="Arial" w:hAnsi="Arial"/>
                <w:sz w:val="18"/>
                <w:szCs w:val="18"/>
                <w:color w:val="auto"/>
              </w:rPr>
              <w:t>convertible debenture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gridSpan w:val="5"/>
          </w:tcPr>
          <w:p>
            <w:pPr>
              <w:ind w:left="220"/>
              <w:spacing w:after="0"/>
              <w:rPr>
                <w:sz w:val="20"/>
                <w:szCs w:val="20"/>
                <w:color w:val="auto"/>
              </w:rPr>
            </w:pPr>
            <w:r>
              <w:rPr>
                <w:rFonts w:ascii="Arial" w:cs="Arial" w:eastAsia="Arial" w:hAnsi="Arial"/>
                <w:sz w:val="18"/>
                <w:szCs w:val="18"/>
                <w:color w:val="auto"/>
              </w:rPr>
              <w:t>conversions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79,367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1,745</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Common stock issued 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2006 and 2007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related to convertible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debenture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redemptions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1,227,972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60" w:type="dxa"/>
            <w:vAlign w:val="bottom"/>
            <w:gridSpan w:val="5"/>
          </w:tcPr>
          <w:p>
            <w:pPr>
              <w:spacing w:after="0"/>
              <w:rPr>
                <w:sz w:val="20"/>
                <w:szCs w:val="20"/>
                <w:color w:val="auto"/>
              </w:rPr>
            </w:pPr>
            <w:r>
              <w:rPr>
                <w:rFonts w:ascii="Arial" w:cs="Arial" w:eastAsia="Arial" w:hAnsi="Arial"/>
                <w:sz w:val="18"/>
                <w:szCs w:val="18"/>
                <w:color w:val="auto"/>
              </w:rPr>
              <w:t>Common stock issued in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tcPr>
          <w:p>
            <w:pPr>
              <w:ind w:left="220"/>
              <w:spacing w:after="0"/>
              <w:rPr>
                <w:sz w:val="20"/>
                <w:szCs w:val="20"/>
                <w:color w:val="auto"/>
              </w:rPr>
            </w:pPr>
            <w:r>
              <w:rPr>
                <w:rFonts w:ascii="Arial" w:cs="Arial" w:eastAsia="Arial" w:hAnsi="Arial"/>
                <w:sz w:val="18"/>
                <w:szCs w:val="18"/>
                <w:color w:val="auto"/>
              </w:rPr>
              <w:t>2007 related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tcPr>
          <w:p>
            <w:pPr>
              <w:ind w:left="220"/>
              <w:spacing w:after="0"/>
              <w:rPr>
                <w:sz w:val="20"/>
                <w:szCs w:val="20"/>
                <w:color w:val="auto"/>
              </w:rPr>
            </w:pPr>
            <w:r>
              <w:rPr>
                <w:rFonts w:ascii="Arial" w:cs="Arial" w:eastAsia="Arial" w:hAnsi="Arial"/>
                <w:sz w:val="18"/>
                <w:szCs w:val="18"/>
                <w:color w:val="auto"/>
              </w:rPr>
              <w:t>convertible debenture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5"/>
          </w:tcPr>
          <w:p>
            <w:pPr>
              <w:ind w:left="220"/>
              <w:spacing w:after="0"/>
              <w:rPr>
                <w:sz w:val="20"/>
                <w:szCs w:val="20"/>
                <w:color w:val="auto"/>
              </w:rPr>
            </w:pPr>
            <w:r>
              <w:rPr>
                <w:rFonts w:ascii="Arial" w:cs="Arial" w:eastAsia="Arial" w:hAnsi="Arial"/>
                <w:sz w:val="18"/>
                <w:szCs w:val="18"/>
                <w:color w:val="auto"/>
              </w:rPr>
              <w:t>waiver and exchange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60" w:type="dxa"/>
            <w:vAlign w:val="bottom"/>
            <w:gridSpan w:val="5"/>
          </w:tcPr>
          <w:p>
            <w:pPr>
              <w:ind w:left="220"/>
              <w:spacing w:after="0"/>
              <w:rPr>
                <w:sz w:val="20"/>
                <w:szCs w:val="20"/>
                <w:color w:val="auto"/>
              </w:rPr>
            </w:pPr>
            <w:r>
              <w:rPr>
                <w:rFonts w:ascii="Arial" w:cs="Arial" w:eastAsia="Arial" w:hAnsi="Arial"/>
                <w:sz w:val="18"/>
                <w:szCs w:val="18"/>
                <w:color w:val="auto"/>
              </w:rPr>
              <w:t>agreement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867,558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5,329</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F-8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00" w:type="dxa"/>
            <w:vAlign w:val="bottom"/>
          </w:tcPr>
          <w:p>
            <w:pPr>
              <w:spacing w:after="0"/>
              <w:rPr>
                <w:sz w:val="21"/>
                <w:szCs w:val="21"/>
                <w:color w:val="auto"/>
              </w:rPr>
            </w:pPr>
          </w:p>
        </w:tc>
        <w:tc>
          <w:tcPr>
            <w:tcW w:w="12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7"/>
              </w:rPr>
              <w:t>Series B-1 12%</w:t>
            </w:r>
          </w:p>
        </w:tc>
        <w:tc>
          <w:tcPr>
            <w:tcW w:w="12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Series B-2 12%</w:t>
            </w: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Series C Super</w:t>
            </w: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Stockholders’ Deficit</w:t>
            </w: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0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2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Dividend</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Preferred Stock</w:t>
            </w: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Preferred Stock</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Preferred Stock</w:t>
            </w: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Deficit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During the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2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122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Shares   Amount</w:t>
            </w:r>
          </w:p>
        </w:tc>
        <w:tc>
          <w:tcPr>
            <w:tcW w:w="124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Shares   Amount</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w w:val="93"/>
              </w:rPr>
              <w:t>Shares   Amount</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Stage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8"/>
        </w:trPr>
        <w:tc>
          <w:tcPr>
            <w:tcW w:w="1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Series A 12%</w:t>
            </w: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Convertible Preferred</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Stock issued in a</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February 4, 2008</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private placement (net</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of cash issuance costs</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of $52,000)</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1,742,500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8"/>
        </w:trPr>
        <w:tc>
          <w:tcPr>
            <w:tcW w:w="3120" w:type="dxa"/>
            <w:vAlign w:val="bottom"/>
            <w:gridSpan w:val="5"/>
          </w:tcPr>
          <w:p>
            <w:pPr>
              <w:spacing w:after="0"/>
              <w:rPr>
                <w:sz w:val="20"/>
                <w:szCs w:val="20"/>
                <w:color w:val="auto"/>
              </w:rPr>
            </w:pPr>
            <w:r>
              <w:rPr>
                <w:rFonts w:ascii="Arial" w:cs="Arial" w:eastAsia="Arial" w:hAnsi="Arial"/>
                <w:sz w:val="18"/>
                <w:szCs w:val="18"/>
                <w:color w:val="auto"/>
              </w:rPr>
              <w:t>Common stock issued in</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a February 25, 2008</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offering (net of cash</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issuance costs of</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ind w:left="220"/>
              <w:spacing w:after="0"/>
              <w:rPr>
                <w:sz w:val="20"/>
                <w:szCs w:val="20"/>
                <w:color w:val="auto"/>
              </w:rPr>
            </w:pPr>
            <w:r>
              <w:rPr>
                <w:rFonts w:ascii="Arial" w:cs="Arial" w:eastAsia="Arial" w:hAnsi="Arial"/>
                <w:sz w:val="18"/>
                <w:szCs w:val="18"/>
                <w:color w:val="auto"/>
              </w:rPr>
              <w:t>$369,000)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1,250,000</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0"/>
        </w:trPr>
        <w:tc>
          <w:tcPr>
            <w:tcW w:w="3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common</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stock in payment of</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Series A 12%</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Convertible Preferred</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Dividend</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160,330</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8"/>
        </w:trPr>
        <w:tc>
          <w:tcPr>
            <w:tcW w:w="3120" w:type="dxa"/>
            <w:vAlign w:val="bottom"/>
            <w:gridSpan w:val="5"/>
          </w:tcPr>
          <w:p>
            <w:pPr>
              <w:spacing w:after="0"/>
              <w:rPr>
                <w:sz w:val="20"/>
                <w:szCs w:val="20"/>
                <w:color w:val="auto"/>
              </w:rPr>
            </w:pPr>
            <w:r>
              <w:rPr>
                <w:rFonts w:ascii="Arial" w:cs="Arial" w:eastAsia="Arial" w:hAnsi="Arial"/>
                <w:sz w:val="18"/>
                <w:szCs w:val="18"/>
                <w:color w:val="auto"/>
              </w:rPr>
              <w:t>Issuance of Common</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Stock Warrants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3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Reclassification of</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Warrant Liabilities</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08"/>
        </w:trPr>
        <w:tc>
          <w:tcPr>
            <w:tcW w:w="3120" w:type="dxa"/>
            <w:vAlign w:val="bottom"/>
            <w:gridSpan w:val="5"/>
          </w:tcPr>
          <w:p>
            <w:pPr>
              <w:spacing w:after="0"/>
              <w:rPr>
                <w:sz w:val="20"/>
                <w:szCs w:val="20"/>
                <w:color w:val="auto"/>
              </w:rPr>
            </w:pPr>
            <w:r>
              <w:rPr>
                <w:rFonts w:ascii="Arial" w:cs="Arial" w:eastAsia="Arial" w:hAnsi="Arial"/>
                <w:sz w:val="18"/>
                <w:szCs w:val="18"/>
                <w:color w:val="auto"/>
              </w:rPr>
              <w:t>Deferred compensation</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relating to issuance of</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stock options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363"/>
        </w:trPr>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8"/>
                <w:szCs w:val="18"/>
                <w:color w:val="auto"/>
              </w:rPr>
              <w:t>F-9</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Pr>
          <w:p>
            <w:pPr>
              <w:spacing w:after="0"/>
              <w:rPr>
                <w:sz w:val="21"/>
                <w:szCs w:val="21"/>
                <w:color w:val="auto"/>
              </w:rPr>
            </w:pPr>
          </w:p>
        </w:tc>
        <w:tc>
          <w:tcPr>
            <w:tcW w:w="14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7"/>
              </w:rPr>
              <w:t>Series B-1 12%</w:t>
            </w:r>
          </w:p>
        </w:tc>
        <w:tc>
          <w:tcPr>
            <w:tcW w:w="12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7"/>
              </w:rPr>
              <w:t>Series B-2 12%</w:t>
            </w:r>
          </w:p>
        </w:tc>
        <w:tc>
          <w:tcPr>
            <w:tcW w:w="1340" w:type="dxa"/>
            <w:vAlign w:val="bottom"/>
            <w:tcBorders>
              <w:right w:val="single" w:sz="8" w:color="auto"/>
            </w:tcBorders>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Series C Super</w:t>
            </w:r>
          </w:p>
        </w:tc>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7"/>
              </w:rPr>
              <w:t>Stockholders’ Deficit</w:t>
            </w:r>
          </w:p>
        </w:tc>
        <w:tc>
          <w:tcPr>
            <w:tcW w:w="7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34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4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2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40" w:type="dxa"/>
            <w:vAlign w:val="bottom"/>
            <w:tcBorders>
              <w:right w:val="single" w:sz="8" w:color="auto"/>
            </w:tcBorders>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Dividend</w:t>
            </w:r>
          </w:p>
        </w:tc>
        <w:tc>
          <w:tcPr>
            <w:tcW w:w="40" w:type="dxa"/>
            <w:vAlign w:val="bottom"/>
          </w:tcPr>
          <w:p>
            <w:pPr>
              <w:spacing w:after="0"/>
              <w:rPr>
                <w:sz w:val="12"/>
                <w:szCs w:val="12"/>
                <w:color w:val="auto"/>
              </w:rPr>
            </w:pPr>
          </w:p>
        </w:tc>
        <w:tc>
          <w:tcPr>
            <w:tcW w:w="12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4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40" w:type="dxa"/>
            <w:vAlign w:val="bottom"/>
            <w:tcBorders>
              <w:right w:val="single" w:sz="8" w:color="auto"/>
            </w:tcBorders>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40" w:type="dxa"/>
            <w:vAlign w:val="bottom"/>
          </w:tcPr>
          <w:p>
            <w:pPr>
              <w:spacing w:after="0"/>
              <w:rPr>
                <w:sz w:val="12"/>
                <w:szCs w:val="12"/>
                <w:color w:val="auto"/>
              </w:rPr>
            </w:pP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14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Preferred Stock</w:t>
            </w: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134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Preferred Stock</w:t>
            </w:r>
          </w:p>
        </w:tc>
        <w:tc>
          <w:tcPr>
            <w:tcW w:w="4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214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340" w:type="dxa"/>
            <w:vAlign w:val="bottom"/>
            <w:tcBorders>
              <w:right w:val="single" w:sz="8" w:color="auto"/>
            </w:tcBorders>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2"/>
                <w:szCs w:val="12"/>
                <w:color w:val="auto"/>
              </w:rPr>
            </w:pP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1340" w:type="dxa"/>
            <w:vAlign w:val="bottom"/>
            <w:tcBorders>
              <w:righ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4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5"/>
              </w:rPr>
              <w:t>Amount   Capital</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Stage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8"/>
        </w:trPr>
        <w:tc>
          <w:tcPr>
            <w:tcW w:w="20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Stock compensation</w:t>
            </w: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related to fair</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 revaluation</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20"/>
                <w:szCs w:val="20"/>
                <w:color w:val="auto"/>
              </w:rPr>
            </w:pPr>
            <w:r>
              <w:rPr>
                <w:rFonts w:ascii="Arial" w:cs="Arial" w:eastAsia="Arial" w:hAnsi="Arial"/>
                <w:sz w:val="18"/>
                <w:szCs w:val="18"/>
                <w:color w:val="auto"/>
                <w:w w:val="95"/>
              </w:rPr>
              <w:t>Stock based compensation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tcPr>
          <w:p>
            <w:pPr>
              <w:ind w:left="220"/>
              <w:spacing w:after="0"/>
              <w:rPr>
                <w:sz w:val="20"/>
                <w:szCs w:val="20"/>
                <w:color w:val="auto"/>
              </w:rPr>
            </w:pPr>
            <w:r>
              <w:rPr>
                <w:rFonts w:ascii="Arial" w:cs="Arial" w:eastAsia="Arial" w:hAnsi="Arial"/>
                <w:sz w:val="18"/>
                <w:szCs w:val="18"/>
                <w:color w:val="auto"/>
              </w:rPr>
              <w:t>expense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gridSpan w:val="5"/>
          </w:tcPr>
          <w:p>
            <w:pPr>
              <w:jc w:val="right"/>
              <w:ind w:right="160"/>
              <w:spacing w:after="0"/>
              <w:rPr>
                <w:sz w:val="20"/>
                <w:szCs w:val="20"/>
                <w:color w:val="auto"/>
              </w:rPr>
            </w:pPr>
            <w:r>
              <w:rPr>
                <w:rFonts w:ascii="Arial" w:cs="Arial" w:eastAsia="Arial" w:hAnsi="Arial"/>
                <w:sz w:val="18"/>
                <w:szCs w:val="18"/>
                <w:color w:val="auto"/>
              </w:rPr>
              <w:t>11,635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2"/>
              </w:rPr>
              <w:t>Stock compensation related</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the issuance of</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12,515</w:t>
            </w:r>
          </w:p>
        </w:tc>
        <w:tc>
          <w:tcPr>
            <w:tcW w:w="14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20"/>
                <w:szCs w:val="20"/>
                <w:color w:val="auto"/>
              </w:rPr>
            </w:pPr>
            <w:r>
              <w:rPr>
                <w:rFonts w:ascii="Arial" w:cs="Arial" w:eastAsia="Arial" w:hAnsi="Arial"/>
                <w:sz w:val="18"/>
                <w:szCs w:val="18"/>
                <w:color w:val="auto"/>
              </w:rPr>
              <w:t>Cumulative effect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20"/>
              <w:spacing w:after="0"/>
              <w:rPr>
                <w:sz w:val="20"/>
                <w:szCs w:val="20"/>
                <w:color w:val="auto"/>
              </w:rPr>
            </w:pPr>
            <w:r>
              <w:rPr>
                <w:rFonts w:ascii="Arial" w:cs="Arial" w:eastAsia="Arial" w:hAnsi="Arial"/>
                <w:sz w:val="18"/>
                <w:szCs w:val="18"/>
                <w:color w:val="auto"/>
              </w:rPr>
              <w:t>adoption of new</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tcPr>
          <w:p>
            <w:pPr>
              <w:ind w:left="220"/>
              <w:spacing w:after="0"/>
              <w:rPr>
                <w:sz w:val="20"/>
                <w:szCs w:val="20"/>
                <w:color w:val="auto"/>
              </w:rPr>
            </w:pPr>
            <w:r>
              <w:rPr>
                <w:rFonts w:ascii="Arial" w:cs="Arial" w:eastAsia="Arial" w:hAnsi="Arial"/>
                <w:sz w:val="18"/>
                <w:szCs w:val="18"/>
                <w:color w:val="auto"/>
              </w:rPr>
              <w:t>accounting principle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(458)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redeemable convertible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and</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warrants, net of issuance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of $300,000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900,000</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1,105</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20"/>
                <w:szCs w:val="20"/>
                <w:color w:val="auto"/>
              </w:rPr>
            </w:pPr>
            <w:r>
              <w:rPr>
                <w:rFonts w:ascii="Arial" w:cs="Arial" w:eastAsia="Arial" w:hAnsi="Arial"/>
                <w:sz w:val="18"/>
                <w:szCs w:val="18"/>
                <w:color w:val="auto"/>
              </w:rPr>
              <w:t>Accretion of Series B-1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20"/>
              <w:spacing w:after="0"/>
              <w:rPr>
                <w:sz w:val="20"/>
                <w:szCs w:val="20"/>
                <w:color w:val="auto"/>
              </w:rPr>
            </w:pPr>
            <w:r>
              <w:rPr>
                <w:rFonts w:ascii="Arial" w:cs="Arial" w:eastAsia="Arial" w:hAnsi="Arial"/>
                <w:sz w:val="18"/>
                <w:szCs w:val="18"/>
                <w:color w:val="auto"/>
                <w:w w:val="98"/>
              </w:rPr>
              <w:t>redeemable convertible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20"/>
              <w:spacing w:after="0"/>
              <w:rPr>
                <w:sz w:val="20"/>
                <w:szCs w:val="20"/>
                <w:color w:val="auto"/>
              </w:rPr>
            </w:pPr>
            <w:r>
              <w:rPr>
                <w:rFonts w:ascii="Arial" w:cs="Arial" w:eastAsia="Arial" w:hAnsi="Arial"/>
                <w:sz w:val="18"/>
                <w:szCs w:val="18"/>
                <w:color w:val="auto"/>
              </w:rPr>
              <w:t>preferred stock to</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20"/>
              <w:spacing w:after="0"/>
              <w:rPr>
                <w:sz w:val="20"/>
                <w:szCs w:val="20"/>
                <w:color w:val="auto"/>
              </w:rPr>
            </w:pPr>
            <w:r>
              <w:rPr>
                <w:rFonts w:ascii="Arial" w:cs="Arial" w:eastAsia="Arial" w:hAnsi="Arial"/>
                <w:sz w:val="18"/>
                <w:szCs w:val="18"/>
                <w:color w:val="auto"/>
              </w:rPr>
              <w:t>redemption value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1,303</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363"/>
        </w:trPr>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8"/>
                <w:szCs w:val="18"/>
                <w:color w:val="auto"/>
              </w:rPr>
              <w:t>F-10</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80" w:type="dxa"/>
            <w:vAlign w:val="bottom"/>
          </w:tcPr>
          <w:p>
            <w:pPr>
              <w:spacing w:after="0"/>
              <w:rPr>
                <w:sz w:val="21"/>
                <w:szCs w:val="21"/>
                <w:color w:val="auto"/>
              </w:rPr>
            </w:pPr>
          </w:p>
        </w:tc>
        <w:tc>
          <w:tcPr>
            <w:tcW w:w="12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Series B-1 12%</w:t>
            </w:r>
          </w:p>
        </w:tc>
        <w:tc>
          <w:tcPr>
            <w:tcW w:w="15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7"/>
              </w:rPr>
              <w:t>Series B-2 12%</w:t>
            </w:r>
          </w:p>
        </w:tc>
        <w:tc>
          <w:tcPr>
            <w:tcW w:w="1560" w:type="dxa"/>
            <w:vAlign w:val="bottom"/>
            <w:tcBorders>
              <w:right w:val="single" w:sz="8" w:color="auto"/>
            </w:tcBorders>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6"/>
              </w:rPr>
              <w:t>Series C Super</w:t>
            </w:r>
          </w:p>
        </w:tc>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Stockholders’ Deficit</w:t>
            </w: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156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5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560" w:type="dxa"/>
            <w:vAlign w:val="bottom"/>
            <w:tcBorders>
              <w:right w:val="single" w:sz="8" w:color="auto"/>
            </w:tcBorders>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Dividend</w:t>
            </w:r>
          </w:p>
        </w:tc>
        <w:tc>
          <w:tcPr>
            <w:tcW w:w="40" w:type="dxa"/>
            <w:vAlign w:val="bottom"/>
          </w:tcPr>
          <w:p>
            <w:pPr>
              <w:spacing w:after="0"/>
              <w:rPr>
                <w:sz w:val="12"/>
                <w:szCs w:val="12"/>
                <w:color w:val="auto"/>
              </w:rPr>
            </w:pPr>
          </w:p>
        </w:tc>
        <w:tc>
          <w:tcPr>
            <w:tcW w:w="12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560" w:type="dxa"/>
            <w:vAlign w:val="bottom"/>
            <w:tcBorders>
              <w:right w:val="single" w:sz="8" w:color="auto"/>
            </w:tcBorders>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0" w:type="dxa"/>
            <w:vAlign w:val="bottom"/>
          </w:tcPr>
          <w:p>
            <w:pPr>
              <w:spacing w:after="0"/>
              <w:rPr>
                <w:sz w:val="12"/>
                <w:szCs w:val="12"/>
                <w:color w:val="auto"/>
              </w:rPr>
            </w:pP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Preferred Stock</w:t>
            </w:r>
          </w:p>
        </w:tc>
        <w:tc>
          <w:tcPr>
            <w:tcW w:w="1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Preferred Stock</w:t>
            </w:r>
          </w:p>
        </w:tc>
        <w:tc>
          <w:tcPr>
            <w:tcW w:w="156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8"/>
              </w:rPr>
              <w:t>Preferred Stock</w:t>
            </w:r>
          </w:p>
        </w:tc>
        <w:tc>
          <w:tcPr>
            <w:tcW w:w="4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2140" w:type="dxa"/>
            <w:vAlign w:val="bottom"/>
            <w:gridSpan w:val="6"/>
          </w:tcPr>
          <w:p>
            <w:pPr>
              <w:ind w:left="20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Number of</w:t>
            </w:r>
          </w:p>
        </w:tc>
        <w:tc>
          <w:tcPr>
            <w:tcW w:w="5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2"/>
              </w:rPr>
              <w:t>Development Stockholders’</w:t>
            </w: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124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Shares   Amount</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Amount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640" w:type="dxa"/>
            <w:vAlign w:val="bottom"/>
          </w:tcPr>
          <w:p>
            <w:pPr>
              <w:jc w:val="right"/>
              <w:ind w:right="6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5"/>
              </w:rPr>
              <w:t>Amount   Capital</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Stage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8"/>
        </w:trPr>
        <w:tc>
          <w:tcPr>
            <w:tcW w:w="18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Issuance of Series B-2</w:t>
            </w: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redeemable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convertible preferred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stock and warrants,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net of issuance costs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of $188,000</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2,100,000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20" w:type="dxa"/>
            <w:vAlign w:val="bottom"/>
            <w:gridSpan w:val="5"/>
          </w:tcPr>
          <w:p>
            <w:pPr>
              <w:spacing w:after="0"/>
              <w:rPr>
                <w:sz w:val="20"/>
                <w:szCs w:val="20"/>
                <w:color w:val="auto"/>
              </w:rPr>
            </w:pPr>
            <w:r>
              <w:rPr>
                <w:rFonts w:ascii="Arial" w:cs="Arial" w:eastAsia="Arial" w:hAnsi="Arial"/>
                <w:sz w:val="18"/>
                <w:szCs w:val="18"/>
                <w:color w:val="auto"/>
              </w:rPr>
              <w:t>Beneficial conversion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feature recognized 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issuance of series B-2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redeemable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convertible preferred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(1,016)</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Series C</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super dividend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convertible preferred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stock, net of issuance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costs of $47,000</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120" w:type="dxa"/>
            <w:vAlign w:val="bottom"/>
            <w:gridSpan w:val="5"/>
          </w:tcPr>
          <w:p>
            <w:pPr>
              <w:spacing w:after="0"/>
              <w:rPr>
                <w:sz w:val="20"/>
                <w:szCs w:val="20"/>
                <w:color w:val="auto"/>
              </w:rPr>
            </w:pPr>
            <w:r>
              <w:rPr>
                <w:rFonts w:ascii="Arial" w:cs="Arial" w:eastAsia="Arial" w:hAnsi="Arial"/>
                <w:sz w:val="18"/>
                <w:szCs w:val="18"/>
                <w:color w:val="auto"/>
              </w:rPr>
              <w:t>Conversion of Series C</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super dividend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convertible preferred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stock to common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gridSpan w:val="5"/>
          </w:tcPr>
          <w:p>
            <w:pPr>
              <w:ind w:left="220"/>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7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8,334</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color w:val="auto"/>
              </w:rPr>
              <w:t>F-11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60" w:type="dxa"/>
            <w:vAlign w:val="bottom"/>
          </w:tcPr>
          <w:p>
            <w:pPr>
              <w:spacing w:after="0"/>
              <w:rPr>
                <w:sz w:val="21"/>
                <w:szCs w:val="21"/>
                <w:color w:val="auto"/>
              </w:rPr>
            </w:pPr>
          </w:p>
        </w:tc>
        <w:tc>
          <w:tcPr>
            <w:tcW w:w="12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Series B-1 12%</w:t>
            </w:r>
          </w:p>
        </w:tc>
        <w:tc>
          <w:tcPr>
            <w:tcW w:w="13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7"/>
              </w:rPr>
              <w:t>Series B-2 12%</w:t>
            </w:r>
          </w:p>
        </w:tc>
        <w:tc>
          <w:tcPr>
            <w:tcW w:w="1340" w:type="dxa"/>
            <w:vAlign w:val="bottom"/>
            <w:tcBorders>
              <w:right w:val="single" w:sz="8" w:color="auto"/>
            </w:tcBorders>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Series C Super</w:t>
            </w:r>
          </w:p>
        </w:tc>
        <w:tc>
          <w:tcPr>
            <w:tcW w:w="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0"/>
              </w:rPr>
              <w:t>Stockholders’ Deficit</w:t>
            </w:r>
          </w:p>
        </w:tc>
        <w:tc>
          <w:tcPr>
            <w:tcW w:w="7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6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340" w:type="dxa"/>
            <w:vAlign w:val="bottom"/>
            <w:tcBorders>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40" w:type="dxa"/>
            <w:vAlign w:val="bottom"/>
            <w:tcBorders>
              <w:right w:val="single" w:sz="8" w:color="auto"/>
            </w:tcBorders>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Dividend</w:t>
            </w:r>
          </w:p>
        </w:tc>
        <w:tc>
          <w:tcPr>
            <w:tcW w:w="60" w:type="dxa"/>
            <w:vAlign w:val="bottom"/>
          </w:tcPr>
          <w:p>
            <w:pPr>
              <w:spacing w:after="0"/>
              <w:rPr>
                <w:sz w:val="12"/>
                <w:szCs w:val="12"/>
                <w:color w:val="auto"/>
              </w:rPr>
            </w:pPr>
          </w:p>
        </w:tc>
        <w:tc>
          <w:tcPr>
            <w:tcW w:w="12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40" w:type="dxa"/>
            <w:vAlign w:val="bottom"/>
            <w:tcBorders>
              <w:right w:val="single" w:sz="8" w:color="auto"/>
            </w:tcBorders>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0" w:type="dxa"/>
            <w:vAlign w:val="bottom"/>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Preferred Stock</w:t>
            </w: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Preferred Stock</w:t>
            </w:r>
          </w:p>
        </w:tc>
        <w:tc>
          <w:tcPr>
            <w:tcW w:w="134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14"/>
                <w:szCs w:val="1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Preferred Stock</w:t>
            </w: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3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340" w:type="dxa"/>
            <w:vAlign w:val="bottom"/>
            <w:tcBorders>
              <w:right w:val="single" w:sz="8" w:color="auto"/>
            </w:tcBorders>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124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Shares   Amount</w:t>
            </w:r>
          </w:p>
        </w:tc>
        <w:tc>
          <w:tcPr>
            <w:tcW w:w="1360" w:type="dxa"/>
            <w:vAlign w:val="bottom"/>
            <w:gridSpan w:val="4"/>
          </w:tcPr>
          <w:p>
            <w:pPr>
              <w:ind w:left="140"/>
              <w:spacing w:after="0"/>
              <w:rPr>
                <w:sz w:val="20"/>
                <w:szCs w:val="20"/>
                <w:color w:val="auto"/>
              </w:rPr>
            </w:pPr>
            <w:r>
              <w:rPr>
                <w:rFonts w:ascii="Arial" w:cs="Arial" w:eastAsia="Arial" w:hAnsi="Arial"/>
                <w:sz w:val="14"/>
                <w:szCs w:val="14"/>
                <w:b w:val="1"/>
                <w:bCs w:val="1"/>
                <w:color w:val="auto"/>
              </w:rPr>
              <w:t>Shares   Amount</w:t>
            </w:r>
          </w:p>
        </w:tc>
        <w:tc>
          <w:tcPr>
            <w:tcW w:w="1340" w:type="dxa"/>
            <w:vAlign w:val="bottom"/>
            <w:tcBorders>
              <w:righ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60" w:type="dxa"/>
            <w:vAlign w:val="bottom"/>
          </w:tcPr>
          <w:p>
            <w:pPr>
              <w:spacing w:after="0"/>
              <w:rPr>
                <w:sz w:val="14"/>
                <w:szCs w:val="14"/>
                <w:color w:val="auto"/>
              </w:rPr>
            </w:pPr>
          </w:p>
        </w:tc>
        <w:tc>
          <w:tcPr>
            <w:tcW w:w="124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Shares   Amount</w:t>
            </w:r>
          </w:p>
        </w:tc>
        <w:tc>
          <w:tcPr>
            <w:tcW w:w="76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Stage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8"/>
        </w:trPr>
        <w:tc>
          <w:tcPr>
            <w:tcW w:w="19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Accretion of Series B-2</w:t>
            </w: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redeemable convertible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preferred stock to</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redemption value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08"/>
        </w:trPr>
        <w:tc>
          <w:tcPr>
            <w:tcW w:w="3200" w:type="dxa"/>
            <w:vAlign w:val="bottom"/>
            <w:gridSpan w:val="5"/>
          </w:tcPr>
          <w:p>
            <w:pPr>
              <w:spacing w:after="0"/>
              <w:rPr>
                <w:sz w:val="20"/>
                <w:szCs w:val="20"/>
                <w:color w:val="auto"/>
              </w:rPr>
            </w:pPr>
            <w:r>
              <w:rPr>
                <w:rFonts w:ascii="Arial" w:cs="Arial" w:eastAsia="Arial" w:hAnsi="Arial"/>
                <w:sz w:val="18"/>
                <w:szCs w:val="18"/>
                <w:color w:val="auto"/>
              </w:rPr>
              <w:t>Series B-1 12%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tcPr>
          <w:p>
            <w:pPr>
              <w:ind w:left="220"/>
              <w:spacing w:after="0"/>
              <w:rPr>
                <w:sz w:val="20"/>
                <w:szCs w:val="20"/>
                <w:color w:val="auto"/>
              </w:rPr>
            </w:pPr>
            <w:r>
              <w:rPr>
                <w:rFonts w:ascii="Arial" w:cs="Arial" w:eastAsia="Arial" w:hAnsi="Arial"/>
                <w:sz w:val="18"/>
                <w:szCs w:val="18"/>
                <w:color w:val="auto"/>
              </w:rPr>
              <w:t>redeemable convertible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tcPr>
          <w:p>
            <w:pPr>
              <w:ind w:left="220"/>
              <w:spacing w:after="0"/>
              <w:rPr>
                <w:sz w:val="20"/>
                <w:szCs w:val="20"/>
                <w:color w:val="auto"/>
              </w:rPr>
            </w:pPr>
            <w:r>
              <w:rPr>
                <w:rFonts w:ascii="Arial" w:cs="Arial" w:eastAsia="Arial" w:hAnsi="Arial"/>
                <w:sz w:val="18"/>
                <w:szCs w:val="18"/>
                <w:color w:val="auto"/>
              </w:rPr>
              <w:t>preferred stock</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5"/>
          </w:tcPr>
          <w:p>
            <w:pPr>
              <w:ind w:left="220"/>
              <w:spacing w:after="0"/>
              <w:rPr>
                <w:sz w:val="20"/>
                <w:szCs w:val="20"/>
                <w:color w:val="auto"/>
              </w:rPr>
            </w:pPr>
            <w:r>
              <w:rPr>
                <w:rFonts w:ascii="Arial" w:cs="Arial" w:eastAsia="Arial" w:hAnsi="Arial"/>
                <w:sz w:val="18"/>
                <w:szCs w:val="18"/>
                <w:color w:val="auto"/>
              </w:rPr>
              <w:t>dividend</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298,807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1,034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B-2 12%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redeemable convertible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dividend</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568,721</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00" w:type="dxa"/>
            <w:vAlign w:val="bottom"/>
            <w:gridSpan w:val="5"/>
          </w:tcPr>
          <w:p>
            <w:pPr>
              <w:spacing w:after="0"/>
              <w:rPr>
                <w:sz w:val="20"/>
                <w:szCs w:val="20"/>
                <w:color w:val="auto"/>
              </w:rPr>
            </w:pPr>
            <w:r>
              <w:rPr>
                <w:rFonts w:ascii="Arial" w:cs="Arial" w:eastAsia="Arial" w:hAnsi="Arial"/>
                <w:sz w:val="18"/>
                <w:szCs w:val="18"/>
                <w:color w:val="auto"/>
              </w:rPr>
              <w:t>Series C super dividend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tcPr>
          <w:p>
            <w:pPr>
              <w:ind w:left="220"/>
              <w:spacing w:after="0"/>
              <w:rPr>
                <w:sz w:val="20"/>
                <w:szCs w:val="20"/>
                <w:color w:val="auto"/>
              </w:rPr>
            </w:pPr>
            <w:r>
              <w:rPr>
                <w:rFonts w:ascii="Arial" w:cs="Arial" w:eastAsia="Arial" w:hAnsi="Arial"/>
                <w:sz w:val="18"/>
                <w:szCs w:val="18"/>
                <w:color w:val="auto"/>
              </w:rPr>
              <w:t>convertible preferred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5"/>
          </w:tcPr>
          <w:p>
            <w:pPr>
              <w:ind w:left="220"/>
              <w:spacing w:after="0"/>
              <w:rPr>
                <w:sz w:val="20"/>
                <w:szCs w:val="20"/>
                <w:color w:val="auto"/>
              </w:rPr>
            </w:pPr>
            <w:r>
              <w:rPr>
                <w:rFonts w:ascii="Arial" w:cs="Arial" w:eastAsia="Arial" w:hAnsi="Arial"/>
                <w:sz w:val="18"/>
                <w:szCs w:val="18"/>
                <w:color w:val="auto"/>
              </w:rPr>
              <w:t>stock dividend</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63,119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3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of beneficial</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conversion feature for</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Series B-2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8"/>
        </w:trPr>
        <w:tc>
          <w:tcPr>
            <w:tcW w:w="3200" w:type="dxa"/>
            <w:vAlign w:val="bottom"/>
            <w:gridSpan w:val="5"/>
          </w:tcPr>
          <w:p>
            <w:pPr>
              <w:spacing w:after="0"/>
              <w:rPr>
                <w:sz w:val="20"/>
                <w:szCs w:val="20"/>
                <w:color w:val="auto"/>
              </w:rPr>
            </w:pPr>
            <w:r>
              <w:rPr>
                <w:rFonts w:ascii="Arial" w:cs="Arial" w:eastAsia="Arial" w:hAnsi="Arial"/>
                <w:sz w:val="18"/>
                <w:szCs w:val="18"/>
                <w:color w:val="auto"/>
              </w:rPr>
              <w:t>Issuance of restricted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5"/>
          </w:tcPr>
          <w:p>
            <w:pPr>
              <w:ind w:left="220"/>
              <w:spacing w:after="0"/>
              <w:rPr>
                <w:sz w:val="20"/>
                <w:szCs w:val="20"/>
                <w:color w:val="auto"/>
              </w:rPr>
            </w:pPr>
            <w:r>
              <w:rPr>
                <w:rFonts w:ascii="Arial" w:cs="Arial" w:eastAsia="Arial" w:hAnsi="Arial"/>
                <w:sz w:val="18"/>
                <w:szCs w:val="18"/>
                <w:color w:val="auto"/>
              </w:rPr>
              <w:t>common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454,167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upon exercise of</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3,419,570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14,304</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14,307</w:t>
            </w:r>
          </w:p>
        </w:tc>
        <w:tc>
          <w:tcPr>
            <w:tcW w:w="0" w:type="dxa"/>
            <w:vAlign w:val="bottom"/>
          </w:tcPr>
          <w:p>
            <w:pPr>
              <w:spacing w:after="0"/>
              <w:rPr>
                <w:sz w:val="1"/>
                <w:szCs w:val="1"/>
                <w:color w:val="auto"/>
              </w:rPr>
            </w:pPr>
          </w:p>
        </w:tc>
      </w:tr>
      <w:tr>
        <w:trPr>
          <w:trHeight w:val="363"/>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ind w:left="280"/>
              <w:spacing w:after="0"/>
              <w:rPr>
                <w:sz w:val="20"/>
                <w:szCs w:val="20"/>
                <w:color w:val="auto"/>
              </w:rPr>
            </w:pPr>
            <w:r>
              <w:rPr>
                <w:rFonts w:ascii="Arial" w:cs="Arial" w:eastAsia="Arial" w:hAnsi="Arial"/>
                <w:sz w:val="18"/>
                <w:szCs w:val="18"/>
                <w:color w:val="auto"/>
              </w:rPr>
              <w:t>F-12</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Period From Inception (July 10, 2000) to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00" w:type="dxa"/>
            <w:vAlign w:val="bottom"/>
          </w:tcPr>
          <w:p>
            <w:pPr>
              <w:spacing w:after="0"/>
              <w:rPr>
                <w:sz w:val="21"/>
                <w:szCs w:val="21"/>
                <w:color w:val="auto"/>
              </w:rPr>
            </w:pPr>
          </w:p>
        </w:tc>
        <w:tc>
          <w:tcPr>
            <w:tcW w:w="14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7"/>
              </w:rPr>
              <w:t>Series B-1 12%</w:t>
            </w: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Series B-2 12%</w:t>
            </w:r>
          </w:p>
        </w:tc>
        <w:tc>
          <w:tcPr>
            <w:tcW w:w="140" w:type="dxa"/>
            <w:vAlign w:val="bottom"/>
          </w:tcPr>
          <w:p>
            <w:pPr>
              <w:spacing w:after="0"/>
              <w:rPr>
                <w:sz w:val="21"/>
                <w:szCs w:val="21"/>
                <w:color w:val="auto"/>
              </w:rPr>
            </w:pPr>
          </w:p>
        </w:tc>
        <w:tc>
          <w:tcPr>
            <w:tcW w:w="1520" w:type="dxa"/>
            <w:vAlign w:val="bottom"/>
            <w:tcBorders>
              <w:right w:val="single" w:sz="8" w:color="auto"/>
            </w:tcBorders>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6"/>
              </w:rPr>
              <w:t>Series C Super</w:t>
            </w:r>
          </w:p>
        </w:tc>
        <w:tc>
          <w:tcPr>
            <w:tcW w:w="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Stockholders’ Deficit</w:t>
            </w: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Redeemable</w:t>
            </w:r>
          </w:p>
        </w:tc>
        <w:tc>
          <w:tcPr>
            <w:tcW w:w="140" w:type="dxa"/>
            <w:vAlign w:val="bottom"/>
          </w:tcPr>
          <w:p>
            <w:pPr>
              <w:spacing w:after="0"/>
              <w:rPr>
                <w:sz w:val="12"/>
                <w:szCs w:val="12"/>
                <w:color w:val="auto"/>
              </w:rPr>
            </w:pPr>
          </w:p>
        </w:tc>
        <w:tc>
          <w:tcPr>
            <w:tcW w:w="1520" w:type="dxa"/>
            <w:vAlign w:val="bottom"/>
            <w:tcBorders>
              <w:right w:val="single" w:sz="8" w:color="auto"/>
            </w:tcBorders>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Dividend</w:t>
            </w:r>
          </w:p>
        </w:tc>
        <w:tc>
          <w:tcPr>
            <w:tcW w:w="40" w:type="dxa"/>
            <w:vAlign w:val="bottom"/>
          </w:tcPr>
          <w:p>
            <w:pPr>
              <w:spacing w:after="0"/>
              <w:rPr>
                <w:sz w:val="12"/>
                <w:szCs w:val="12"/>
                <w:color w:val="auto"/>
              </w:rPr>
            </w:pPr>
          </w:p>
        </w:tc>
        <w:tc>
          <w:tcPr>
            <w:tcW w:w="15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Series A 12%</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40" w:type="dxa"/>
            <w:vAlign w:val="bottom"/>
          </w:tcPr>
          <w:p>
            <w:pPr>
              <w:spacing w:after="0"/>
              <w:rPr>
                <w:sz w:val="12"/>
                <w:szCs w:val="12"/>
                <w:color w:val="auto"/>
              </w:rPr>
            </w:pPr>
          </w:p>
        </w:tc>
        <w:tc>
          <w:tcPr>
            <w:tcW w:w="1520" w:type="dxa"/>
            <w:vAlign w:val="bottom"/>
            <w:tcBorders>
              <w:right w:val="single" w:sz="8" w:color="auto"/>
            </w:tcBorders>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0" w:type="dxa"/>
            <w:vAlign w:val="bottom"/>
          </w:tcPr>
          <w:p>
            <w:pPr>
              <w:spacing w:after="0"/>
              <w:rPr>
                <w:sz w:val="12"/>
                <w:szCs w:val="12"/>
                <w:color w:val="auto"/>
              </w:rPr>
            </w:pPr>
          </w:p>
        </w:tc>
        <w:tc>
          <w:tcPr>
            <w:tcW w:w="15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Preferred Stock</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40" w:type="dxa"/>
            <w:vAlign w:val="bottom"/>
          </w:tcPr>
          <w:p>
            <w:pPr>
              <w:spacing w:after="0"/>
              <w:rPr>
                <w:sz w:val="14"/>
                <w:szCs w:val="14"/>
                <w:color w:val="auto"/>
              </w:rPr>
            </w:pPr>
          </w:p>
        </w:tc>
        <w:tc>
          <w:tcPr>
            <w:tcW w:w="152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8"/>
              </w:rPr>
              <w:t>Preferred Stock</w:t>
            </w:r>
          </w:p>
        </w:tc>
        <w:tc>
          <w:tcPr>
            <w:tcW w:w="4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Preferred Stock</w:t>
            </w:r>
          </w:p>
        </w:tc>
        <w:tc>
          <w:tcPr>
            <w:tcW w:w="146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8"/>
              </w:rPr>
              <w:t>Deficit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820" w:type="dxa"/>
            <w:vAlign w:val="bottom"/>
            <w:gridSpan w:val="5"/>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Development  Stockholders’</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620" w:type="dxa"/>
            <w:vAlign w:val="bottom"/>
          </w:tcPr>
          <w:p>
            <w:pPr>
              <w:jc w:val="right"/>
              <w:ind w:right="5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4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Stage</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88"/>
        </w:trPr>
        <w:tc>
          <w:tcPr>
            <w:tcW w:w="13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Issuance of</w:t>
            </w: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upon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398,937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Conversion of</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Series A to</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common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ind w:left="220"/>
              <w:spacing w:after="0"/>
              <w:rPr>
                <w:sz w:val="20"/>
                <w:szCs w:val="20"/>
                <w:color w:val="auto"/>
              </w:rPr>
            </w:pPr>
            <w:r>
              <w:rPr>
                <w:rFonts w:ascii="Arial" w:cs="Arial" w:eastAsia="Arial" w:hAnsi="Arial"/>
                <w:sz w:val="18"/>
                <w:szCs w:val="18"/>
                <w:color w:val="auto"/>
              </w:rPr>
              <w:t>stock</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(180,000)</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(72)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72</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3"/>
              </w:rPr>
              <w:t>2012 Issuance of</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and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 net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issuance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of</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$1,597,000</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2,666,722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10,400</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10,403</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Issuance of</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w w:val="92"/>
              </w:rPr>
              <w:t>shares related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to reverse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split of</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common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ind w:left="220"/>
              <w:spacing w:after="0"/>
              <w:rPr>
                <w:sz w:val="20"/>
                <w:szCs w:val="20"/>
                <w:color w:val="auto"/>
              </w:rPr>
            </w:pPr>
            <w:r>
              <w:rPr>
                <w:rFonts w:ascii="Arial" w:cs="Arial" w:eastAsia="Arial" w:hAnsi="Arial"/>
                <w:sz w:val="18"/>
                <w:szCs w:val="18"/>
                <w:color w:val="auto"/>
              </w:rPr>
              <w:t>stock</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3,324</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Net loss since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inception</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(71,992)</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(71,992)</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20"/>
                <w:szCs w:val="20"/>
                <w:color w:val="auto"/>
              </w:rPr>
            </w:pPr>
            <w:r>
              <w:rPr>
                <w:rFonts w:ascii="Arial" w:cs="Arial" w:eastAsia="Arial" w:hAnsi="Arial"/>
                <w:sz w:val="18"/>
                <w:szCs w:val="18"/>
                <w:b w:val="1"/>
                <w:bCs w:val="1"/>
                <w:color w:val="auto"/>
              </w:rPr>
              <w:t>Balance at</w:t>
            </w: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b w:val="1"/>
                <w:bCs w:val="1"/>
                <w:color w:val="auto"/>
                <w:w w:val="90"/>
              </w:rPr>
              <w:t>December 31,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20"/>
              <w:spacing w:after="0"/>
              <w:rPr>
                <w:sz w:val="20"/>
                <w:szCs w:val="20"/>
                <w:color w:val="auto"/>
              </w:rPr>
            </w:pPr>
            <w:r>
              <w:rPr>
                <w:rFonts w:ascii="Arial" w:cs="Arial" w:eastAsia="Arial" w:hAnsi="Arial"/>
                <w:sz w:val="18"/>
                <w:szCs w:val="18"/>
                <w:b w:val="1"/>
                <w:bCs w:val="1"/>
                <w:color w:val="auto"/>
              </w:rPr>
              <w:t>2012</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900,000</w:t>
            </w:r>
          </w:p>
        </w:tc>
        <w:tc>
          <w:tcPr>
            <w:tcW w:w="780" w:type="dxa"/>
            <w:vAlign w:val="bottom"/>
            <w:gridSpan w:val="3"/>
          </w:tcPr>
          <w:p>
            <w:pPr>
              <w:ind w:lef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1,698</w:t>
            </w: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w w:val="87"/>
              </w:rPr>
              <w:t>2,100,000</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2,900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220</w:t>
            </w:r>
          </w:p>
        </w:tc>
        <w:tc>
          <w:tcPr>
            <w:tcW w:w="88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2,154</w:t>
            </w:r>
          </w:p>
        </w:tc>
        <w:tc>
          <w:tcPr>
            <w:tcW w:w="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1,562,500</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  632</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16,060,853</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   16</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$ 80,535</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  (80,018) $</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500"/>
          </w:cols>
          <w:pgMar w:left="240" w:top="459" w:right="1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2012 and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at December 31, 2010</w:t>
      </w:r>
    </w:p>
    <w:p>
      <w:pPr>
        <w:spacing w:after="0" w:line="36" w:lineRule="exact"/>
        <w:rPr>
          <w:sz w:val="20"/>
          <w:szCs w:val="20"/>
          <w:color w:val="auto"/>
        </w:rPr>
      </w:pPr>
    </w:p>
    <w:p>
      <w:pPr>
        <w:ind w:left="220" w:right="300" w:hanging="215"/>
        <w:spacing w:after="0" w:line="259" w:lineRule="auto"/>
        <w:rPr>
          <w:sz w:val="20"/>
          <w:szCs w:val="20"/>
          <w:color w:val="auto"/>
        </w:rPr>
      </w:pPr>
      <w:r>
        <w:rPr>
          <w:rFonts w:ascii="Arial" w:cs="Arial" w:eastAsia="Arial" w:hAnsi="Arial"/>
          <w:sz w:val="12"/>
          <w:szCs w:val="12"/>
          <w:color w:val="auto"/>
        </w:rPr>
        <w:t>Accretion of Series B redeemable convertible preferred stock</w:t>
      </w:r>
    </w:p>
    <w:p>
      <w:pPr>
        <w:spacing w:after="0" w:line="1" w:lineRule="exact"/>
        <w:rPr>
          <w:sz w:val="20"/>
          <w:szCs w:val="20"/>
          <w:color w:val="auto"/>
        </w:rPr>
      </w:pPr>
    </w:p>
    <w:p>
      <w:pPr>
        <w:ind w:left="220" w:hanging="215"/>
        <w:spacing w:after="0" w:line="221" w:lineRule="auto"/>
        <w:rPr>
          <w:sz w:val="20"/>
          <w:szCs w:val="20"/>
          <w:color w:val="auto"/>
        </w:rPr>
      </w:pPr>
      <w:r>
        <w:rPr>
          <w:rFonts w:ascii="Arial" w:cs="Arial" w:eastAsia="Arial" w:hAnsi="Arial"/>
          <w:sz w:val="14"/>
          <w:szCs w:val="14"/>
          <w:color w:val="auto"/>
        </w:rPr>
        <w:t>Accretion of beneficial conversion feature for Series B-2</w:t>
      </w:r>
    </w:p>
    <w:p>
      <w:pPr>
        <w:spacing w:after="0" w:line="1" w:lineRule="exact"/>
        <w:rPr>
          <w:sz w:val="20"/>
          <w:szCs w:val="20"/>
          <w:color w:val="auto"/>
        </w:rPr>
      </w:pPr>
    </w:p>
    <w:p>
      <w:pPr>
        <w:ind w:left="220" w:right="340" w:hanging="215"/>
        <w:spacing w:after="0" w:line="281" w:lineRule="auto"/>
        <w:rPr>
          <w:sz w:val="20"/>
          <w:szCs w:val="20"/>
          <w:color w:val="auto"/>
        </w:rPr>
      </w:pPr>
      <w:r>
        <w:rPr>
          <w:rFonts w:ascii="Arial" w:cs="Arial" w:eastAsia="Arial" w:hAnsi="Arial"/>
          <w:sz w:val="11"/>
          <w:szCs w:val="11"/>
          <w:color w:val="auto"/>
        </w:rPr>
        <w:t>Issuance of Series C super dividend convertible preferred stock</w:t>
      </w:r>
    </w:p>
    <w:p>
      <w:pPr>
        <w:spacing w:after="0" w:line="1" w:lineRule="exact"/>
        <w:rPr>
          <w:sz w:val="20"/>
          <w:szCs w:val="20"/>
          <w:color w:val="auto"/>
        </w:rPr>
      </w:pPr>
    </w:p>
    <w:p>
      <w:pPr>
        <w:ind w:left="220" w:right="240" w:hanging="215"/>
        <w:spacing w:after="0" w:line="258" w:lineRule="auto"/>
        <w:rPr>
          <w:sz w:val="20"/>
          <w:szCs w:val="20"/>
          <w:color w:val="auto"/>
        </w:rPr>
      </w:pPr>
      <w:r>
        <w:rPr>
          <w:rFonts w:ascii="Arial" w:cs="Arial" w:eastAsia="Arial" w:hAnsi="Arial"/>
          <w:sz w:val="12"/>
          <w:szCs w:val="12"/>
          <w:color w:val="auto"/>
        </w:rPr>
        <w:t>Series A 12% convertible preferred stock dividend</w:t>
      </w:r>
    </w:p>
    <w:p>
      <w:pPr>
        <w:ind w:left="220" w:right="100" w:hanging="215"/>
        <w:spacing w:after="0" w:line="258" w:lineRule="auto"/>
        <w:rPr>
          <w:sz w:val="20"/>
          <w:szCs w:val="20"/>
          <w:color w:val="auto"/>
        </w:rPr>
      </w:pPr>
      <w:r>
        <w:rPr>
          <w:rFonts w:ascii="Arial" w:cs="Arial" w:eastAsia="Arial" w:hAnsi="Arial"/>
          <w:sz w:val="12"/>
          <w:szCs w:val="12"/>
          <w:color w:val="auto"/>
        </w:rPr>
        <w:t>Series B-1 12% redeemable convertible preferred stock dividend</w:t>
      </w:r>
    </w:p>
    <w:p>
      <w:pPr>
        <w:spacing w:after="0" w:line="1" w:lineRule="exact"/>
        <w:rPr>
          <w:sz w:val="20"/>
          <w:szCs w:val="20"/>
          <w:color w:val="auto"/>
        </w:rPr>
      </w:pPr>
    </w:p>
    <w:p>
      <w:pPr>
        <w:ind w:left="220" w:right="100" w:hanging="215"/>
        <w:spacing w:after="0" w:line="258" w:lineRule="auto"/>
        <w:rPr>
          <w:sz w:val="20"/>
          <w:szCs w:val="20"/>
          <w:color w:val="auto"/>
        </w:rPr>
      </w:pPr>
      <w:r>
        <w:rPr>
          <w:rFonts w:ascii="Arial" w:cs="Arial" w:eastAsia="Arial" w:hAnsi="Arial"/>
          <w:sz w:val="12"/>
          <w:szCs w:val="12"/>
          <w:color w:val="auto"/>
        </w:rPr>
        <w:t>Series B-2 12% redeemable convertible preferred stock dividend</w:t>
      </w:r>
    </w:p>
    <w:p>
      <w:pPr>
        <w:spacing w:after="0" w:line="1" w:lineRule="exact"/>
        <w:rPr>
          <w:sz w:val="20"/>
          <w:szCs w:val="20"/>
          <w:color w:val="auto"/>
        </w:rPr>
      </w:pPr>
    </w:p>
    <w:p>
      <w:pPr>
        <w:ind w:left="220" w:right="100" w:hanging="215"/>
        <w:spacing w:after="0" w:line="221" w:lineRule="auto"/>
        <w:rPr>
          <w:sz w:val="20"/>
          <w:szCs w:val="20"/>
          <w:color w:val="auto"/>
        </w:rPr>
      </w:pPr>
      <w:r>
        <w:rPr>
          <w:rFonts w:ascii="Arial" w:cs="Arial" w:eastAsia="Arial" w:hAnsi="Arial"/>
          <w:sz w:val="14"/>
          <w:szCs w:val="14"/>
          <w:color w:val="auto"/>
        </w:rPr>
        <w:t>Series C super dividend convertible preferred stock dividend</w:t>
      </w:r>
    </w:p>
    <w:p>
      <w:pPr>
        <w:spacing w:after="0" w:line="1" w:lineRule="exact"/>
        <w:rPr>
          <w:sz w:val="20"/>
          <w:szCs w:val="20"/>
          <w:color w:val="auto"/>
        </w:rPr>
      </w:pPr>
    </w:p>
    <w:p>
      <w:pPr>
        <w:ind w:left="220" w:right="120" w:hanging="215"/>
        <w:spacing w:after="0" w:line="221" w:lineRule="auto"/>
        <w:rPr>
          <w:sz w:val="20"/>
          <w:szCs w:val="20"/>
          <w:color w:val="auto"/>
        </w:rPr>
      </w:pPr>
      <w:r>
        <w:rPr>
          <w:rFonts w:ascii="Arial" w:cs="Arial" w:eastAsia="Arial" w:hAnsi="Arial"/>
          <w:sz w:val="14"/>
          <w:szCs w:val="14"/>
          <w:color w:val="auto"/>
        </w:rPr>
        <w:t>Issuance of restricted common stock</w:t>
      </w:r>
    </w:p>
    <w:p>
      <w:pPr>
        <w:spacing w:after="0" w:line="1" w:lineRule="exact"/>
        <w:rPr>
          <w:sz w:val="20"/>
          <w:szCs w:val="20"/>
          <w:color w:val="auto"/>
        </w:rPr>
      </w:pPr>
    </w:p>
    <w:p>
      <w:pPr>
        <w:ind w:left="220" w:right="40" w:hanging="215"/>
        <w:spacing w:after="0" w:line="258" w:lineRule="auto"/>
        <w:rPr>
          <w:sz w:val="20"/>
          <w:szCs w:val="20"/>
          <w:color w:val="auto"/>
        </w:rPr>
      </w:pPr>
      <w:r>
        <w:rPr>
          <w:rFonts w:ascii="Arial" w:cs="Arial" w:eastAsia="Arial" w:hAnsi="Arial"/>
          <w:sz w:val="12"/>
          <w:szCs w:val="12"/>
          <w:color w:val="auto"/>
        </w:rPr>
        <w:t>Issuance of common stock upon exercise of warrants</w:t>
      </w:r>
    </w:p>
    <w:p>
      <w:pPr>
        <w:ind w:left="220" w:right="40" w:hanging="215"/>
        <w:spacing w:after="0" w:line="221" w:lineRule="auto"/>
        <w:rPr>
          <w:sz w:val="20"/>
          <w:szCs w:val="20"/>
          <w:color w:val="auto"/>
        </w:rPr>
      </w:pPr>
      <w:r>
        <w:rPr>
          <w:rFonts w:ascii="Arial" w:cs="Arial" w:eastAsia="Arial" w:hAnsi="Arial"/>
          <w:sz w:val="14"/>
          <w:szCs w:val="14"/>
          <w:color w:val="auto"/>
        </w:rPr>
        <w:t>Issuance of common stock upon exercise of options</w:t>
      </w:r>
    </w:p>
    <w:p>
      <w:pPr>
        <w:spacing w:after="0" w:line="1" w:lineRule="exact"/>
        <w:rPr>
          <w:sz w:val="20"/>
          <w:szCs w:val="20"/>
          <w:color w:val="auto"/>
        </w:rPr>
      </w:pPr>
    </w:p>
    <w:p>
      <w:pPr>
        <w:ind w:left="220" w:right="360" w:hanging="215"/>
        <w:spacing w:after="0" w:line="221" w:lineRule="auto"/>
        <w:rPr>
          <w:sz w:val="20"/>
          <w:szCs w:val="20"/>
          <w:color w:val="auto"/>
        </w:rPr>
      </w:pPr>
      <w:r>
        <w:rPr>
          <w:rFonts w:ascii="Arial" w:cs="Arial" w:eastAsia="Arial" w:hAnsi="Arial"/>
          <w:sz w:val="14"/>
          <w:szCs w:val="14"/>
          <w:color w:val="auto"/>
        </w:rPr>
        <w:t>Conversion of Series A to common stock</w:t>
      </w:r>
    </w:p>
    <w:p>
      <w:pPr>
        <w:spacing w:after="0" w:line="1" w:lineRule="exact"/>
        <w:rPr>
          <w:sz w:val="20"/>
          <w:szCs w:val="20"/>
          <w:color w:val="auto"/>
        </w:rPr>
      </w:pPr>
    </w:p>
    <w:p>
      <w:pPr>
        <w:ind w:left="220" w:right="380" w:hanging="215"/>
        <w:spacing w:after="0" w:line="258" w:lineRule="auto"/>
        <w:rPr>
          <w:sz w:val="20"/>
          <w:szCs w:val="20"/>
          <w:color w:val="auto"/>
        </w:rPr>
      </w:pPr>
      <w:r>
        <w:rPr>
          <w:rFonts w:ascii="Arial" w:cs="Arial" w:eastAsia="Arial" w:hAnsi="Arial"/>
          <w:sz w:val="12"/>
          <w:szCs w:val="12"/>
          <w:color w:val="auto"/>
        </w:rPr>
        <w:t>Conversion of Series C to common stock</w:t>
      </w:r>
    </w:p>
    <w:p>
      <w:pPr>
        <w:ind w:left="220" w:right="320" w:hanging="215"/>
        <w:spacing w:after="0" w:line="258" w:lineRule="auto"/>
        <w:rPr>
          <w:sz w:val="20"/>
          <w:szCs w:val="20"/>
          <w:color w:val="auto"/>
        </w:rPr>
      </w:pPr>
      <w:r>
        <w:rPr>
          <w:rFonts w:ascii="Arial" w:cs="Arial" w:eastAsia="Arial" w:hAnsi="Arial"/>
          <w:sz w:val="12"/>
          <w:szCs w:val="12"/>
          <w:color w:val="auto"/>
        </w:rPr>
        <w:t>Stock-based compensation expense</w:t>
      </w:r>
    </w:p>
    <w:p>
      <w:pPr>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at December 31, 2011</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3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Series B-1 12%</w:t>
            </w:r>
          </w:p>
        </w:tc>
        <w:tc>
          <w:tcPr>
            <w:tcW w:w="13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Series B-2 12%</w:t>
            </w:r>
          </w:p>
        </w:tc>
        <w:tc>
          <w:tcPr>
            <w:tcW w:w="1500" w:type="dxa"/>
            <w:vAlign w:val="bottom"/>
            <w:tcBorders>
              <w:right w:val="single" w:sz="8" w:color="auto"/>
            </w:tcBorders>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86"/>
              </w:rPr>
              <w:t>Series C Super</w:t>
            </w:r>
          </w:p>
        </w:tc>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rPr>
              <w:t>Stockholders’ Deficit</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360" w:type="dxa"/>
            <w:vAlign w:val="bottom"/>
            <w:gridSpan w:val="5"/>
            <w:vMerge w:val="continue"/>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500" w:type="dxa"/>
            <w:vAlign w:val="bottom"/>
            <w:tcBorders>
              <w:right w:val="single" w:sz="8" w:color="auto"/>
            </w:tcBorders>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Redeemable</w:t>
            </w:r>
          </w:p>
        </w:tc>
        <w:tc>
          <w:tcPr>
            <w:tcW w:w="13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Redeemable</w:t>
            </w:r>
          </w:p>
        </w:tc>
        <w:tc>
          <w:tcPr>
            <w:tcW w:w="92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7"/>
              </w:rPr>
              <w:t>Dividend</w:t>
            </w:r>
          </w:p>
        </w:tc>
        <w:tc>
          <w:tcPr>
            <w:tcW w:w="3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Series A 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gridSpan w:val="5"/>
          </w:tcPr>
          <w:p>
            <w:pPr>
              <w:ind w:left="280"/>
              <w:spacing w:after="0" w:line="149" w:lineRule="exact"/>
              <w:rPr>
                <w:sz w:val="20"/>
                <w:szCs w:val="20"/>
                <w:color w:val="auto"/>
              </w:rPr>
            </w:pPr>
            <w:r>
              <w:rPr>
                <w:rFonts w:ascii="Arial" w:cs="Arial" w:eastAsia="Arial" w:hAnsi="Arial"/>
                <w:sz w:val="14"/>
                <w:szCs w:val="14"/>
                <w:b w:val="1"/>
                <w:bCs w:val="1"/>
                <w:color w:val="auto"/>
              </w:rPr>
              <w:t>Convertible</w:t>
            </w:r>
          </w:p>
        </w:tc>
        <w:tc>
          <w:tcPr>
            <w:tcW w:w="13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500" w:type="dxa"/>
            <w:vAlign w:val="bottom"/>
            <w:tcBorders>
              <w:right w:val="single" w:sz="8" w:color="auto"/>
            </w:tcBorders>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0" w:type="dxa"/>
            <w:vAlign w:val="bottom"/>
          </w:tcPr>
          <w:p>
            <w:pPr>
              <w:spacing w:after="0"/>
              <w:rPr>
                <w:sz w:val="12"/>
                <w:szCs w:val="12"/>
                <w:color w:val="auto"/>
              </w:rPr>
            </w:pPr>
          </w:p>
        </w:tc>
        <w:tc>
          <w:tcPr>
            <w:tcW w:w="1040" w:type="dxa"/>
            <w:vAlign w:val="bottom"/>
            <w:gridSpan w:val="3"/>
          </w:tcPr>
          <w:p>
            <w:pPr>
              <w:jc w:val="center"/>
              <w:ind w:left="172"/>
              <w:spacing w:after="0" w:line="149" w:lineRule="exact"/>
              <w:rPr>
                <w:sz w:val="20"/>
                <w:szCs w:val="20"/>
                <w:color w:val="auto"/>
              </w:rPr>
            </w:pPr>
            <w:r>
              <w:rPr>
                <w:rFonts w:ascii="Arial" w:cs="Arial" w:eastAsia="Arial" w:hAnsi="Arial"/>
                <w:sz w:val="14"/>
                <w:szCs w:val="14"/>
                <w:b w:val="1"/>
                <w:bCs w:val="1"/>
                <w:color w:val="auto"/>
                <w:w w:val="88"/>
              </w:rPr>
              <w:t>Convertible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60" w:type="dxa"/>
            <w:vAlign w:val="bottom"/>
            <w:gridSpan w:val="5"/>
          </w:tcPr>
          <w:p>
            <w:pPr>
              <w:ind w:left="160"/>
              <w:spacing w:after="0"/>
              <w:rPr>
                <w:sz w:val="20"/>
                <w:szCs w:val="20"/>
                <w:color w:val="auto"/>
              </w:rPr>
            </w:pPr>
            <w:r>
              <w:rPr>
                <w:rFonts w:ascii="Arial" w:cs="Arial" w:eastAsia="Arial" w:hAnsi="Arial"/>
                <w:sz w:val="14"/>
                <w:szCs w:val="14"/>
                <w:b w:val="1"/>
                <w:bCs w:val="1"/>
                <w:color w:val="auto"/>
              </w:rPr>
              <w:t>Preferred Stock</w:t>
            </w:r>
          </w:p>
        </w:tc>
        <w:tc>
          <w:tcPr>
            <w:tcW w:w="13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50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88"/>
              </w:rPr>
              <w:t>Preferred Stock</w:t>
            </w:r>
          </w:p>
        </w:tc>
        <w:tc>
          <w:tcPr>
            <w:tcW w:w="40" w:type="dxa"/>
            <w:vAlign w:val="bottom"/>
          </w:tcPr>
          <w:p>
            <w:pPr>
              <w:spacing w:after="0"/>
              <w:rPr>
                <w:sz w:val="14"/>
                <w:szCs w:val="14"/>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14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61"/>
        </w:trPr>
        <w:tc>
          <w:tcPr>
            <w:tcW w:w="6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Stage</w:t>
            </w: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8"/>
        </w:trPr>
        <w:tc>
          <w:tcPr>
            <w:tcW w:w="64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w w:val="82"/>
              </w:rPr>
              <w:t>900,000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1,664</w:t>
            </w:r>
          </w:p>
        </w:tc>
        <w:tc>
          <w:tcPr>
            <w:tcW w:w="12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2,100,000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2,474</w:t>
            </w:r>
          </w:p>
        </w:tc>
        <w:tc>
          <w:tcPr>
            <w:tcW w:w="12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212</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2,073</w:t>
            </w:r>
          </w:p>
        </w:tc>
        <w:tc>
          <w:tcPr>
            <w:tcW w:w="2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1,592,500</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644</w:t>
            </w:r>
          </w:p>
        </w:tc>
        <w:tc>
          <w:tcPr>
            <w:tcW w:w="14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10,651,535</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11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54,075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(56,424)</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159</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(176)</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54</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130</w:t>
            </w: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30,321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180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(179)</w:t>
            </w: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59,588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378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(378)</w:t>
            </w: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139,037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881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(881)</w:t>
            </w: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17,066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20,834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1,771,383</w:t>
            </w:r>
          </w:p>
        </w:tc>
        <w:tc>
          <w:tcPr>
            <w:tcW w:w="3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7,216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7,218</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216,440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234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(30,000)</w:t>
            </w:r>
          </w:p>
        </w:tc>
        <w:tc>
          <w:tcPr>
            <w:tcW w:w="2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(12)</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4"/>
                <w:szCs w:val="24"/>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(49)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8,334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3,245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3,245</w:t>
            </w: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(10,915)</w:t>
            </w:r>
          </w:p>
        </w:tc>
        <w:tc>
          <w:tcPr>
            <w:tcW w:w="14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(10,915)</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w w:val="82"/>
              </w:rPr>
              <w:t>900,000</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6"/>
              </w:rPr>
              <w:t>1,681</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2,100,000</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6"/>
              </w:rPr>
              <w:t>2,687</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220</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2,154</w:t>
            </w:r>
          </w:p>
        </w:tc>
        <w:tc>
          <w:tcPr>
            <w:tcW w:w="2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1,562,500</w:t>
            </w:r>
          </w:p>
        </w:tc>
        <w:tc>
          <w:tcPr>
            <w:tcW w:w="1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5"/>
              </w:rPr>
              <w:t>632</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8"/>
              </w:rPr>
              <w:t>12,919,538</w:t>
            </w:r>
          </w:p>
        </w:tc>
        <w:tc>
          <w:tcPr>
            <w:tcW w:w="3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89"/>
              </w:rPr>
              <w:t>13</w:t>
            </w:r>
          </w:p>
        </w:tc>
        <w:tc>
          <w:tcPr>
            <w:tcW w:w="1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66,367</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(69,137)</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-3326765</wp:posOffset>
            </wp:positionV>
            <wp:extent cx="724662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-2940685</wp:posOffset>
            </wp:positionV>
            <wp:extent cx="7246620" cy="283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-2374900</wp:posOffset>
            </wp:positionV>
            <wp:extent cx="72466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-1903095</wp:posOffset>
            </wp:positionV>
            <wp:extent cx="7246620" cy="283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-1337310</wp:posOffset>
            </wp:positionV>
            <wp:extent cx="724662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-960120</wp:posOffset>
            </wp:positionV>
            <wp:extent cx="724662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-582295</wp:posOffset>
            </wp:positionV>
            <wp:extent cx="724662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-205105</wp:posOffset>
            </wp:positionV>
            <wp:extent cx="72466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780" w:space="80"/>
            <w:col w:w="952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380"/>
          </w:cols>
          <w:pgMar w:left="240" w:top="459" w:right="27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2012 and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20" w:type="dxa"/>
            <w:vAlign w:val="bottom"/>
          </w:tcPr>
          <w:p>
            <w:pPr>
              <w:spacing w:after="0"/>
              <w:rPr>
                <w:sz w:val="21"/>
                <w:szCs w:val="21"/>
                <w:color w:val="auto"/>
              </w:rPr>
            </w:pPr>
          </w:p>
        </w:tc>
        <w:tc>
          <w:tcPr>
            <w:tcW w:w="13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Series B-1 12%</w:t>
            </w:r>
          </w:p>
        </w:tc>
        <w:tc>
          <w:tcPr>
            <w:tcW w:w="13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Series B-2 12%</w:t>
            </w: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Series C Super</w:t>
            </w: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Stockholders’ Deficit</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3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Redeemable</w:t>
            </w:r>
          </w:p>
        </w:tc>
        <w:tc>
          <w:tcPr>
            <w:tcW w:w="13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Series A 12%</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3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2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Development</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Stage</w:t>
            </w: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18"/>
        </w:trPr>
        <w:tc>
          <w:tcPr>
            <w:tcW w:w="192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Accretion of Series B redeemable</w:t>
            </w: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9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convertible preferred stock</w:t>
            </w:r>
          </w:p>
        </w:tc>
        <w:tc>
          <w:tcPr>
            <w:tcW w:w="6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w:t>
            </w:r>
          </w:p>
        </w:tc>
        <w:tc>
          <w:tcPr>
            <w:tcW w:w="6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157</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38"/>
        </w:trPr>
        <w:tc>
          <w:tcPr>
            <w:tcW w:w="1920" w:type="dxa"/>
            <w:vAlign w:val="bottom"/>
          </w:tcPr>
          <w:p>
            <w:pPr>
              <w:spacing w:after="0" w:line="138" w:lineRule="exact"/>
              <w:rPr>
                <w:sz w:val="20"/>
                <w:szCs w:val="20"/>
                <w:color w:val="auto"/>
              </w:rPr>
            </w:pPr>
            <w:r>
              <w:rPr>
                <w:rFonts w:ascii="Arial" w:cs="Arial" w:eastAsia="Arial" w:hAnsi="Arial"/>
                <w:sz w:val="14"/>
                <w:szCs w:val="14"/>
                <w:color w:val="auto"/>
              </w:rPr>
              <w:t>Accretion of beneficial</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20"/>
              <w:spacing w:after="0" w:line="149" w:lineRule="exact"/>
              <w:rPr>
                <w:sz w:val="20"/>
                <w:szCs w:val="20"/>
                <w:color w:val="auto"/>
              </w:rPr>
            </w:pPr>
            <w:r>
              <w:rPr>
                <w:rFonts w:ascii="Arial" w:cs="Arial" w:eastAsia="Arial" w:hAnsi="Arial"/>
                <w:sz w:val="14"/>
                <w:szCs w:val="14"/>
                <w:color w:val="auto"/>
                <w:w w:val="93"/>
              </w:rPr>
              <w:t>conversion feature for Series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220"/>
              <w:spacing w:after="0" w:line="159" w:lineRule="exact"/>
              <w:rPr>
                <w:sz w:val="20"/>
                <w:szCs w:val="20"/>
                <w:color w:val="auto"/>
              </w:rPr>
            </w:pPr>
            <w:r>
              <w:rPr>
                <w:rFonts w:ascii="Arial" w:cs="Arial" w:eastAsia="Arial" w:hAnsi="Arial"/>
                <w:sz w:val="14"/>
                <w:szCs w:val="14"/>
                <w:color w:val="auto"/>
              </w:rPr>
              <w:t>B-2</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56</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38"/>
        </w:trPr>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Issuance of common stock and</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warrants, net of issuance</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costs of $1,597,000</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2,666,722</w:t>
            </w:r>
          </w:p>
        </w:tc>
        <w:tc>
          <w:tcPr>
            <w:tcW w:w="3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w:t>
            </w:r>
          </w:p>
        </w:tc>
        <w:tc>
          <w:tcPr>
            <w:tcW w:w="74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10,400</w:t>
            </w:r>
          </w:p>
        </w:tc>
        <w:tc>
          <w:tcPr>
            <w:tcW w:w="12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10,403</w:t>
            </w:r>
          </w:p>
        </w:tc>
        <w:tc>
          <w:tcPr>
            <w:tcW w:w="0" w:type="dxa"/>
            <w:vAlign w:val="bottom"/>
          </w:tcPr>
          <w:p>
            <w:pPr>
              <w:spacing w:after="0"/>
              <w:rPr>
                <w:sz w:val="1"/>
                <w:szCs w:val="1"/>
                <w:color w:val="auto"/>
              </w:rPr>
            </w:pPr>
          </w:p>
        </w:tc>
      </w:tr>
      <w:tr>
        <w:trPr>
          <w:trHeight w:val="138"/>
        </w:trPr>
        <w:tc>
          <w:tcPr>
            <w:tcW w:w="1920" w:type="dxa"/>
            <w:vAlign w:val="bottom"/>
          </w:tcPr>
          <w:p>
            <w:pPr>
              <w:spacing w:after="0" w:line="138" w:lineRule="exact"/>
              <w:rPr>
                <w:sz w:val="20"/>
                <w:szCs w:val="20"/>
                <w:color w:val="auto"/>
              </w:rPr>
            </w:pPr>
            <w:r>
              <w:rPr>
                <w:rFonts w:ascii="Arial" w:cs="Arial" w:eastAsia="Arial" w:hAnsi="Arial"/>
                <w:sz w:val="14"/>
                <w:szCs w:val="14"/>
                <w:color w:val="auto"/>
              </w:rPr>
              <w:t>Issuance of shares related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220"/>
              <w:spacing w:after="0" w:line="159" w:lineRule="exact"/>
              <w:rPr>
                <w:sz w:val="20"/>
                <w:szCs w:val="20"/>
                <w:color w:val="auto"/>
              </w:rPr>
            </w:pPr>
            <w:r>
              <w:rPr>
                <w:rFonts w:ascii="Arial" w:cs="Arial" w:eastAsia="Arial" w:hAnsi="Arial"/>
                <w:sz w:val="14"/>
                <w:szCs w:val="14"/>
                <w:color w:val="auto"/>
                <w:w w:val="90"/>
              </w:rPr>
              <w:t>reverse split of common 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3,324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Series A 12% convertible</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31,250</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103</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20" w:type="dxa"/>
            <w:vAlign w:val="bottom"/>
          </w:tcPr>
          <w:p>
            <w:pPr>
              <w:spacing w:after="0" w:line="138" w:lineRule="exact"/>
              <w:rPr>
                <w:sz w:val="20"/>
                <w:szCs w:val="20"/>
                <w:color w:val="auto"/>
              </w:rPr>
            </w:pPr>
            <w:r>
              <w:rPr>
                <w:rFonts w:ascii="Arial" w:cs="Arial" w:eastAsia="Arial" w:hAnsi="Arial"/>
                <w:sz w:val="14"/>
                <w:szCs w:val="14"/>
                <w:color w:val="auto"/>
              </w:rPr>
              <w:t>Series B-1 12% redeemable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20"/>
              <w:spacing w:after="0" w:line="149" w:lineRule="exact"/>
              <w:rPr>
                <w:sz w:val="20"/>
                <w:szCs w:val="20"/>
                <w:color w:val="auto"/>
              </w:rPr>
            </w:pPr>
            <w:r>
              <w:rPr>
                <w:rFonts w:ascii="Arial" w:cs="Arial" w:eastAsia="Arial" w:hAnsi="Arial"/>
                <w:sz w:val="14"/>
                <w:szCs w:val="14"/>
                <w:color w:val="auto"/>
              </w:rPr>
              <w:t>convertible preferred stock</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220"/>
              <w:spacing w:after="0" w:line="159" w:lineRule="exact"/>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95,584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224</w:t>
            </w: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(224)</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Series B-2 12% redeemable</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convertible preferred stock</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223,027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522</w:t>
            </w: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20" w:type="dxa"/>
            <w:vAlign w:val="bottom"/>
          </w:tcPr>
          <w:p>
            <w:pPr>
              <w:spacing w:after="0" w:line="138" w:lineRule="exact"/>
              <w:rPr>
                <w:sz w:val="20"/>
                <w:szCs w:val="20"/>
                <w:color w:val="auto"/>
              </w:rPr>
            </w:pPr>
            <w:r>
              <w:rPr>
                <w:rFonts w:ascii="Arial" w:cs="Arial" w:eastAsia="Arial" w:hAnsi="Arial"/>
                <w:sz w:val="14"/>
                <w:szCs w:val="14"/>
                <w:color w:val="auto"/>
              </w:rPr>
              <w:t>Series C super dividend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20"/>
              <w:spacing w:after="0" w:line="149" w:lineRule="exact"/>
              <w:rPr>
                <w:sz w:val="20"/>
                <w:szCs w:val="20"/>
                <w:color w:val="auto"/>
              </w:rPr>
            </w:pPr>
            <w:r>
              <w:rPr>
                <w:rFonts w:ascii="Arial" w:cs="Arial" w:eastAsia="Arial" w:hAnsi="Arial"/>
                <w:sz w:val="14"/>
                <w:szCs w:val="14"/>
                <w:color w:val="auto"/>
              </w:rPr>
              <w:t>convertible preferred stock</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220"/>
              <w:spacing w:after="0" w:line="159" w:lineRule="exact"/>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46,053</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127</w:t>
            </w: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(127)</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to</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consultants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11,348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w:t>
            </w:r>
          </w:p>
        </w:tc>
        <w:tc>
          <w:tcPr>
            <w:tcW w:w="12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8"/>
        </w:trPr>
        <w:tc>
          <w:tcPr>
            <w:tcW w:w="1920" w:type="dxa"/>
            <w:vAlign w:val="bottom"/>
          </w:tcPr>
          <w:p>
            <w:pPr>
              <w:spacing w:after="0" w:line="138" w:lineRule="exact"/>
              <w:rPr>
                <w:sz w:val="20"/>
                <w:szCs w:val="20"/>
                <w:color w:val="auto"/>
              </w:rPr>
            </w:pPr>
            <w:r>
              <w:rPr>
                <w:rFonts w:ascii="Arial" w:cs="Arial" w:eastAsia="Arial" w:hAnsi="Arial"/>
                <w:sz w:val="14"/>
                <w:szCs w:val="14"/>
                <w:color w:val="auto"/>
                <w:w w:val="94"/>
              </w:rPr>
              <w:t>Issuance of common stock upon</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220"/>
              <w:spacing w:after="0" w:line="159" w:lineRule="exact"/>
              <w:rPr>
                <w:sz w:val="20"/>
                <w:szCs w:val="20"/>
                <w:color w:val="auto"/>
              </w:rPr>
            </w:pPr>
            <w:r>
              <w:rPr>
                <w:rFonts w:ascii="Arial" w:cs="Arial" w:eastAsia="Arial" w:hAnsi="Arial"/>
                <w:sz w:val="14"/>
                <w:szCs w:val="14"/>
                <w:color w:val="auto"/>
              </w:rPr>
              <w:t>exercise of warrants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12,177</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Issuance of common stock upon</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exercise of options</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51,830</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20" w:type="dxa"/>
            <w:vAlign w:val="bottom"/>
          </w:tcPr>
          <w:p>
            <w:pPr>
              <w:spacing w:after="0" w:line="138" w:lineRule="exact"/>
              <w:rPr>
                <w:sz w:val="20"/>
                <w:szCs w:val="20"/>
                <w:color w:val="auto"/>
              </w:rPr>
            </w:pPr>
            <w:r>
              <w:rPr>
                <w:rFonts w:ascii="Arial" w:cs="Arial" w:eastAsia="Arial" w:hAnsi="Arial"/>
                <w:sz w:val="14"/>
                <w:szCs w:val="14"/>
                <w:color w:val="auto"/>
              </w:rPr>
              <w:t>Stock-based compensation</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220"/>
              <w:spacing w:after="0" w:line="159" w:lineRule="exact"/>
              <w:rPr>
                <w:sz w:val="20"/>
                <w:szCs w:val="20"/>
                <w:color w:val="auto"/>
              </w:rPr>
            </w:pPr>
            <w:r>
              <w:rPr>
                <w:rFonts w:ascii="Arial" w:cs="Arial" w:eastAsia="Arial" w:hAnsi="Arial"/>
                <w:sz w:val="14"/>
                <w:szCs w:val="14"/>
                <w:color w:val="auto"/>
              </w:rPr>
              <w:t>expense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2,766</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2,766</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(9,675)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(9,675)</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4"/>
              </w:rPr>
              <w:t>Balance at December 31, 2012</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900,000</w:t>
            </w: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1,698</w:t>
            </w:r>
          </w:p>
        </w:tc>
        <w:tc>
          <w:tcPr>
            <w:tcW w:w="1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2,100,000</w:t>
            </w:r>
          </w:p>
        </w:tc>
        <w:tc>
          <w:tcPr>
            <w:tcW w:w="7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  2,900</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220</w:t>
            </w:r>
          </w:p>
        </w:tc>
        <w:tc>
          <w:tcPr>
            <w:tcW w:w="60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w w:val="90"/>
              </w:rPr>
              <w:t>$  2,154</w:t>
            </w:r>
          </w:p>
        </w:tc>
        <w:tc>
          <w:tcPr>
            <w:tcW w:w="220" w:type="dxa"/>
            <w:vAlign w:val="bottom"/>
            <w:tcBorders>
              <w:right w:val="single" w:sz="8" w:color="auto"/>
            </w:tcBorders>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1,562,500</w:t>
            </w:r>
          </w:p>
        </w:tc>
        <w:tc>
          <w:tcPr>
            <w:tcW w:w="6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   632</w:t>
            </w:r>
          </w:p>
        </w:tc>
        <w:tc>
          <w:tcPr>
            <w:tcW w:w="88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16,060,853</w:t>
            </w:r>
          </w:p>
        </w:tc>
        <w:tc>
          <w:tcPr>
            <w:tcW w:w="3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89"/>
              </w:rPr>
              <w:t>16</w:t>
            </w:r>
          </w:p>
        </w:tc>
        <w:tc>
          <w:tcPr>
            <w:tcW w:w="74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   80,535</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(80,018)</w:t>
            </w:r>
          </w:p>
        </w:tc>
        <w:tc>
          <w:tcPr>
            <w:tcW w:w="140" w:type="dxa"/>
            <w:vAlign w:val="bottom"/>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1,165</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Development-Stage Company)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Year Ended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(July 10, 2000)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(9,675)</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(10,915)</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1280"/>
              <w:spacing w:after="0" w:line="149" w:lineRule="exact"/>
              <w:rPr>
                <w:sz w:val="20"/>
                <w:szCs w:val="20"/>
                <w:color w:val="auto"/>
              </w:rPr>
            </w:pPr>
            <w:r>
              <w:rPr>
                <w:rFonts w:ascii="Arial" w:cs="Arial" w:eastAsia="Arial" w:hAnsi="Arial"/>
                <w:sz w:val="14"/>
                <w:szCs w:val="14"/>
                <w:color w:val="auto"/>
              </w:rPr>
              <w:t>Depreciation and amortization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Stock-based compensation expense</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2,792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3,245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1280"/>
              <w:spacing w:after="0" w:line="149" w:lineRule="exact"/>
              <w:rPr>
                <w:sz w:val="20"/>
                <w:szCs w:val="20"/>
                <w:color w:val="auto"/>
              </w:rPr>
            </w:pPr>
            <w:r>
              <w:rPr>
                <w:rFonts w:ascii="Arial" w:cs="Arial" w:eastAsia="Arial" w:hAnsi="Arial"/>
                <w:sz w:val="14"/>
                <w:szCs w:val="14"/>
                <w:color w:val="auto"/>
              </w:rPr>
              <w:t>Non-cash interest expense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Change in fair value of convertible debt instrument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1280"/>
              <w:spacing w:after="0" w:line="149" w:lineRule="exact"/>
              <w:rPr>
                <w:sz w:val="20"/>
                <w:szCs w:val="20"/>
                <w:color w:val="auto"/>
              </w:rPr>
            </w:pPr>
            <w:r>
              <w:rPr>
                <w:rFonts w:ascii="Arial" w:cs="Arial" w:eastAsia="Arial" w:hAnsi="Arial"/>
                <w:sz w:val="14"/>
                <w:szCs w:val="14"/>
                <w:color w:val="auto"/>
              </w:rPr>
              <w:t>Change in fair value of warrant liabilities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Write off of intangible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1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Grant receivable</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234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1720"/>
              <w:spacing w:after="0" w:line="149" w:lineRule="exact"/>
              <w:rPr>
                <w:sz w:val="20"/>
                <w:szCs w:val="20"/>
                <w:color w:val="auto"/>
              </w:rPr>
            </w:pPr>
            <w:r>
              <w:rPr>
                <w:rFonts w:ascii="Arial" w:cs="Arial" w:eastAsia="Arial" w:hAnsi="Arial"/>
                <w:sz w:val="14"/>
                <w:szCs w:val="14"/>
                <w:color w:val="auto"/>
              </w:rPr>
              <w:t>Prepaid expenses and other assets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Accounts payable and accrued expenses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(577)</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1,273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1720"/>
              <w:spacing w:after="0" w:line="149" w:lineRule="exact"/>
              <w:rPr>
                <w:sz w:val="20"/>
                <w:szCs w:val="20"/>
                <w:color w:val="auto"/>
              </w:rPr>
            </w:pPr>
            <w:r>
              <w:rPr>
                <w:rFonts w:ascii="Arial" w:cs="Arial" w:eastAsia="Arial" w:hAnsi="Arial"/>
                <w:sz w:val="14"/>
                <w:szCs w:val="14"/>
                <w:color w:val="auto"/>
              </w:rPr>
              <w:t>Other long-term liabilities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1980"/>
              <w:spacing w:after="0" w:line="149" w:lineRule="exact"/>
              <w:rPr>
                <w:sz w:val="20"/>
                <w:szCs w:val="20"/>
                <w:color w:val="auto"/>
              </w:rPr>
            </w:pPr>
            <w:r>
              <w:rPr>
                <w:rFonts w:ascii="Arial" w:cs="Arial" w:eastAsia="Arial" w:hAnsi="Arial"/>
                <w:sz w:val="14"/>
                <w:szCs w:val="14"/>
                <w:color w:val="auto"/>
              </w:rPr>
              <w:t>Net cash used in operating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(5,676)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(58,553)</w:t>
            </w:r>
          </w:p>
        </w:tc>
        <w:tc>
          <w:tcPr>
            <w:tcW w:w="0" w:type="dxa"/>
            <w:vAlign w:val="bottom"/>
          </w:tcPr>
          <w:p>
            <w:pPr>
              <w:spacing w:after="0"/>
              <w:rPr>
                <w:sz w:val="1"/>
                <w:szCs w:val="1"/>
                <w:color w:val="auto"/>
              </w:rPr>
            </w:pPr>
          </w:p>
        </w:tc>
      </w:tr>
      <w:tr>
        <w:trPr>
          <w:trHeight w:val="156"/>
        </w:trPr>
        <w:tc>
          <w:tcPr>
            <w:tcW w:w="72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Change in restricted cash and security deposit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patents costs and other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1980"/>
              <w:spacing w:after="0"/>
              <w:rPr>
                <w:sz w:val="20"/>
                <w:szCs w:val="20"/>
                <w:color w:val="auto"/>
              </w:rPr>
            </w:pPr>
            <w:r>
              <w:rPr>
                <w:rFonts w:ascii="Arial" w:cs="Arial" w:eastAsia="Arial" w:hAnsi="Arial"/>
                <w:sz w:val="14"/>
                <w:szCs w:val="14"/>
                <w:color w:val="auto"/>
              </w:rPr>
              <w:t>Net cash provided by (used in) investing activities</w:t>
            </w: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64</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860"/>
              <w:spacing w:after="0" w:line="149" w:lineRule="exact"/>
              <w:rPr>
                <w:sz w:val="20"/>
                <w:szCs w:val="20"/>
                <w:color w:val="auto"/>
              </w:rPr>
            </w:pPr>
            <w:r>
              <w:rPr>
                <w:rFonts w:ascii="Arial" w:cs="Arial" w:eastAsia="Arial" w:hAnsi="Arial"/>
                <w:sz w:val="14"/>
                <w:szCs w:val="14"/>
                <w:color w:val="auto"/>
              </w:rPr>
              <w:t>Net proceeds from issuance of common stock and warrants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10,403</w:t>
            </w:r>
          </w:p>
        </w:tc>
        <w:tc>
          <w:tcPr>
            <w:tcW w:w="14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proceeds from issuance of Series A 12% convertible preferred stock and related warrants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860"/>
              <w:spacing w:after="0" w:line="149" w:lineRule="exact"/>
              <w:rPr>
                <w:sz w:val="20"/>
                <w:szCs w:val="20"/>
                <w:color w:val="auto"/>
              </w:rPr>
            </w:pPr>
            <w:r>
              <w:rPr>
                <w:rFonts w:ascii="Arial" w:cs="Arial" w:eastAsia="Arial" w:hAnsi="Arial"/>
                <w:sz w:val="14"/>
                <w:szCs w:val="14"/>
                <w:color w:val="auto"/>
                <w:w w:val="94"/>
              </w:rPr>
              <w:t>Net proceeds from issuance of Series B-1 12% redeemable convertible preferred stock and related warrants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w w:val="94"/>
              </w:rPr>
              <w:t>Net proceeds from issuance of Series B-2 12% redeemable convertible preferred stock and related warrants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860"/>
              <w:spacing w:after="0" w:line="149" w:lineRule="exact"/>
              <w:rPr>
                <w:sz w:val="20"/>
                <w:szCs w:val="20"/>
                <w:color w:val="auto"/>
              </w:rPr>
            </w:pPr>
            <w:r>
              <w:rPr>
                <w:rFonts w:ascii="Arial" w:cs="Arial" w:eastAsia="Arial" w:hAnsi="Arial"/>
                <w:sz w:val="14"/>
                <w:szCs w:val="14"/>
                <w:color w:val="auto"/>
              </w:rPr>
              <w:t>Net proceeds from issuance of Series C super dividend convertible preferred 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proceeds from issuance of convertible debt instruments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860"/>
              <w:spacing w:after="0" w:line="149" w:lineRule="exact"/>
              <w:rPr>
                <w:sz w:val="20"/>
                <w:szCs w:val="20"/>
                <w:color w:val="auto"/>
              </w:rPr>
            </w:pPr>
            <w:r>
              <w:rPr>
                <w:rFonts w:ascii="Arial" w:cs="Arial" w:eastAsia="Arial" w:hAnsi="Arial"/>
                <w:sz w:val="14"/>
                <w:szCs w:val="14"/>
                <w:color w:val="auto"/>
              </w:rPr>
              <w:t>Repayment of convertible debt instruments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proceeds from exercise of common stock warrants and options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6,067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tcPr>
          <w:p>
            <w:pPr>
              <w:ind w:left="860"/>
              <w:spacing w:after="0" w:line="149" w:lineRule="exact"/>
              <w:rPr>
                <w:sz w:val="20"/>
                <w:szCs w:val="20"/>
                <w:color w:val="auto"/>
              </w:rPr>
            </w:pPr>
            <w:r>
              <w:rPr>
                <w:rFonts w:ascii="Arial" w:cs="Arial" w:eastAsia="Arial" w:hAnsi="Arial"/>
                <w:sz w:val="14"/>
                <w:szCs w:val="14"/>
                <w:color w:val="auto"/>
              </w:rPr>
              <w:t>Proceeds from shareholder advances</w:t>
            </w: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19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10,403</w:t>
            </w:r>
          </w:p>
        </w:tc>
        <w:tc>
          <w:tcPr>
            <w:tcW w:w="6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6,197</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68,752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2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612"/>
              <w:spacing w:after="0" w:line="155" w:lineRule="exact"/>
              <w:rPr>
                <w:sz w:val="20"/>
                <w:szCs w:val="20"/>
                <w:color w:val="auto"/>
              </w:rPr>
            </w:pPr>
            <w:r>
              <w:rPr>
                <w:rFonts w:ascii="Arial" w:cs="Arial" w:eastAsia="Arial" w:hAnsi="Arial"/>
                <w:sz w:val="14"/>
                <w:szCs w:val="14"/>
                <w:color w:val="auto"/>
              </w:rPr>
              <w:t>2,967</w:t>
            </w:r>
          </w:p>
        </w:tc>
        <w:tc>
          <w:tcPr>
            <w:tcW w:w="140" w:type="dxa"/>
            <w:vAlign w:val="bottom"/>
          </w:tcPr>
          <w:p>
            <w:pPr>
              <w:spacing w:after="0"/>
              <w:rPr>
                <w:sz w:val="13"/>
                <w:szCs w:val="13"/>
                <w:color w:val="auto"/>
              </w:rPr>
            </w:pPr>
          </w:p>
        </w:tc>
        <w:tc>
          <w:tcPr>
            <w:tcW w:w="96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506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6,397</w:t>
            </w:r>
          </w:p>
        </w:tc>
        <w:tc>
          <w:tcPr>
            <w:tcW w:w="6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5,891</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12"/>
              <w:spacing w:after="0" w:line="155" w:lineRule="exact"/>
              <w:rPr>
                <w:sz w:val="20"/>
                <w:szCs w:val="20"/>
                <w:color w:val="auto"/>
              </w:rPr>
            </w:pPr>
            <w:r>
              <w:rPr>
                <w:rFonts w:ascii="Arial" w:cs="Arial" w:eastAsia="Arial" w:hAnsi="Arial"/>
                <w:sz w:val="14"/>
                <w:szCs w:val="14"/>
                <w:color w:val="auto"/>
              </w:rPr>
              <w:t>9,364</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6,397</w:t>
            </w:r>
          </w:p>
        </w:tc>
        <w:tc>
          <w:tcPr>
            <w:tcW w:w="340" w:type="dxa"/>
            <w:vAlign w:val="bottom"/>
            <w:gridSpan w:val="2"/>
          </w:tcPr>
          <w:p>
            <w:pPr>
              <w:ind w:left="26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DISCLOSURE—Cash paid for interest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Issuance of equity warrants in connection with equity offerings</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4,445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860"/>
              <w:spacing w:after="0" w:line="149" w:lineRule="exact"/>
              <w:rPr>
                <w:sz w:val="20"/>
                <w:szCs w:val="20"/>
                <w:color w:val="auto"/>
              </w:rPr>
            </w:pPr>
            <w:r>
              <w:rPr>
                <w:rFonts w:ascii="Arial" w:cs="Arial" w:eastAsia="Arial" w:hAnsi="Arial"/>
                <w:sz w:val="14"/>
                <w:szCs w:val="14"/>
                <w:color w:val="auto"/>
              </w:rPr>
              <w:t>Conversion of accrued expenses into common 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12"/>
              <w:spacing w:after="0" w:line="149"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Cashless exercise of stock options and warrants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235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341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860"/>
              <w:spacing w:after="0" w:line="149" w:lineRule="exact"/>
              <w:rPr>
                <w:sz w:val="20"/>
                <w:szCs w:val="20"/>
                <w:color w:val="auto"/>
              </w:rPr>
            </w:pPr>
            <w:r>
              <w:rPr>
                <w:rFonts w:ascii="Arial" w:cs="Arial" w:eastAsia="Arial" w:hAnsi="Arial"/>
                <w:sz w:val="14"/>
                <w:szCs w:val="14"/>
                <w:color w:val="auto"/>
              </w:rPr>
              <w:t>Conversion and redemptions of convertible notes and accrued interest into common 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Conversion of extension costs related to convertible notes into common stock</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860"/>
              <w:spacing w:after="0" w:line="149" w:lineRule="exact"/>
              <w:rPr>
                <w:sz w:val="20"/>
                <w:szCs w:val="20"/>
                <w:color w:val="auto"/>
              </w:rPr>
            </w:pPr>
            <w:r>
              <w:rPr>
                <w:rFonts w:ascii="Arial" w:cs="Arial" w:eastAsia="Arial" w:hAnsi="Arial"/>
                <w:sz w:val="14"/>
                <w:szCs w:val="14"/>
                <w:color w:val="auto"/>
              </w:rPr>
              <w:t>Payment of preferred stock dividends in common 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976</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1,536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Issuance of warrants to induce conversion of notes payable</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860"/>
              <w:spacing w:after="0"/>
              <w:rPr>
                <w:sz w:val="20"/>
                <w:szCs w:val="20"/>
                <w:color w:val="auto"/>
              </w:rPr>
            </w:pPr>
            <w:r>
              <w:rPr>
                <w:rFonts w:ascii="Arial" w:cs="Arial" w:eastAsia="Arial" w:hAnsi="Arial"/>
                <w:sz w:val="14"/>
                <w:szCs w:val="14"/>
                <w:color w:val="auto"/>
              </w:rPr>
              <w:t>Issuance of stock to acquire Pro-Pharmaceuticals-NV</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GALECTIN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rFonts w:ascii="Arial" w:cs="Arial" w:eastAsia="Arial" w:hAnsi="Arial"/>
          <w:sz w:val="18"/>
          <w:szCs w:val="18"/>
          <w:b w:val="1"/>
          <w:bCs w:val="1"/>
          <w:color w:val="auto"/>
        </w:rPr>
      </w:pPr>
    </w:p>
    <w:p>
      <w:pPr>
        <w:ind w:left="4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Galectin Therapeutics Inc. (the “Company”) is a development-stage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06"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March 23, 2012, the Company effected a one-for-six reverse stock split. All common share and per share amounts in these financial statements have been adjusted to reflect the effect of the reverse split. On March 28, 2012, the Company sold 2,666,722 shares of common stock and related $5.63 warrants to purchase 1,333,361 shares of common stock for gross proceeds of $12,000,000 (net proceeds of $10,403,000). See Note 6, for further discussion of the transaction.</w:t>
      </w:r>
    </w:p>
    <w:p>
      <w:pPr>
        <w:spacing w:after="0" w:line="143"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December 31, 2012, the Company had $9,364,000 of unrestricted cash and cash equivalents available to fund future operations. The Company believes that with the cash on hand at December 31, 2012, there is sufficient cash to fund operations through the first quarter of 2014. The Company’s ability to fund operations after its current cash resources are exhausted depends on its ability to obtain additional financing or achieve profitable operations, as to which no assurances can be given. The Company has developed several plans, including cost containment efforts and potential strategic alternatives in the event that such financing cannot be realized by the Company.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18"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As shown in the consolidated financial statements, the Company incurred cumulative net losses applicable to common stockholders of $80.3 million for the cumulative period from inception (July 10, 2000) through December 31, 2012. The Company’s net losses have resulted principally from costs associated with (i) research and development expenses, including clinical trial costs, (ii) general and administrative activities and (iii) the Company’s financing transactions including interest, dividend payments, and the costs related to fair value accounting for the Company’s convertible debt instruments. As a result of planned expenditures for future research, discovery, development and commercialization activities and potential legal cost to protect its intellectual property, the Company expects to incur additional losses and use additional cash in its operations for the foreseeable future. Through December 31, 2012, the Company had raised a net total of $68.8 million in capital through sale and issuance of common stock, common stock purchase warrants, convertible preferred stock and debt securities in public and private offerings. From inception (July 10, 2000) through December 31, 2012, the Company used cash of $58.6 million in its operations.</w:t>
      </w:r>
    </w:p>
    <w:p>
      <w:pPr>
        <w:spacing w:after="0" w:line="119" w:lineRule="exact"/>
        <w:rPr>
          <w:rFonts w:ascii="Arial" w:cs="Arial" w:eastAsia="Arial" w:hAnsi="Arial"/>
          <w:sz w:val="18"/>
          <w:szCs w:val="18"/>
          <w:b w:val="1"/>
          <w:bCs w:val="1"/>
          <w:color w:val="auto"/>
        </w:rPr>
      </w:pPr>
    </w:p>
    <w:p>
      <w:pPr>
        <w:ind w:left="460"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Prior to March 23, 2012, the Company was traded on the Over-the Counter Bulletin Board (“OTCBB”) under the symbol GALT.OB (previously PRWP.OB) from January 21, 2009 to March 22, 2012 after the Company was delisted from the NYSE Alternext US (“Exchange”), formerly the American Stock Exchange, due to non-compliance with the Exchange minimum shareholders’ equity requirements on January 9,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23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reflect the application of certain accounting policies, as described in this note and elsewhere in the accompanying notes to the consolidated financial statements.</w:t>
      </w:r>
    </w:p>
    <w:p>
      <w:pPr>
        <w:spacing w:after="0" w:line="131"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Basis of Consolidation. </w:t>
      </w:r>
      <w:r>
        <w:rPr>
          <w:rFonts w:ascii="Arial" w:cs="Arial" w:eastAsia="Arial" w:hAnsi="Arial"/>
          <w:sz w:val="16"/>
          <w:szCs w:val="16"/>
          <w:color w:val="auto"/>
        </w:rPr>
        <w:t>The consolidated financial statements include the accounts of the Company and Galectin Therapeutics Security Corp., its wholly-owned subsidiary, which was incorporated in Delaware on December 23, 2003. Galectin Therapeutics Security Corp. holds the cash and cash equivalents that are not required to fund current operating needs. All intercompany transactions have been eliminated.</w:t>
      </w:r>
    </w:p>
    <w:p>
      <w:pPr>
        <w:spacing w:after="0" w:line="106" w:lineRule="exact"/>
        <w:rPr>
          <w:rFonts w:ascii="Arial" w:cs="Arial" w:eastAsia="Arial" w:hAnsi="Arial"/>
          <w:sz w:val="18"/>
          <w:szCs w:val="18"/>
          <w:b w:val="1"/>
          <w:bCs w:val="1"/>
          <w:color w:val="auto"/>
        </w:rPr>
      </w:pPr>
    </w:p>
    <w:p>
      <w:pPr>
        <w:ind w:left="460" w:right="180"/>
        <w:spacing w:after="0" w:line="318" w:lineRule="auto"/>
        <w:rPr>
          <w:rFonts w:ascii="Arial" w:cs="Arial" w:eastAsia="Arial" w:hAnsi="Arial"/>
          <w:sz w:val="18"/>
          <w:szCs w:val="18"/>
          <w:b w:val="1"/>
          <w:bCs w:val="1"/>
          <w:color w:val="auto"/>
        </w:rPr>
      </w:pPr>
      <w:r>
        <w:rPr>
          <w:rFonts w:ascii="Arial" w:cs="Arial" w:eastAsia="Arial" w:hAnsi="Arial"/>
          <w:sz w:val="15"/>
          <w:szCs w:val="15"/>
          <w:i w:val="1"/>
          <w:iCs w:val="1"/>
          <w:color w:val="auto"/>
        </w:rPr>
        <w:t xml:space="preserve">Use of Estimates. </w:t>
      </w:r>
      <w:r>
        <w:rPr>
          <w:rFonts w:ascii="Arial" w:cs="Arial" w:eastAsia="Arial" w:hAnsi="Arial"/>
          <w:sz w:val="15"/>
          <w:szCs w:val="15"/>
          <w:color w:val="auto"/>
        </w:rPr>
        <w:t>The preparation of financial statements in conformity with accounting principles generally accepted in the United States of America</w:t>
      </w:r>
      <w:r>
        <w:rPr>
          <w:rFonts w:ascii="Arial" w:cs="Arial" w:eastAsia="Arial" w:hAnsi="Arial"/>
          <w:sz w:val="15"/>
          <w:szCs w:val="15"/>
          <w:i w:val="1"/>
          <w:iCs w:val="1"/>
          <w:color w:val="auto"/>
        </w:rPr>
        <w:t xml:space="preserve"> </w:t>
      </w:r>
      <w:r>
        <w:rPr>
          <w:rFonts w:ascii="Arial" w:cs="Arial" w:eastAsia="Arial" w:hAnsi="Arial"/>
          <w:sz w:val="15"/>
          <w:szCs w:val="15"/>
          <w:color w:val="auto"/>
        </w:rPr>
        <w:t>requires management to make estimates and judgments that may affect the reported amounts of assets, liabilities, equity, revenue, expenses and related disclosure of contingent assets and liabilities. Management’s estimates and judgments include assumptions used in stock option and warrant liability valuations, useful lives of property and equipment and intangible assets, accrued liabilities, deferred income taxes and various other assumptions that are believed to be reasonable under the circumstances. Actual results may differ from those estimates under different assumptions or conditions.</w:t>
      </w:r>
    </w:p>
    <w:p>
      <w:pPr>
        <w:spacing w:after="0" w:line="99"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 The Company has certain financial assets and liabilities recorded at fair value. Fair values determined by Level 1 inputs utilize</w:t>
      </w:r>
      <w:r>
        <w:rPr>
          <w:rFonts w:ascii="Arial" w:cs="Arial" w:eastAsia="Arial" w:hAnsi="Arial"/>
          <w:sz w:val="16"/>
          <w:szCs w:val="16"/>
          <w:i w:val="1"/>
          <w:iCs w:val="1"/>
          <w:color w:val="auto"/>
        </w:rPr>
        <w:t xml:space="preserve"> </w:t>
      </w:r>
      <w:r>
        <w:rPr>
          <w:rFonts w:ascii="Arial" w:cs="Arial" w:eastAsia="Arial" w:hAnsi="Arial"/>
          <w:sz w:val="16"/>
          <w:szCs w:val="16"/>
          <w:color w:val="auto"/>
        </w:rPr>
        <w:t>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using level 3 inputs as defined above. Included in cash and cash equivalents, as of December 31, 2012 and 2011, the Company had $583,000 and $6,123,000, respectively, invested in money market funds which had calculated net asset values and were therefore classified as Level 2.</w:t>
      </w:r>
    </w:p>
    <w:p>
      <w:pPr>
        <w:spacing w:after="0" w:line="118"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highly-liquid investments with original maturities of 90 days or less at the time of acquisition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cash equivalents.</w:t>
      </w:r>
    </w:p>
    <w:p>
      <w:pPr>
        <w:spacing w:after="0" w:line="131" w:lineRule="exact"/>
        <w:rPr>
          <w:rFonts w:ascii="Arial" w:cs="Arial" w:eastAsia="Arial" w:hAnsi="Arial"/>
          <w:sz w:val="18"/>
          <w:szCs w:val="18"/>
          <w:b w:val="1"/>
          <w:bCs w:val="1"/>
          <w:color w:val="auto"/>
        </w:rPr>
      </w:pPr>
    </w:p>
    <w:p>
      <w:pPr>
        <w:ind w:left="460" w:right="760"/>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Prepaid Expenses and Other Current Assets. </w:t>
      </w:r>
      <w:r>
        <w:rPr>
          <w:rFonts w:ascii="Arial" w:cs="Arial" w:eastAsia="Arial" w:hAnsi="Arial"/>
          <w:sz w:val="18"/>
          <w:szCs w:val="18"/>
          <w:color w:val="auto"/>
        </w:rPr>
        <w:t>Prepaid expenses and other assets consist principally of prepaid insurance and prepaid rent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leased executive office space.</w:t>
      </w:r>
    </w:p>
    <w:p>
      <w:pPr>
        <w:spacing w:after="0" w:line="131"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Property and equipment, including leasehold improvements, are stated at cost, net of accumulated depreciation,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60"/>
        <w:spacing w:after="0" w:line="268" w:lineRule="auto"/>
        <w:rPr>
          <w:sz w:val="20"/>
          <w:szCs w:val="20"/>
          <w:color w:val="auto"/>
        </w:rPr>
      </w:pPr>
      <w:r>
        <w:rPr>
          <w:rFonts w:ascii="Arial" w:cs="Arial" w:eastAsia="Arial" w:hAnsi="Arial"/>
          <w:sz w:val="18"/>
          <w:szCs w:val="18"/>
          <w:i w:val="1"/>
          <w:iCs w:val="1"/>
          <w:color w:val="auto"/>
        </w:rPr>
        <w:t xml:space="preserve">Restricted Cash and Security Deposit. </w:t>
      </w:r>
      <w:r>
        <w:rPr>
          <w:rFonts w:ascii="Arial" w:cs="Arial" w:eastAsia="Arial" w:hAnsi="Arial"/>
          <w:sz w:val="18"/>
          <w:szCs w:val="18"/>
          <w:color w:val="auto"/>
        </w:rPr>
        <w:t>Restricted cash consists of security deposits principally for a real estate lease at December 31, 2011.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the Company had a security deposit of $6,000 for leased office space.</w:t>
      </w:r>
    </w:p>
    <w:p>
      <w:pPr>
        <w:spacing w:after="0" w:line="132" w:lineRule="exact"/>
        <w:rPr>
          <w:sz w:val="20"/>
          <w:szCs w:val="20"/>
          <w:color w:val="auto"/>
        </w:rPr>
      </w:pPr>
    </w:p>
    <w:p>
      <w:pPr>
        <w:ind w:left="460" w:right="400"/>
        <w:spacing w:after="0" w:line="256"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include patent costs, consisting primarily of related capitalized legal fees, which are amortized over an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life of five years from issuance. Amortization expense in 2012 and 2011 was $6,000 and $3,000, respectively. Gross intangible assets at December 31, 2012 and 2011 totaled $78,000 each year, and accumulated amortization at December 31, 2012 and 2011 totaled $48,000 and $42,000, respectively.</w:t>
      </w:r>
    </w:p>
    <w:p>
      <w:pPr>
        <w:spacing w:after="0" w:line="143"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The Company reviews all long-lived assets for impairment whenever events or circumstances indicate the carrying amount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w:t>
      </w:r>
    </w:p>
    <w:p>
      <w:pPr>
        <w:spacing w:after="0" w:line="113"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The Company has issued common stock warrants in connection with the execution of certain equity and debt financings. Certain warrants were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derivative liabilities at fair value. Such warrants did not meet the accounting criteria that a contract should not be considered a derivative instrument if it is (1) indexed to its own stock and (2) classified in stockholders’ equity. Changes in fair value of derivative liabilities are recorded in the consolidated statement of operations under the caption “Change in fair value of warrant liabilities.” Warrants that are not considered derivative liabilities are accounted for at fair value at the date of issuance in additional paid-in capital. The fair value of warrants was determined using the Black-Scholes option-pricing model. There were no warrant liabilities as of December 31, 2012 or 2011.</w:t>
      </w:r>
    </w:p>
    <w:p>
      <w:pPr>
        <w:spacing w:after="0" w:line="120"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The Company records revenue provided that there is persuasive evidence that an arrangement exists, the price is fixed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services were rendered and collectability is reasonably assured.</w:t>
      </w:r>
    </w:p>
    <w:p>
      <w:pPr>
        <w:spacing w:after="0" w:line="132"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among other costs, salaries and other personnel-related costs, and costs incurred by outside laboratories and other accredited facilities in connection with clinical trials and preclinical studies.</w:t>
      </w:r>
    </w:p>
    <w:p>
      <w:pPr>
        <w:spacing w:after="0" w:line="14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accounts for income taxes in accordance with the accounting rules that requires an asset and liability approach to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11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i w:val="1"/>
          <w:iCs w:val="1"/>
          <w:color w:val="auto"/>
        </w:rPr>
        <w:t xml:space="preserve">Comprehensive Income (Loss). </w:t>
      </w:r>
      <w:r>
        <w:rPr>
          <w:rFonts w:ascii="Arial" w:cs="Arial" w:eastAsia="Arial" w:hAnsi="Arial"/>
          <w:sz w:val="18"/>
          <w:szCs w:val="18"/>
          <w:color w:val="auto"/>
        </w:rPr>
        <w:t>Comprehensive income (loss) is defined as the change in equity of a business enterprise during a period from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events and circumstances from non-owner sources. The Company does not have any items of comprehensive income (loss) other than net losses as reported.</w:t>
      </w:r>
    </w:p>
    <w:p>
      <w:pPr>
        <w:spacing w:after="0" w:line="140"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Financial instruments that subject the Company to credit risk consist of cash and cash equivalents and certificates of</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The Company maintains cash and cash equivalents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certificates of deposit with well-capitalized financial institutions. At times, those amounts may exceed federally insured limits. The Company has no significant concentrations of credit risk.</w:t>
      </w:r>
    </w:p>
    <w:p>
      <w:pPr>
        <w:spacing w:after="0" w:line="132"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over the service period, which generally represents the vesting period. For awards that have performance 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w:t>
      </w:r>
    </w:p>
    <w:p>
      <w:pPr>
        <w:spacing w:after="0" w:line="234" w:lineRule="exact"/>
        <w:rPr>
          <w:sz w:val="20"/>
          <w:szCs w:val="20"/>
          <w:color w:val="auto"/>
        </w:rPr>
      </w:pPr>
    </w:p>
    <w:p>
      <w:pPr>
        <w:ind w:left="460" w:right="6900" w:hanging="452"/>
        <w:spacing w:after="0" w:line="347" w:lineRule="auto"/>
        <w:tabs>
          <w:tab w:leader="none" w:pos="449"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with PROCAPS S.A. and Research Grants </w:t>
      </w:r>
      <w:r>
        <w:rPr>
          <w:rFonts w:ascii="Arial" w:cs="Arial" w:eastAsia="Arial" w:hAnsi="Arial"/>
          <w:sz w:val="18"/>
          <w:szCs w:val="18"/>
          <w:i w:val="1"/>
          <w:iCs w:val="1"/>
          <w:color w:val="auto"/>
        </w:rPr>
        <w:t>Agreement with PROCAPS S.A.</w:t>
      </w:r>
    </w:p>
    <w:p>
      <w:pPr>
        <w:spacing w:after="0" w:line="1" w:lineRule="exact"/>
        <w:rPr>
          <w:rFonts w:ascii="Arial" w:cs="Arial" w:eastAsia="Arial" w:hAnsi="Arial"/>
          <w:sz w:val="18"/>
          <w:szCs w:val="18"/>
          <w:b w:val="1"/>
          <w:bCs w:val="1"/>
          <w:color w:val="auto"/>
        </w:rPr>
      </w:pPr>
    </w:p>
    <w:p>
      <w:pPr>
        <w:ind w:left="4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On March 25, 2010, the Company granted PROCAPS S.A. (“PROCAPS”) (in the form of a definitive term sheet) exclusive rights to market and sell GM-CT-01 (formerly DAVANAT</w:t>
      </w:r>
      <w:r>
        <w:rPr>
          <w:rFonts w:ascii="Arial" w:cs="Arial" w:eastAsia="Arial" w:hAnsi="Arial"/>
          <w:sz w:val="10"/>
          <w:szCs w:val="10"/>
          <w:color w:val="auto"/>
        </w:rPr>
        <w:t>®</w:t>
      </w:r>
      <w:r>
        <w:rPr>
          <w:rFonts w:ascii="Arial" w:cs="Arial" w:eastAsia="Arial" w:hAnsi="Arial"/>
          <w:sz w:val="16"/>
          <w:szCs w:val="16"/>
          <w:color w:val="auto"/>
        </w:rPr>
        <w:t>) to treat cancer in Colombia, South America. PROCAPS is an international, privately held pharmaceutical company based in Barranquilla, Colombia. In October 2010, the Company received a payment of $200,000 and shipped GM-CT-01 to PROCAPS to be used by PROCAPS to qualify its vial filling process and to replicate the Company’s stability study. The $200,000 payment from PROCAPS was included as deferred income on the condensed consolidated balance sheets as of December 31, 2011.</w:t>
      </w:r>
    </w:p>
    <w:p>
      <w:pPr>
        <w:spacing w:after="0" w:line="115"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October 18, 2011, the Company entered into a Collaboration, Supply, Marketing and Distribution Agreement (the “Agreement”) with PROCAPS. The Agreement granted PROCAPS first negotiation rights to enter into similar agreements in other Central and South American countries. The Company was to be the sole manufacturer and supplier of GM-CT-01 to PROCAPS. The Agreement obligated PROCAPS to procure regulatory approvals necessary for the marketing and sale of GM-CT-01 naming the Company as the owner of such approvals to the extent permitted by law, or alternatively hold the approvals for the Company’s benefit. PROCAPS was to pay the Company a stated fee for each dose it purchased and royalties at an incremental rate determined by annual net sales of GM-CT-01. The Company retains all intellectual property rights to GM-CT-01 and related products and PROCAPS may not produce, modify, reverse engineer, or otherwise interfere with the GM-CT-01 compound. PROCAPS was not able to manufacture or sell products that compete with GM-CT-01 during the term of the Agreement and for five years thereafter.</w:t>
      </w:r>
    </w:p>
    <w:p>
      <w:pPr>
        <w:spacing w:after="0" w:line="118"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PROCAPS had not obtained approval to sell GM-CT-01 in Columbia as required by the Agreement and, as they were in material breach of the Agreement, the Company terminated the Agreement, effective September 29, 2012. With no further obligations, the Company recognized the $200,000 payment as Other Income in the Statements of Operations during the year ended December 31, 2012.</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Qualifying Therapeutic Discovery Project</w:t>
      </w:r>
    </w:p>
    <w:p>
      <w:pPr>
        <w:spacing w:after="0" w:line="90" w:lineRule="exact"/>
        <w:rPr>
          <w:rFonts w:ascii="Arial" w:cs="Arial" w:eastAsia="Arial" w:hAnsi="Arial"/>
          <w:sz w:val="18"/>
          <w:szCs w:val="18"/>
          <w:b w:val="1"/>
          <w:bCs w:val="1"/>
          <w:color w:val="auto"/>
        </w:rPr>
      </w:pPr>
    </w:p>
    <w:p>
      <w:pPr>
        <w:jc w:val="both"/>
        <w:ind w:left="460" w:right="2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October 2010, the Company was notified that it was awarded $489,000 total in two federal grants under the Qualifying Therapeutic Discovery Project (“QTDP”) Program for its GM-CT-01 anti-cancer compound and for its GR/GM-Series of anti-fibrotic, cirrhosis compounds for work performed during 2010 and 2009. The Company recognized this grant in other income in the statement of operations for the year ended December 31, 2010. The Company received $255,000 of the grant in 2010 and the remaining $234,000 was received in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6"/>
          </w:tcPr>
          <w:p>
            <w:pPr>
              <w:jc w:val="right"/>
              <w:ind w:right="192"/>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7"/>
              </w:rPr>
              <w:t>(66)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(315)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80" w:type="dxa"/>
            <w:vAlign w:val="bottom"/>
            <w:vMerge w:val="restart"/>
          </w:tcPr>
          <w:p>
            <w:pPr>
              <w:ind w:left="440"/>
              <w:spacing w:after="0"/>
              <w:rPr>
                <w:sz w:val="20"/>
                <w:szCs w:val="20"/>
                <w:color w:val="auto"/>
              </w:rPr>
            </w:pPr>
            <w:r>
              <w:rPr>
                <w:rFonts w:ascii="Arial" w:cs="Arial" w:eastAsia="Arial" w:hAnsi="Arial"/>
                <w:sz w:val="18"/>
                <w:szCs w:val="18"/>
                <w:color w:val="auto"/>
              </w:rPr>
              <w:t>Property and equipment—net</w:t>
            </w: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80" w:type="dxa"/>
            <w:vAlign w:val="bottom"/>
            <w:vMerge w:val="continue"/>
          </w:tcPr>
          <w:p>
            <w:pPr>
              <w:spacing w:after="0"/>
              <w:rPr>
                <w:sz w:val="19"/>
                <w:szCs w:val="19"/>
                <w:color w:val="auto"/>
              </w:rPr>
            </w:pPr>
          </w:p>
        </w:tc>
        <w:tc>
          <w:tcPr>
            <w:tcW w:w="7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40" w:type="dxa"/>
            <w:vAlign w:val="bottom"/>
            <w:gridSpan w:val="2"/>
            <w:vMerge w:val="restart"/>
          </w:tcPr>
          <w:p>
            <w:pPr>
              <w:ind w:left="160"/>
              <w:spacing w:after="0"/>
              <w:rPr>
                <w:sz w:val="20"/>
                <w:szCs w:val="20"/>
                <w:color w:val="auto"/>
              </w:rPr>
            </w:pPr>
            <w:r>
              <w:rPr>
                <w:rFonts w:ascii="Arial" w:cs="Arial" w:eastAsia="Arial" w:hAnsi="Arial"/>
                <w:sz w:val="18"/>
                <w:szCs w:val="18"/>
                <w:color w:val="auto"/>
                <w:w w:val="93"/>
              </w:rPr>
              <w:t>Depreciation expense for the years ended December 31, 2012 and 2011 was $3,000 and $6,000, respectively.</w:t>
            </w: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0" w:type="dxa"/>
            <w:vAlign w:val="bottom"/>
          </w:tcPr>
          <w:p>
            <w:pPr>
              <w:spacing w:after="0"/>
              <w:rPr>
                <w:sz w:val="24"/>
                <w:szCs w:val="24"/>
                <w:color w:val="auto"/>
              </w:rPr>
            </w:pPr>
          </w:p>
        </w:tc>
        <w:tc>
          <w:tcPr>
            <w:tcW w:w="84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Accrued Expenses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 at December 31: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1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79"/>
              </w:rPr>
              <w:t>109</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Accrued compensation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 (Note 11)</w:t>
            </w:r>
          </w:p>
        </w:tc>
        <w:tc>
          <w:tcPr>
            <w:tcW w:w="16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1,161</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w:t>
      </w:r>
    </w:p>
    <w:p>
      <w:pPr>
        <w:spacing w:after="0" w:line="96" w:lineRule="exact"/>
        <w:rPr>
          <w:rFonts w:ascii="Arial" w:cs="Arial" w:eastAsia="Arial" w:hAnsi="Arial"/>
          <w:sz w:val="18"/>
          <w:szCs w:val="18"/>
          <w:b w:val="1"/>
          <w:bCs w:val="1"/>
          <w:color w:val="auto"/>
        </w:rPr>
      </w:pPr>
    </w:p>
    <w:p>
      <w:pPr>
        <w:ind w:left="460"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At December 31, 2012, the Company had 50,000,000 shares of common stock and 20,000,000 undesignated shares authorized. As of December 31, 2012, 5,000,000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and 11,999,000 remain undesignated.</w:t>
      </w:r>
    </w:p>
    <w:p>
      <w:pPr>
        <w:spacing w:after="0" w:line="112"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raised capital through a number of debt and equity financing transactions. The following provides a description of the Company’s equity financings and certain warrants issued in connection with such equity financings.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2001 Private Placement</w:t>
      </w:r>
    </w:p>
    <w:p>
      <w:pPr>
        <w:spacing w:after="0" w:line="90"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During 2001, the Company sold a total of 114,884 shares of common stock for proceeds of $2,221,000, net of $17,000 of issuance costs through a private placement of securities. In connection with this issuance, the Company issued 56,534 and 58,350 warrants to purchase common stock at $39.00 and $30.00 per share, respectively. The Company valued the warrants at $886,000, based on a fair market value of the Company’s common stock of $13.68 per share. These warrants expired unexercised in 2005.</w:t>
      </w:r>
    </w:p>
    <w:p>
      <w:pPr>
        <w:spacing w:after="0" w:line="14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August 2001, the Company offered warrants to holders of its outstanding convertible notes as an inducement to convert prior to the maturity of the notes. Holders representing $1,126,000 of the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principal and accrued interest chose to convert at a conversion price of $12.00 per share and received 99,705 common shares and 93,801 warrants. These warrants have an exercise price of $39.00 per share and were immediately exercisable. The Company valued the warrants at $503,000 based on a fair market value of the Company’s common stock of $13.68 per share. The value of the warrants has been recorded as a debt conversion expense. These warrants expired unexercised in 2005.</w:t>
      </w:r>
    </w:p>
    <w:p>
      <w:pPr>
        <w:spacing w:after="0" w:line="143"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In 2002, the Company issued 18,334 warrants to the agents in connection with the 2001 offering. The warrants were exercisable immediately at an exercise price of $21.00 per share and have a 10 year life. The Company valued these warrants at $236,000 based on a deemed fair value of the Company’s common stock of $21.00 per share and recorded such value as interest expense in the statement of operations for the year ended December 31, 2002. These warrants expired unexercised in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Offering</w:t>
      </w:r>
    </w:p>
    <w:p>
      <w:pPr>
        <w:spacing w:after="0" w:line="90"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color w:val="auto"/>
        </w:rPr>
        <w:t>On December 13, 2001, the Company commenced a public offering of common stock, at a price to the public of $21.00 per share. The Company concluded the offering on June 30, 2002. During 2002, the Company sold 31,000 shares of common stock in this offering for proceeds of $602,000, net of $49,000 of issuance costs.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2002 Private Placement</w:t>
      </w:r>
    </w:p>
    <w:p>
      <w:pPr>
        <w:spacing w:after="0" w:line="9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In September 2002, the Company began a private placement (the “2002 Private Placement”) of up to 1,666,667 shares of common stock at $6.00 per share. As of December 31, 2002, the Company had sold 537,227 shares for proceeds of $2,861,000, net of issuance costs of $212,000 and stock subscription receivable of $150,000, which related to shares purchased but for which payment had not been received as of December 31, 2002. This offering was closed on January 14, 2003, although subsequent to year end the Company sold an additional 181,334 shares for additional proceeds of $1,070,000, net of $18,000 of offering costs.</w:t>
      </w:r>
    </w:p>
    <w:p>
      <w:pPr>
        <w:spacing w:after="0" w:line="143"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color w:val="auto"/>
        </w:rPr>
        <w:t>The Company compensated a registered investment adviser with respect to shares purchased by its clients. As of December 31, 2002, the adviser was entitled to receive 28,917 shares of common stock. The Company also agreed to compensate a finder registered under applicable law, and such finder’s agents, for identifying qualified investors. As of December 31, 2002, one of the finder’s agents was entitled to receive 125 shares of common stock. On January 14, 2003, the Company closed the 2002 Private Placement, at which point the Company agreed to issue the adviser an additional 417 shares, and the finder and its other agent an aggregate of 1,625 additional shares and $3,000 in cash in connection with the shares sold subsequent to December 31, 2002 and through the closing date.</w:t>
      </w:r>
    </w:p>
    <w:p>
      <w:pPr>
        <w:spacing w:after="0" w:line="12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Shares placed by such registered adviser, finder and finder’s agent were accounted for as offering costs and valued at $6.00 per share, consistent with the price paid for the shares placed in the offering. Such offering costs were netted against the proceeds of the 2002 Private Placement. Since none of the 29,042 shares had been issued as of December 31, 2002, the Company recorded the obligation to issue such shares as offering costs payable. The additional 2,042 shares issued in January 2003 were also valued at $6.00 per share and included in the $18,000 offering costs recorded at the closing. These shares were subsequently issued in 2003.</w:t>
      </w:r>
    </w:p>
    <w:p>
      <w:pPr>
        <w:spacing w:after="0" w:line="143"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During 2002, the Company also agreed to issue 350 shares of common stock to an employee for finding investors in connection with the 2002 Private Placement. None of the shares had been issued as of December 31, 2002. These shares were subsequently issued in 2003. Accordingly, the Company recorded the obligation to general and administrative expenses in the statement of operations in the amount of $6,000. On January 14, 2003, the Company closed the 2002 Private Placement, at which point the Company agreed to issue such employee an additional 1,167 shares in connection with shares sold subsequent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December 31, 2002 and through the closing date. The Company recorded an additional obligation of $27,000 to general and administrative expenses in 2003 representing the fair value of the additional 1,167 shares.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2002 Related Party Transaction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agreed to issue 4,226 shares of common stock as payment for 2002 scientific advisory services. These shares were issued in 2003.</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May 2003 Private Placement</w:t>
      </w:r>
    </w:p>
    <w:p>
      <w:pPr>
        <w:spacing w:after="0" w:line="9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May 2003, the Company began a private placement of up to 416,667 shares of common stock at $12.00 per share. As of the closing on July 15, 2003, the Company had sold 399,917 shares of common stock for proceeds of $4,671,000, net of issuance costs of $128,000. In connection with this offering the Company issued 18,269 common stock warrants (exercisable at $32.40 per share) to its placement agents. The Company valued the warrants at $261,000 using the Black-Scholes pricing model and recorded the warrant value as offering costs with a corresponding increase to additional paid-in capital. These warrants expired unexercised in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October 2003 “PIPE” Transaction</w:t>
      </w:r>
    </w:p>
    <w:p>
      <w:pPr>
        <w:spacing w:after="0" w:line="90"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On October 2, 2003 the Company closed a private offering, structured as a Private Investment, Public Equity (“PIPE”), exempt from registration under Section 4(2) of the Securities Act of 1933, in which it sold to institutional investors 219,096 of the 238,096 offered shares of common stock at $21.00 per share for proceeds of $4,041,000, net of issuance costs of $559,000. In connection with this offering, the Company issued 109,549 warrants with an initial exercise price of $31.74 per share to the investors and 10,955 warrants with an initial exercise price of $41.16 per share to its placement agent. The exercise price of the warrants was subject to adjustment pursuant to anti-dilution and other provisions. The investor warrants and placement agent Warrants were valued at $2,531,000 and $191,000, respectively, using the relative fair value, and allocated to additional paid-in-capital. The Company used the Black-Scholes pricing model to value these warrants. The warrants were originally accounted for as freestanding derivative instruments. The investor warrants expired unexercised in 2008 and the placement agent warrants expired unexercised in 2007.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April 2004 “PIPE” Transaction</w:t>
      </w:r>
    </w:p>
    <w:p>
      <w:pPr>
        <w:spacing w:after="0" w:line="9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On April 7, 2004, the Company closed a private equity offering, structured as a “PIPE” in which it sold to certain institutional investors 206,019 shares of common stock at $21.60 per share for proceeds of $3,983,000, net of cash issuance costs of $466,000. In connection with this offering, the Company issued 103,010 warrants to investors and 10,301 warrants to a placement agent with an initial exercise price of $31.80 per share. The exercise price of the warrants was subject to adjustment pursuant to anti-dilution and other provisions. The investor warrants and the placement agent warrants were valued at $1,931,000 and $154,000, respectively, using the relative fair value, and allocated to additional paid-in-capital. The Company used the Black-Scholes pricing model to value these warrants. The warrants were originally accounted for as freestanding derivative instruments. The investor warrants expired unexercised in 2009 and the placement agent warrants expired unexercised in 2007.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August 2004 “PIPE” Transaction</w:t>
      </w:r>
    </w:p>
    <w:p>
      <w:pPr>
        <w:spacing w:after="0" w:line="90" w:lineRule="exact"/>
        <w:rPr>
          <w:sz w:val="20"/>
          <w:szCs w:val="20"/>
          <w:color w:val="auto"/>
        </w:rPr>
      </w:pPr>
    </w:p>
    <w:p>
      <w:pPr>
        <w:ind w:left="460" w:right="60"/>
        <w:spacing w:after="0" w:line="370" w:lineRule="auto"/>
        <w:rPr>
          <w:sz w:val="20"/>
          <w:szCs w:val="20"/>
          <w:color w:val="auto"/>
        </w:rPr>
      </w:pPr>
      <w:r>
        <w:rPr>
          <w:rFonts w:ascii="Arial" w:cs="Arial" w:eastAsia="Arial" w:hAnsi="Arial"/>
          <w:sz w:val="15"/>
          <w:szCs w:val="15"/>
          <w:color w:val="auto"/>
        </w:rPr>
        <w:t>On August 12, 2004, the Company closed a private offering, structured as a “PIPE” in which it sold to certain institutional investors 333,334 shares of common stock at $18.00 per share for proceeds of $5,515,000, net of cash issuance costs of $485,000. In connection with this offering the Company issued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20"/>
        <w:spacing w:after="0" w:line="323" w:lineRule="auto"/>
        <w:rPr>
          <w:sz w:val="20"/>
          <w:szCs w:val="20"/>
          <w:color w:val="auto"/>
        </w:rPr>
      </w:pPr>
      <w:r>
        <w:rPr>
          <w:rFonts w:ascii="Arial" w:cs="Arial" w:eastAsia="Arial" w:hAnsi="Arial"/>
          <w:sz w:val="15"/>
          <w:szCs w:val="15"/>
          <w:color w:val="auto"/>
        </w:rPr>
        <w:t>333,334 warrants to the investors and 16,667 warrants to the placement agent with an exercise price of $4.20 per share. The exercise price of the warrants was subject to adjustment solely as a result of stock splits, recapitalizations and similar events. The investor warrants and placement agent warrants were valued at $4,786,000 and $239,000, respectively, and allocated to additional paid-in-capital. The Company used the Black-Scholes pricing model to value these warrants. The warrants were originally accounted for as freestanding derivative instruments. These warrants expired unexercised in 2009.</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February 25, 2008 Offering</w:t>
      </w:r>
    </w:p>
    <w:p>
      <w:pPr>
        <w:spacing w:after="0" w:line="90"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On February 25, 2008, the Company closed an offering in which it sold to investors (i) an aggregate of 1,250,000 shares of the Company’s common stock at $3.00 per share, (ii) warrants, which expire on August 25, 2013, to purchase an aggregate of 1,250,000 share of the Company’s common stock at an exercise price of $3.50 per share, and (iii) warrants, which expired on December 26, 2008, to purchase an aggregate of 500,000 shares of the Company’s common stock at an exercise price of $3.78 per share. In addition, the Company issued to a placement agent warrants, which expire on August 25, 2013, to purchase 34,375 shares of the Company’s common stock at an exercise price of $4.20 per share. The warrants are exercisable beginning on August 25, 2008. The warrants provide for cashless exercise if at any time during the term of the warrants if there is no effective registration statement for the issuance or resale of the underlying warrant shares. The exercise price of each warrant is adjustable in the event of a stock split or stock combination, capital reorganization, merger or similar event.</w:t>
      </w:r>
    </w:p>
    <w:p>
      <w:pPr>
        <w:spacing w:after="0" w:line="118"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The Company received proceeds of $3,381,000, net of cash transaction costs of $369,000. In addition the Company incurred $56,000 of costs for warrants issued to a placement agent. Proceeds of $1,044,000 were allocated to common stock and $2,281,000 were allocated to investor warrants using the Black-Scholes method with a fair market value of the Company’s common stock of $2.40 and the following assumptions as of February 25, 2008: for the 5 year warrants exercisable at $4.20 per share, a risk-free interest rate of 2.94% and volatility of 95% and for the 4 month warrants exercisable at $3.78 per share, a risk-free interest rate of 2.13% and volatility of 95%. The warrants were determined to have the characteristics of derivative liabilities and were originally accounted for as liabilities prior to the Company increasing the authorized number of shares. Changes in fair value were recognized as either a gain or loss in the consolidated statement of operations. In the second quarter of 2008 the warrants were reclassified to equity. Through May 21, 2008, these warrants were marked to market resulting in a reduction in warrant liabilities in the balance sheet and an offsetting credit to change in fair value of warrant liabilities in the statement of operations in the amount of $356,000. The remaining fair value of $2,160,000 was credited to additional paid-in capital in the balance sheet. On December 26, 2008 the 500,000 warrants exercisable at $3.78 expired unexercised. If the Company pays a stock dividend or makes a distribution or combines shares of its common stock, then the number of shares issuable upon exercise of this warrant shall be proportionately adjusted such that the aggregate exercise price of this warrant remains unchanged.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Cork Investments</w:t>
      </w:r>
    </w:p>
    <w:p>
      <w:pPr>
        <w:spacing w:after="0" w:line="90"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On July 2, 2008, the Company issued 50,000 warrants to Cork Investments in exchange for $20,000. The warrants were exercisable for common stock at $6.00 per share for a period of three years and expired unexercised in 2011. The $20,000 was credited to additional paid in capital.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Offering of Units</w:t>
      </w:r>
    </w:p>
    <w:p>
      <w:pPr>
        <w:spacing w:after="0" w:line="90"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On March 22, 2012, the Company entered into an underwriting agreement, relating to the offer and sale of 1,159,445 units (the “Units”) of the Company, each unit consisted of two shares of Common Stock and one warrant to purchase one share of Common Stock. Pursuant to the underwriting agreement, the Company granted the underwriters a 45-day option to purchase up to an additional 173,916 Units to cover over-allotments, which they exercised on March 26, 2012. The public offering price for each Unit was $9.00. Each warrant has an initial exercise price of $5.63 per share, is exercisable upon separation of the Units and expires on March 28, 2017.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 5 years, a volatility of 119% and a risk free interest rate of 1.05%.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12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On March 28, 2012, in connection with this underwritten financing as per the underwriting agreement, the Company issued a total of 46,378 common stock purchase warrants to the underwriters. These warrants expire May 2, 2016, have an exercise price of $5.63 per share, and are exercisable beginning one year from March 22, 2012 (the date of the underwriting agreement). These warrants were valued at $143,000 as of the date of issuance (March 28, 2012), using the closing price of $4.20, life of 4.1 years, volatility of 117% and risk free interest rate of 0.78%. Based upon the Company’s analysis of the criteria contained in ASC Topic 815-40, “Derivatives and Hedging — Contracts in Entity’s Own Equity”, the Company has determined that these warrants issued in connection with this financing transaction were not derivative liabilities and therefore, were recorded as additional paid-in capital.</w:t>
      </w:r>
    </w:p>
    <w:p>
      <w:pPr>
        <w:spacing w:after="0" w:line="12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Effective as of March 23, 2012, and in connection with the pricing of the offering of Units, the Company effected a one-for-six reverse split of its Common Stock. Per the terms of the reverse split, all fractional shares were rounded up. Based on the effective split date of March 23, 2012, the Company issued 3,324 shares of common stock to cover fractional shares.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A 12% Convertible Preferred Stock — February 4, 2008 Private Placement</w:t>
      </w:r>
    </w:p>
    <w:p>
      <w:pPr>
        <w:spacing w:after="0" w:line="9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118"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20"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As of December 31, 2007, the Company had received subscription advances of $1,667,500 for Series A. In 2008, the Company received additional subscription advances of $75,000 resulting in total gross proceeds of $1,742,500. On February 4, 2008 the Company closed the private placement. The Company incurred $52,000 of cash transaction costs resulting in net cash proceeds of $1,691,000. In addition, the Company incurred $3,000 of costs for 1,400 warrants exercisable at $9.00 issued to placement agents. Proceeds of $984,000 were allocated to investor warrants using the Black-Scholes method with the following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assumptions as of February 4, 2008: risk free interest rate 2.51%, volatility 95%, fair market value of the company’s common stock on February 4, 2008, and the share price on the closing date of the transaction of $3.54. The warrants were originally accounted for as freestanding derivative instruments in the consolidated balance sheet formerly under the caption “Warrant Liabilities”. These warrants were originally classified as a liability because the February 2006 warrants contain an anti-dilution provision in the event of a subsequent dilutive issuance and the potential number of shares issuable exceeded the Company’s authorized shares. Changes in fair value were recognized as either a gain or loss in the consolidated statement of operations under the caption “Change in fair value of warrant liabilities”. In the second quarter of 2008, the warrants were reclassified to equity as a result of an amendment to the Company’s articles of incorporation approved at the May 21, 2008 annual meeting of shareholders increasing the Company’s authorized common. Through May 21, 2008, these warrants were marked to market resulting in a reduction in warrant liabilities in the balance sheet and an offsetting credit to change in fair value of warrant liabilities in the statement of operations in the amount of $100,000. The remaining fair value of $502,000 was credited to additional paid-in capital in the balance sheet.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90" w:lineRule="exact"/>
        <w:rPr>
          <w:sz w:val="20"/>
          <w:szCs w:val="20"/>
          <w:color w:val="auto"/>
        </w:rPr>
      </w:pPr>
    </w:p>
    <w:p>
      <w:pPr>
        <w:ind w:left="460" w:right="220"/>
        <w:spacing w:after="0" w:line="256" w:lineRule="auto"/>
        <w:rPr>
          <w:sz w:val="20"/>
          <w:szCs w:val="20"/>
          <w:color w:val="auto"/>
        </w:rPr>
      </w:pPr>
      <w:r>
        <w:rPr>
          <w:rFonts w:ascii="Arial" w:cs="Arial" w:eastAsia="Arial" w:hAnsi="Arial"/>
          <w:sz w:val="18"/>
          <w:szCs w:val="18"/>
          <w:color w:val="auto"/>
        </w:rPr>
        <w:t>On February 12, 2009, the Company entered into a securities purchase agreement (the “10X Agreement”) pursuant to which it agreed to issue and sell to 10X Fund LP, at two or more closings, up to: (i) 3,000,000 shares its Series B convertible preferred stock (“Series B redeemable convertible preferred stock” or “Series B”) with an aggregate stated value of $6.0 million and convertible into 2,000,000 shares of common stock at December 31, 2011 and (ii) warrants to purchase 6,000,000 shares of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a series of closings from February 2009 through May 2010, the Company issued and sold, pursuant to the 10X Agreement, a total of (i) 900,000</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of Series B-1 convertible preferred stock (“Series B-1 redeemable convertible preferred stock” or “Series B-1”) and related common stock warrants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1,800,000 shares of common stock and (ii) 2,100,000 shares of Series B-2 convertible preferred stock (“Series B-2 redeemable convertible preferred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or “Series B-2”) and related warrants for 4,200,000 shares of common stock. During 2010, the Company received total net cash proceeds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$1,463,000 from the issuance of 770,000 shares of Series B-2 and related warrants. During 2009, the Company received total net cash proceeds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$1,548,000 from the issuance of 900,000 shares of Series B-1 and related warrants and $2,472,000 from the issuance of 1,330,000 shares of Series B-2 and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warrants.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closings were as follows:</w:t>
      </w:r>
    </w:p>
    <w:p>
      <w:pPr>
        <w:spacing w:after="0" w:line="171"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On February 12, 2009, the Company issued and sold, pursuant to the 10X Agreement: (i) 900,000 shares of Series B-1 convertible preferred stock (“Series B-1 redeemable convertible preferred stock” or “Series B-1”) convertible into 600,000 shares of common stock; (ii) Class A-1 warrants exercisable to purchase 300,000 shares of common stock; (iii) Class A-2 warrants exercisable to purchase 300,000 shares of common stock; and (iv) Class B warrants exercisable to purchase 1,200,000 shares of common stock. Net proceeds from the closing were $1,548,000.</w:t>
      </w:r>
    </w:p>
    <w:p>
      <w:pPr>
        <w:spacing w:after="0" w:line="113" w:lineRule="exact"/>
        <w:rPr>
          <w:sz w:val="20"/>
          <w:szCs w:val="20"/>
          <w:color w:val="auto"/>
        </w:rPr>
      </w:pPr>
    </w:p>
    <w:p>
      <w:pPr>
        <w:jc w:val="both"/>
        <w:ind w:left="460" w:right="60"/>
        <w:spacing w:after="0" w:line="298" w:lineRule="auto"/>
        <w:rPr>
          <w:sz w:val="20"/>
          <w:szCs w:val="20"/>
          <w:color w:val="auto"/>
        </w:rPr>
      </w:pPr>
      <w:r>
        <w:rPr>
          <w:rFonts w:ascii="Arial" w:cs="Arial" w:eastAsia="Arial" w:hAnsi="Arial"/>
          <w:sz w:val="16"/>
          <w:szCs w:val="16"/>
          <w:color w:val="auto"/>
        </w:rPr>
        <w:t>On May 13, 2009, the Company issued and sold, pursuant to the 10X Agreement: (i) 450,000 shares of Series B-2 convertible preferred stock (“Series B-2 redeemable convertible preferred stock” or “Series B-2”) convertible into 300,000 shares of common stock; (ii) Class A-1 warrants exercisable to purchase 150,000 shares of common stock; (iii) Class A-2 warrants exercisable to purchase 150,000 shares of common stock; and (iv) Class B warrants exercisable to purchase 600,000 shares of common stock. Net proceeds from the closing were $801,000.</w:t>
      </w:r>
    </w:p>
    <w:p>
      <w:pPr>
        <w:spacing w:after="0" w:line="113"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June 30, 2009, the Company issued and sold, pursuant to the 10X Agreement: (i) 250,000 shares of Series B-2 convertible into 166,666 shares of common stock; (ii) Class A-1 warrants exercisable to purchase 83,333 shares of common stock; (iii) Class A-2 warrants exercisable to purchase 83,333 shares of common stock; and (iv) Class B warrants exercisable to purchase 333,333 shares of common stock. Net proceeds from the closing were $473,000.</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August 12, 2009, the Company issued and sold, pursuant to the 10X Agreement: (i) 150,000 shares of Series B-2 convertible into 100,000 shares of common stock; (ii) Class A-1 warrants exercisable to purchase 50,000 shares of common stock; (iii) Class A-2 warrants exercisable to purchase 50,000 shares of common stock; and (iv) Class B warrants exercisable to purchase 200,000 shares of common stock. Net proceeds from the closing were $287,000.</w:t>
      </w:r>
    </w:p>
    <w:p>
      <w:pPr>
        <w:spacing w:after="0" w:line="88"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September 30, 2009, the Company issued and sold, pursuant to the 10X Agreement: (i) 162,500 shares of Series B-2 convertible into 108,333 shares of common stock; (ii) Class A-1 warrants exercisable to purchase 54,166 shares of common stock; (iii) Class A-2 warrants exercisable to purchase 54,166 shares of common stock; and (iv) Class B warrants exercisable to purchase 216,666 shares of common stock. Net proceeds from the closing were $305,000.</w:t>
      </w:r>
    </w:p>
    <w:p>
      <w:pPr>
        <w:spacing w:after="0" w:line="88"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November 4, 2009, the Company issued and sold, pursuant to the 10X Agreement: (i) 155,000 shares of Series B-2 convertible into 103,333 shares of common stock; (ii) Class A-1 warrants exercisable to purchase 51,666 shares of common stock; (iii) Class A-2 warrants exercisable to purchase 51,666 shares of common stock; and (iv) Class B warrants exercisable to purchase 206,666 shares of common stock. Net proceeds from the closing were $296,000.</w:t>
      </w:r>
    </w:p>
    <w:p>
      <w:pPr>
        <w:spacing w:after="0" w:line="88"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December 8, 2009, the Company issued and sold, pursuant to the 10X Agreement: (i) 162,500 shares of Series B-2 convertible into 108,333 shares of common stock; (ii) Class A-1 warrants exercisable to purchase 54,167 shares of common stock; (iii) Class A-2 warrants exercisable to purchase 54,167 shares of common stock; and (iv) Class B warrants exercisable to purchase 216,667 shares of common stock. Net proceeds from the closing were $310,000.</w:t>
      </w:r>
    </w:p>
    <w:p>
      <w:pPr>
        <w:spacing w:after="0" w:line="88"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January 29, 2010, the Company issued and sold, pursuant to the 10X Agreement: (i) 162,500 shares of Series B-2 convertible into 108,334 shares of common stock; (ii) Class A-1 warrants exercisable to purchase 54,167 shares of common stock; (iii) Class A-2 warrants exercisable to purchase 54,167 shares of common stock; and (iv) Class B warrants exercisable to purchase 216,667 shares of common stock. Net proceeds from the closing were $308,000.</w:t>
      </w:r>
    </w:p>
    <w:p>
      <w:pPr>
        <w:spacing w:after="0" w:line="88"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March 8, 2010, the Company issued and sold, pursuant to the 10X Agreement: (i) 167,500 shares of Series B-2 convertible into 111,667 shares of common stock; (ii) Class A-1 warrants exercisable to purchase 55,834 shares of common stock; (iii) Class A-2 warrants exercisable to purchase 55,834 shares of common stock; and (iv) Class B warrants exercisable to purchase 223,334 shares of common stock. Net proceeds from the closing were $322,000.</w:t>
      </w:r>
    </w:p>
    <w:p>
      <w:pPr>
        <w:spacing w:after="0" w:line="88"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April 30, 2010, the Company issued and sold, pursuant to the 10X Agreement: (i) 155,000 shares of Series B-2 convertible into 103,334 shares of common stock; (ii) Class A-1 warrants exercisable to purchase 51,667 shares of common stock; (iii) Class A-2 warrants exercisable to purchase 51,667 shares of common stock; and (iv) Class B warrants exercisable to purchase 206,667 shares of common stock. Net proceeds from the closing were $297,000.</w:t>
      </w:r>
    </w:p>
    <w:p>
      <w:pPr>
        <w:spacing w:after="0" w:line="88"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On May 10, 2010, the Company issued and sold, pursuant to the 10X Agreement: (i) 285,000 shares of Series B-2 convertible into 190,000 shares of common stock; (ii) Class A-1 warrants exercisable to purchase 95,000 shares of common stock; (iii) Class A-2 warrants exercisable to purchase 95,000 shares of common stock; and (iv) Class B warrants exercisable to purchase 380,000 shares of common stock. Net proceeds from the closing were $536,000.</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Series B are as follows:</w:t>
      </w:r>
    </w:p>
    <w:p>
      <w:pPr>
        <w:spacing w:after="0" w:line="17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Series B will be entitled to receive cumulative dividends at the rate of 12% per share per annum (compounding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quarterly which may, at the Company’s option, be paid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cash or common stock. Pursuant to an agreement with the holder of all shares of Series B, on January 26, 2011, the Company amended and restated the Certificate of Designation of Preferences, Rights and Limitations for the Series B-1 and Series B-2, to provide that dividends are payable in cash or shares of Common Stock valued at 100% of the volume weighted average price of the Common Stock for the 20 consecutive trading days prior to the dividend payment date on and after September 30, 2011. If the Company does not pay any dividend on the Series B, dividends will accrue at the rate of 15% per annum (compounding monthly).</w:t>
      </w:r>
    </w:p>
    <w:p>
      <w:pPr>
        <w:spacing w:after="0" w:line="14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Each share of Series B is convertible into four-sixths (approximately 0.667) shares of common stock at the conversion price of $3.00</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at the option of (i) the holder, at any time and (ii) the Company, at any time after February 12, 2010 (and upon 10 days notice) if the common stock is quoted at or above $9.00 for 15 consecutive trading days and an effective registration statement regarding the underlying shares of common stock is in effect (subject to certain monthly volume limits). Pursuant to an agreement with the holder of all shares of Series B, on January 26, 2011, the Company amended and restated the Certificate of Designation of Preferences, Rights and Limitations for the Series B-1 and Series B-2, to remove the Company’s right to compel conversion of the Series B Preferred Stock to shares of its Common Stock</w:t>
      </w:r>
    </w:p>
    <w:p>
      <w:pPr>
        <w:spacing w:after="0" w:line="120" w:lineRule="exact"/>
        <w:rPr>
          <w:sz w:val="20"/>
          <w:szCs w:val="20"/>
          <w:color w:val="auto"/>
        </w:rPr>
      </w:pPr>
    </w:p>
    <w:p>
      <w:pPr>
        <w:ind w:left="460"/>
        <w:spacing w:after="0" w:line="323" w:lineRule="auto"/>
        <w:rPr>
          <w:sz w:val="20"/>
          <w:szCs w:val="20"/>
          <w:color w:val="auto"/>
        </w:rPr>
      </w:pPr>
      <w:r>
        <w:rPr>
          <w:rFonts w:ascii="Arial" w:cs="Arial" w:eastAsia="Arial" w:hAnsi="Arial"/>
          <w:sz w:val="15"/>
          <w:szCs w:val="15"/>
          <w:i w:val="1"/>
          <w:iCs w:val="1"/>
          <w:color w:val="auto"/>
        </w:rPr>
        <w:t>Redemption Rights</w:t>
      </w:r>
      <w:r>
        <w:rPr>
          <w:rFonts w:ascii="Arial" w:cs="Arial" w:eastAsia="Arial" w:hAnsi="Arial"/>
          <w:sz w:val="15"/>
          <w:szCs w:val="15"/>
          <w:color w:val="auto"/>
        </w:rPr>
        <w:t>. Pursuant to an agreement with the holder of all shares of Series B, on January 26, 2011, the Company amended and restated the</w:t>
      </w:r>
      <w:r>
        <w:rPr>
          <w:rFonts w:ascii="Arial" w:cs="Arial" w:eastAsia="Arial" w:hAnsi="Arial"/>
          <w:sz w:val="15"/>
          <w:szCs w:val="15"/>
          <w:i w:val="1"/>
          <w:iCs w:val="1"/>
          <w:color w:val="auto"/>
        </w:rPr>
        <w:t xml:space="preserve"> </w:t>
      </w:r>
      <w:r>
        <w:rPr>
          <w:rFonts w:ascii="Arial" w:cs="Arial" w:eastAsia="Arial" w:hAnsi="Arial"/>
          <w:sz w:val="15"/>
          <w:szCs w:val="15"/>
          <w:color w:val="auto"/>
        </w:rPr>
        <w:t>Certificate of Designation of Preferences, Rights and Limitations for the Series B-1 and Series B-2, to provide that, upon notice of not less than 30 trading days, a holder of Series B may require the Company to redeem, in whole or in part at any time on or after the earlier of (a) February 12, 2019 or (b) the date of issuance of a promissory note to David Platt (see Note 11) in connection with the achievement of certain milestones under his separation agreement.</w:t>
      </w:r>
    </w:p>
    <w:p>
      <w:pPr>
        <w:spacing w:after="0" w:line="98"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The redemption price will be equal to the sum of the stated value of the Series B, plus all accrued but unpaid dividends thereon, as of the redemption date. If the Company fails to pay the redemption price in cash on the redemption date, then the holders of the Series B requesting redemption may, at their sole option, automatically convert their shares of Series B into a promissory note bearing interest at the rate of 15% per year and secured by a lien on all of the Company’s assets. So long as any shares of the Series B remain outstanding, the Company is also subject to restrictions limiting, among other things, amendments to the Company’s organizational documents; the purchase or redemption of the Company’s capital stock; mergers, consolidations, liquidations and dissolutions; sales of assets; dividends and other restricted payments; investments and acquisitions; joint ventures, licensing agreements, exclusive marketing and other distribution agreements; issuances of securities; incurrence of indebtedness; incurrence of liens and other encumbrances and issuances of any common stock equivalents.</w:t>
      </w:r>
    </w:p>
    <w:p>
      <w:pPr>
        <w:spacing w:after="0" w:line="118" w:lineRule="exact"/>
        <w:rPr>
          <w:sz w:val="20"/>
          <w:szCs w:val="20"/>
          <w:color w:val="auto"/>
        </w:rPr>
      </w:pPr>
    </w:p>
    <w:p>
      <w:pPr>
        <w:ind w:left="460" w:right="240"/>
        <w:spacing w:after="0" w:line="303"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Except as noted below, the holder of each share of Series B shall be entitled to the number of votes equal to the number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into which such share of Series B would be convertible, and shall otherwise have voting rights and powers equal to the voting rights and powers of the Common Stock. With respect to the election of directors, the holders of the Series B shall vote together as a separate class to elect two</w:t>
      </w:r>
    </w:p>
    <w:p>
      <w:pPr>
        <w:spacing w:after="0" w:line="1" w:lineRule="exact"/>
        <w:rPr>
          <w:sz w:val="20"/>
          <w:szCs w:val="20"/>
          <w:color w:val="auto"/>
        </w:rPr>
      </w:pPr>
    </w:p>
    <w:p>
      <w:pPr>
        <w:ind w:left="460" w:firstLine="4"/>
        <w:spacing w:after="0" w:line="281" w:lineRule="auto"/>
        <w:tabs>
          <w:tab w:leader="none" w:pos="7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members of the Board of Directors (the “Series B Directors”), and the Company shall take all reasonably necessary or desirable actions within its control (including, without limitation, calling special meetings of the Board of Directors, nominating such persons designated by the holders of the Series B as directors on the applicable proxy statements and recommending their election) to permit the holders of the Series B to appoint two additional</w:t>
      </w:r>
    </w:p>
    <w:p>
      <w:pPr>
        <w:spacing w:after="0" w:line="2" w:lineRule="exact"/>
        <w:rPr>
          <w:rFonts w:ascii="Arial" w:cs="Arial" w:eastAsia="Arial" w:hAnsi="Arial"/>
          <w:sz w:val="16"/>
          <w:szCs w:val="16"/>
          <w:color w:val="auto"/>
        </w:rPr>
      </w:pPr>
    </w:p>
    <w:p>
      <w:pPr>
        <w:ind w:left="460" w:right="80" w:firstLine="4"/>
        <w:spacing w:after="0" w:line="295" w:lineRule="auto"/>
        <w:tabs>
          <w:tab w:leader="none" w:pos="7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members of the Board of Directors (the “Series B Nominees”), who shall be subject to election by all shares of voting stock of the Company voting together as a single group, until such time as all authorized shares of Series B have has been issued and sold, after which the number of Series B Nominees shall be three (3), and shall remain three (3) until there are no longer any shares of Series B outstanding. The holders of Series B shall vote together with the holders of Common Stock and other voting capital stock of the Company to elect all other members of the Board of Directors.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02" w:lineRule="auto"/>
        <w:rPr>
          <w:sz w:val="20"/>
          <w:szCs w:val="20"/>
          <w:color w:val="auto"/>
        </w:rPr>
      </w:pPr>
      <w:r>
        <w:rPr>
          <w:rFonts w:ascii="Arial" w:cs="Arial" w:eastAsia="Arial" w:hAnsi="Arial"/>
          <w:sz w:val="15"/>
          <w:szCs w:val="15"/>
          <w:i w:val="1"/>
          <w:iCs w:val="1"/>
          <w:color w:val="auto"/>
        </w:rPr>
        <w:t>Other Restrictions</w:t>
      </w:r>
      <w:r>
        <w:rPr>
          <w:rFonts w:ascii="Arial" w:cs="Arial" w:eastAsia="Arial" w:hAnsi="Arial"/>
          <w:sz w:val="15"/>
          <w:szCs w:val="15"/>
          <w:color w:val="auto"/>
        </w:rPr>
        <w:t>. So long as any shares of the Series B remain outstanding, the Company may not, without the approval of the holders of a majority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shares of Series B outstanding, among other things, (i) change the size of the Company’s Board of Directors; (ii) amend or repeal the Company’s Articles of Incorporation or Bylaws or file any articles of amendment designating the preferences, limitations and relative rights of any series of preferred stock; (iii) create or increase the authorized amount of any additional class or series of shares of stock that is equal to or senior to Series B; (iv) increase or decrease the authorized number of shares of the Series B; (v) purchase, redeem or otherwise acquire for value any shares of any class of capital stock;</w:t>
      </w:r>
    </w:p>
    <w:p>
      <w:pPr>
        <w:spacing w:after="0" w:line="2" w:lineRule="exact"/>
        <w:rPr>
          <w:sz w:val="20"/>
          <w:szCs w:val="20"/>
          <w:color w:val="auto"/>
        </w:rPr>
      </w:pPr>
    </w:p>
    <w:p>
      <w:pPr>
        <w:ind w:left="460" w:firstLine="4"/>
        <w:spacing w:after="0" w:line="286" w:lineRule="auto"/>
        <w:tabs>
          <w:tab w:leader="none" w:pos="7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merge or consolidate the Company into or with any other corporation or sell, assign, lease, pledge, encumber or otherwise dispose of all or substantially all of the Company’s assets or those of any subsidiary; (vii) voluntarily or involuntarily liquidate, dissolve or wind up the Company or the Company’s business; (viii) pay or declare dividends on any capital stock other than the Preferred Stock, unless the Series B share ratably in such dividend and all accrued dividends payable with respect to the Series B have been paid prior to the payment or declaration of such dividend; (ix) acquire an equitable interest in, or the assets or business of any other entity in any form of transaction; (x) create or commit us to enter into a joint venture, licensing agreement or exclusive marketing or other distribution agreement with respect to the Company’s products, other than in the ordinary course of business; (xi) permit the Company or any subsidiary to sell or issue any security of such subsidiary to any person or entity other than the Company; (xii) enter into, create, incur, assume or guarantee any indebtedness for borrowed money of any kind (other than indebtedness existing on the initial closing date and approved by Series B shareholders); (xiii) enter into, create, incur or assume any liens of any kind (other than certain permitted liens); (xiv) issue any common stock equivalents; (xv) increase the number of shares of the Company’s common stock that may be issued pursuant to options, warrants or rights to employees, directors, officers, consultants or advisors above 250,000.</w:t>
      </w:r>
    </w:p>
    <w:p>
      <w:pPr>
        <w:spacing w:after="0" w:line="121"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Each Class A-1 warrant, Class A-2 warrant and Class B warrant is exercisable at $3.00 per share of common stock at any time on or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issuance until the fifth anniversary of the respective issue date. The Company may, upon 30 days notice and so long as an effective registration statement regarding the underlying shares of common stock is in effect, issue a termination notice with respect to (i) each Class A-1 warrant on any trading day on which the market value of the common stock for each of the 15 previous trading days exceeded $7.50 per share and (ii) each Class A-2 warrant on any trading day on which the market value of the common stock for each of the 15 previous trading days exceeded $10.50 per share.</w:t>
      </w:r>
    </w:p>
    <w:p>
      <w:pPr>
        <w:spacing w:after="0" w:line="116" w:lineRule="exact"/>
        <w:rPr>
          <w:sz w:val="20"/>
          <w:szCs w:val="20"/>
          <w:color w:val="auto"/>
        </w:rPr>
      </w:pPr>
    </w:p>
    <w:p>
      <w:pPr>
        <w:ind w:left="460" w:right="120"/>
        <w:spacing w:after="0" w:line="312" w:lineRule="auto"/>
        <w:rPr>
          <w:sz w:val="20"/>
          <w:szCs w:val="20"/>
          <w:color w:val="auto"/>
        </w:rPr>
      </w:pPr>
      <w:r>
        <w:rPr>
          <w:rFonts w:ascii="Arial" w:cs="Arial" w:eastAsia="Arial" w:hAnsi="Arial"/>
          <w:sz w:val="15"/>
          <w:szCs w:val="15"/>
          <w:color w:val="auto"/>
        </w:rPr>
        <w:t>The fair value of the warrants issued in connection with the Series B-1 was $1,296,000 at the date of issuance based on the following assumptions: an expected life of 5 years, volatility of 118%, risk free interest rate of 1.79% and zero dividends. The Company allocated the gross proceeds based on the relative fair value of the Series B-1 and the related warrants, resulting in $1,105,000 of the proceeds being allocated to additional paid-in capital. The Company analyzed the Series B-1, post-allocation of the gross proceeds, and determined that there was no beneficial conversion feature at the date of issuance. The issuance costs of the Series B-1 and the amounts allocated to warrants were recorded as a reduction to the carrying value of the Series B-1 when issued, and are accreted to the redemption value of the Series B-1 through the earliest redemption date. Due to the redemption feature, the Company has presented the Series B-1 outside of permanent equity, in the mezzanine of the consolidated balance sheet at December 31, 2012 and 2011.</w:t>
      </w:r>
    </w:p>
    <w:p>
      <w:pPr>
        <w:spacing w:after="0" w:line="105"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The fair value of the warrants issued during the year ended December 31, 2010 in connection with the Series B-2 was $4,148,000 at the dates of issuance based on the following assumptions: an expected life of 5 years, volatility of 126% to 129%, risk free interest rates of 2.27% to 2.43% and zero dividends. The fair value of the warrants issued during the year ended December 31, 2009 in connection with the Series B-2 was $5,333,000 at the dates of issuance based on the following assumptions: an expected life of 5 years, volatility of 124% to 127%, risk free interest rates of 1.98% to 2.70% and zero dividends. The Company allocated the gross proceeds based on the relative fair value of the Series B-2 and the related warrants, resulting in $1,028,000 and $1,732,000 of the proceeds being allocated to additional paid-in capital for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years ended December 31, 2010 and 2009, respectively. The issuance costs of the Series B-2 and the amounts allocated to warrants were recorded as a reduction to the carrying value of the Series B-2 when issued, and are accreted to the redemption value of the Series B-2 through the earliest redemption dates. Due to the redemption feature, the Company has presented the Series B-2 outside of permanent equity, in the mezzanine of the consolidated balance sheet at December 31, 2012 and 2011.</w:t>
      </w:r>
    </w:p>
    <w:p>
      <w:pPr>
        <w:spacing w:after="0" w:line="143"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The Company analyzed the Series B-2, post-allocation of the gross proceeds, and determined that there was a beneficial conversion feature at the dates of issuance. Because the closing price of the common stock on the closing date was greater than the effective conversion price, $388,000 and $628,000 of the proceeds (limited to the allocation of the proceeds) during the years ended December 31, 2010 and 2009, respectively, were allocated to an embedded beneficial conversion feature of the Series B-2. The amount allocated to the beneficial conversion feature was recorded as a discount to the Series B-2 is being accreted, with such accretion being charged through the earliest redemption dates.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C 6% Super Dividend Convertible Preferred Stock</w:t>
      </w:r>
    </w:p>
    <w:p>
      <w:pPr>
        <w:spacing w:after="0" w:line="90" w:lineRule="exact"/>
        <w:rPr>
          <w:sz w:val="20"/>
          <w:szCs w:val="20"/>
          <w:color w:val="auto"/>
        </w:rPr>
      </w:pPr>
    </w:p>
    <w:p>
      <w:pPr>
        <w:ind w:left="460" w:right="520"/>
        <w:spacing w:after="0" w:line="332" w:lineRule="auto"/>
        <w:rPr>
          <w:sz w:val="20"/>
          <w:szCs w:val="20"/>
          <w:color w:val="auto"/>
        </w:rPr>
      </w:pPr>
      <w:r>
        <w:rPr>
          <w:rFonts w:ascii="Arial" w:cs="Arial" w:eastAsia="Arial" w:hAnsi="Arial"/>
          <w:sz w:val="16"/>
          <w:szCs w:val="16"/>
          <w:color w:val="auto"/>
        </w:rPr>
        <w:t>On December 29, 2010, the Company designated and authorized the sale and issuance of up to 1,000 shares of Series C Super Dividend Convertible Preferred Stock (“Series C”) with a par value of $0.01 and a stated value equal to $10,000 (the “Stated Value”).</w:t>
      </w:r>
    </w:p>
    <w:p>
      <w:pPr>
        <w:spacing w:after="0" w:line="85" w:lineRule="exact"/>
        <w:rPr>
          <w:sz w:val="20"/>
          <w:szCs w:val="20"/>
          <w:color w:val="auto"/>
        </w:rPr>
      </w:pPr>
    </w:p>
    <w:p>
      <w:pPr>
        <w:ind w:left="460" w:right="640"/>
        <w:spacing w:after="0" w:line="259" w:lineRule="auto"/>
        <w:rPr>
          <w:sz w:val="20"/>
          <w:szCs w:val="20"/>
          <w:color w:val="auto"/>
        </w:rPr>
      </w:pPr>
      <w:r>
        <w:rPr>
          <w:rFonts w:ascii="Arial" w:cs="Arial" w:eastAsia="Arial" w:hAnsi="Arial"/>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Series C are as follows:</w:t>
      </w:r>
    </w:p>
    <w:p>
      <w:pPr>
        <w:spacing w:after="0" w:line="171"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Each holder of Series C may convert all, but not less than all, of his Series C shares plus accrued and unpaid dividends into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the price of $6.00 per share of Common Stock (“Conversion Price”), such that approximately 1,667 shares of Common Stock will be issued per each converted share of Series C (accrued and unpaid dividends will be issued as additional shares). At December 31, 2011, the 220 shares of Series C were convertible into a total of 366,676 shares of Common Stock.</w:t>
      </w:r>
    </w:p>
    <w:p>
      <w:pPr>
        <w:spacing w:after="0" w:line="143"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140"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Holders of Series C shall be entitled to receive cumulative non-compounding dividends at the rate per share of Series C equal to the greater of</w:t>
      </w:r>
    </w:p>
    <w:p>
      <w:pPr>
        <w:spacing w:after="0" w:line="15" w:lineRule="exact"/>
        <w:rPr>
          <w:sz w:val="20"/>
          <w:szCs w:val="20"/>
          <w:color w:val="auto"/>
        </w:rPr>
      </w:pPr>
    </w:p>
    <w:p>
      <w:pPr>
        <w:ind w:left="680" w:hanging="216"/>
        <w:spacing w:after="0"/>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6% per annum of the Stated Value (also defined as the “Floor”) or (ii) 2.5% of net sales until the total dividends paid is equal to the initial investment</w:t>
      </w:r>
    </w:p>
    <w:p>
      <w:pPr>
        <w:spacing w:after="0" w:line="32" w:lineRule="exact"/>
        <w:rPr>
          <w:rFonts w:ascii="Arial" w:cs="Arial" w:eastAsia="Arial" w:hAnsi="Arial"/>
          <w:sz w:val="16"/>
          <w:szCs w:val="16"/>
          <w:color w:val="auto"/>
        </w:rPr>
      </w:pPr>
    </w:p>
    <w:p>
      <w:pPr>
        <w:jc w:val="both"/>
        <w:ind w:left="460"/>
        <w:spacing w:after="0" w:line="254" w:lineRule="auto"/>
        <w:rPr>
          <w:rFonts w:ascii="Arial" w:cs="Arial" w:eastAsia="Arial" w:hAnsi="Arial"/>
          <w:sz w:val="16"/>
          <w:szCs w:val="16"/>
          <w:color w:val="auto"/>
        </w:rPr>
      </w:pPr>
      <w:r>
        <w:rPr>
          <w:rFonts w:ascii="Arial" w:cs="Arial" w:eastAsia="Arial" w:hAnsi="Arial"/>
          <w:sz w:val="18"/>
          <w:szCs w:val="18"/>
          <w:color w:val="auto"/>
        </w:rPr>
        <w:t>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11"/>
          <w:szCs w:val="11"/>
          <w:color w:val="auto"/>
        </w:rPr>
        <w:t>®</w:t>
      </w:r>
      <w:r>
        <w:rPr>
          <w:rFonts w:ascii="Arial" w:cs="Arial" w:eastAsia="Arial" w:hAnsi="Arial"/>
          <w:sz w:val="18"/>
          <w:szCs w:val="18"/>
          <w:color w:val="auto"/>
        </w:rPr>
        <w:t xml:space="preserve"> (GM-CT-01), less chargebacks, returns, expenses attributable to product recalls, duties, customs, sales tax, freight, insurance, shipping expenses, allowances and other customary deductions.</w:t>
      </w:r>
    </w:p>
    <w:p>
      <w:pPr>
        <w:spacing w:after="0" w:line="144"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The dividend shall be payable in arrears semi 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140"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i w:val="1"/>
          <w:iCs w:val="1"/>
          <w:color w:val="auto"/>
        </w:rPr>
        <w:t>Series C Post Conversion Dividend Right</w:t>
      </w:r>
      <w:r>
        <w:rPr>
          <w:rFonts w:ascii="Arial" w:cs="Arial" w:eastAsia="Arial" w:hAnsi="Arial"/>
          <w:sz w:val="16"/>
          <w:szCs w:val="16"/>
          <w:color w:val="auto"/>
        </w:rPr>
        <w:t>. In the event that any share of Series C is converted into Common Stock before the Maximum Payout is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123"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143"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In July 2011, 5 shares of Series C were converted into 8,334 shares of common stock and 5 Series C Post Conversion Dividend Rights (Dividend Rights) were issued. In January 2013, 5 shares of Series C were converted into 8,334 shares of common stock and 5 Dividend Rights were issued. Per the terms of the Series C, these Dividend Rights shall continue to participate in dividends, however the Floor shall not apply. At December 31, 2012,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116" w:lineRule="exact"/>
        <w:rPr>
          <w:sz w:val="20"/>
          <w:szCs w:val="20"/>
          <w:color w:val="auto"/>
        </w:rPr>
      </w:pPr>
    </w:p>
    <w:p>
      <w:pPr>
        <w:jc w:val="both"/>
        <w:ind w:left="460" w:right="60"/>
        <w:spacing w:after="0" w:line="306"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In the event of any liquidation, dissolution or winding up of the Company, either voluntarily or involuntarily, the holders of Series C</w:t>
      </w:r>
      <w:r>
        <w:rPr>
          <w:rFonts w:ascii="Arial" w:cs="Arial" w:eastAsia="Arial" w:hAnsi="Arial"/>
          <w:sz w:val="16"/>
          <w:szCs w:val="16"/>
          <w:i w:val="1"/>
          <w:iCs w:val="1"/>
          <w:color w:val="auto"/>
        </w:rPr>
        <w:t xml:space="preserve"> </w:t>
      </w:r>
      <w:r>
        <w:rPr>
          <w:rFonts w:ascii="Arial" w:cs="Arial" w:eastAsia="Arial" w:hAnsi="Arial"/>
          <w:sz w:val="16"/>
          <w:szCs w:val="16"/>
          <w:color w:val="auto"/>
        </w:rPr>
        <w:t>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Upon a sale of the Company, the Company shall redeem all of the then outstanding shares of Series C and Series C Preferred Stock Post</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ROI Percentage</w:t>
            </w:r>
          </w:p>
        </w:tc>
        <w:tc>
          <w:tcPr>
            <w:tcW w:w="8740" w:type="dxa"/>
            <w:vAlign w:val="bottom"/>
          </w:tcPr>
          <w:p>
            <w:pPr>
              <w:spacing w:after="0"/>
              <w:rPr>
                <w:sz w:val="17"/>
                <w:szCs w:val="17"/>
                <w:color w:val="auto"/>
              </w:rPr>
            </w:pPr>
          </w:p>
        </w:tc>
      </w:tr>
      <w:tr>
        <w:trPr>
          <w:trHeight w:val="336"/>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320" w:type="dxa"/>
            <w:vAlign w:val="bottom"/>
          </w:tcPr>
          <w:p>
            <w:pPr>
              <w:spacing w:after="0"/>
              <w:rPr>
                <w:sz w:val="24"/>
                <w:szCs w:val="24"/>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before the second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1"/>
              </w:rPr>
              <w:t>250%</w:t>
            </w:r>
          </w:p>
        </w:tc>
        <w:tc>
          <w:tcPr>
            <w:tcW w:w="3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2"/>
              </w:rPr>
              <w:t>on or after the second anniversary of the date of issuance, but before the third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3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3"/>
              </w:rPr>
              <w:t>on or after the third anniversary of the date of issuance, but before the fourth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350%</w:t>
            </w:r>
          </w:p>
        </w:tc>
        <w:tc>
          <w:tcPr>
            <w:tcW w:w="3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3"/>
              </w:rPr>
              <w:t>on or after the fourth anniversary of the date of issuance, but before the fifth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3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4"/>
              </w:rPr>
              <w:t>on or after the fifth anniversary of the date of issuance, but before the sixth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1"/>
              </w:rPr>
              <w:t>450%</w:t>
            </w:r>
          </w:p>
        </w:tc>
        <w:tc>
          <w:tcPr>
            <w:tcW w:w="3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1"/>
              </w:rPr>
              <w:t>on or after the sixth anniversary of the date of issuance, but before the seventh anniversary of the date of issuance;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1"/>
              </w:rPr>
              <w:t>500%</w:t>
            </w:r>
          </w:p>
        </w:tc>
        <w:tc>
          <w:tcPr>
            <w:tcW w:w="3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86"/>
              </w:rPr>
              <w:t>on or after the seventh anniversary of the date of issuance, but before the eighth anniversary of the date of issuance; and</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1"/>
              </w:rPr>
              <w:t>550%</w:t>
            </w:r>
          </w:p>
        </w:tc>
        <w:tc>
          <w:tcPr>
            <w:tcW w:w="320" w:type="dxa"/>
            <w:vAlign w:val="bottom"/>
          </w:tcPr>
          <w:p>
            <w:pPr>
              <w:spacing w:after="0"/>
              <w:rPr>
                <w:sz w:val="19"/>
                <w:szCs w:val="19"/>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2"/>
              </w:rPr>
              <w:t>on or after the eighth anniversary of the date of issuance, but before the ninth anniversary of the date of issuance.</w:t>
            </w:r>
          </w:p>
        </w:tc>
      </w:tr>
    </w:tbl>
    <w:p>
      <w:pPr>
        <w:spacing w:after="0" w:line="15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Due to the redemption feature, the Company has presented the Series C outside of permanent equity, in the mezzanine of the consolidated balance sheets at December 31, 2012 and 2011. At December 31, 2012, the Series C redemption value was $5,204,000 and the Series C Post Conversion Dividend Right redemption value was $123,000. At March 29, 2013, the Series C redemption value was $5,151,000 and the Series C Post Conversion Dividend Right redemption value was $241,000.</w:t>
      </w:r>
    </w:p>
    <w:p>
      <w:pPr>
        <w:spacing w:after="0" w:line="14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Series C shares have no voting rights.</w:t>
      </w:r>
    </w:p>
    <w:p>
      <w:pPr>
        <w:spacing w:after="0" w:line="287" w:lineRule="exact"/>
        <w:rPr>
          <w:sz w:val="20"/>
          <w:szCs w:val="20"/>
          <w:color w:val="auto"/>
        </w:rPr>
      </w:pPr>
    </w:p>
    <w:p>
      <w:pPr>
        <w:ind w:left="240" w:right="8360" w:hanging="232"/>
        <w:spacing w:after="0" w:line="347" w:lineRule="auto"/>
        <w:tabs>
          <w:tab w:leader="none" w:pos="45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and Warrant Liabilities </w:t>
      </w:r>
      <w:r>
        <w:rPr>
          <w:rFonts w:ascii="Arial" w:cs="Arial" w:eastAsia="Arial" w:hAnsi="Arial"/>
          <w:sz w:val="18"/>
          <w:szCs w:val="18"/>
          <w:b w:val="1"/>
          <w:bCs w:val="1"/>
          <w:i w:val="1"/>
          <w:iCs w:val="1"/>
          <w:color w:val="auto"/>
        </w:rPr>
        <w:t>Warrants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Warrant activity is summarized as follows: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6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8,585,872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Issued</w:t>
            </w:r>
          </w:p>
        </w:tc>
        <w:tc>
          <w:tcPr>
            <w:tcW w:w="56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6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Exercised</w:t>
            </w:r>
          </w:p>
        </w:tc>
        <w:tc>
          <w:tcPr>
            <w:tcW w:w="56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(1,771,383)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5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6,673,405</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Issued</w:t>
            </w:r>
          </w:p>
        </w:tc>
        <w:tc>
          <w:tcPr>
            <w:tcW w:w="5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gridSpan w:val="2"/>
            <w:vMerge w:val="continue"/>
          </w:tcPr>
          <w:p>
            <w:pPr>
              <w:spacing w:after="0"/>
              <w:rPr>
                <w:sz w:val="19"/>
                <w:szCs w:val="19"/>
                <w:color w:val="auto"/>
              </w:rPr>
            </w:pPr>
          </w:p>
        </w:tc>
        <w:tc>
          <w:tcPr>
            <w:tcW w:w="56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1,379,739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6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Exercised</w:t>
            </w:r>
          </w:p>
        </w:tc>
        <w:tc>
          <w:tcPr>
            <w:tcW w:w="56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5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7,424,241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720" w:type="dxa"/>
            <w:vAlign w:val="bottom"/>
            <w:gridSpan w:val="3"/>
          </w:tcPr>
          <w:p>
            <w:pPr>
              <w:jc w:val="right"/>
              <w:ind w:right="5080"/>
              <w:spacing w:after="0"/>
              <w:rPr>
                <w:sz w:val="20"/>
                <w:szCs w:val="20"/>
                <w:color w:val="auto"/>
              </w:rPr>
            </w:pPr>
            <w:r>
              <w:rPr>
                <w:rFonts w:ascii="Arial" w:cs="Arial" w:eastAsia="Arial" w:hAnsi="Arial"/>
                <w:sz w:val="18"/>
                <w:szCs w:val="18"/>
                <w:color w:val="auto"/>
              </w:rPr>
              <w:t>F-32</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following table summarizes information with regard to outstanding warrants issued in connection with equity and debt financings and consultants as of December 31,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0"/>
              </w:rPr>
              <w:t>Issued in Connection With</w:t>
            </w:r>
          </w:p>
        </w:tc>
        <w:tc>
          <w:tcPr>
            <w:tcW w:w="264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Issued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Price</w:t>
            </w:r>
          </w:p>
        </w:tc>
        <w:tc>
          <w:tcPr>
            <w:tcW w:w="1760" w:type="dxa"/>
            <w:vAlign w:val="bottom"/>
            <w:gridSpan w:val="2"/>
          </w:tcPr>
          <w:p>
            <w:pPr>
              <w:ind w:left="300"/>
              <w:spacing w:after="0" w:line="148" w:lineRule="exact"/>
              <w:rPr>
                <w:sz w:val="20"/>
                <w:szCs w:val="20"/>
                <w:color w:val="auto"/>
              </w:rPr>
            </w:pPr>
            <w:r>
              <w:rPr>
                <w:rFonts w:ascii="Arial" w:cs="Arial" w:eastAsia="Arial" w:hAnsi="Arial"/>
                <w:sz w:val="14"/>
                <w:szCs w:val="14"/>
                <w:b w:val="1"/>
                <w:bCs w:val="1"/>
                <w:color w:val="auto"/>
              </w:rPr>
              <w:t>Exercisable Date</w:t>
            </w:r>
          </w:p>
        </w:tc>
        <w:tc>
          <w:tcPr>
            <w:tcW w:w="170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90"/>
        </w:trPr>
        <w:tc>
          <w:tcPr>
            <w:tcW w:w="4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February 25, 2008 Common Stock Transaction</w:t>
            </w:r>
          </w:p>
        </w:tc>
        <w:tc>
          <w:tcPr>
            <w:tcW w:w="10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$0.70 Investor Warrants</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710,834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August 25, 2008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August 25, 2013</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12, 2009 Series B-1 Transaction</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300,000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February 12,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February 12,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1,200,000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February 12,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February 12, 2014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May 13, 2009 Series B-2 Transaction</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May 13,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13, 2014</w:t>
            </w: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600,000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May 13,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May 13,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2009 Series B-2 Transaction</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83,333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June 30,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333,333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June 30,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April 15, 2009 Consultant Warrants</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33,333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April 15,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April 15, 2013</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2009 Consultant Warrants</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May 1,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1, 2014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June 30, 2009 Consultant Warrants</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June 30,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26, 2009 Consultant Warrants</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July 26,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26, 2014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August 12, 2009 Series B-2 Transaction</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August 12,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12, 2014</w:t>
            </w: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200,000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August 12,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August 12,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 Series B-2 Transaction</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54,166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September 30,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September 30,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216,666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September 30,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September 30, 2014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November 4, 2009 Series B-2 Transaction</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51,666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November 4,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4, 2014</w:t>
            </w: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206,666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November 4,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4,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8, 2009 Series B-2 Transaction</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54,167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8, 2009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8,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216,667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December 8, 2009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8, 2014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January 29, 2010 Series B-2 Transaction</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54,167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January 29, 2010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29, 2015</w:t>
            </w: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216,667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January 29, 2010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29, 2015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2010 Series B-2 Transaction</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55,834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March 8, 2010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March 8, 2015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223,334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March 8, 2010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8, 2015</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April 30, 2010 Series B-2 Transaction</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51,667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April 30, 2010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30, 2015</w:t>
            </w: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206,667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April 30, 2010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April 30, 2015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10, 2010 Series B-2 Transaction</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880"/>
              <w:spacing w:after="0"/>
              <w:rPr>
                <w:sz w:val="20"/>
                <w:szCs w:val="20"/>
                <w:color w:val="auto"/>
              </w:rPr>
            </w:pPr>
            <w:r>
              <w:rPr>
                <w:rFonts w:ascii="Arial" w:cs="Arial" w:eastAsia="Arial" w:hAnsi="Arial"/>
                <w:sz w:val="18"/>
                <w:szCs w:val="18"/>
                <w:color w:val="auto"/>
              </w:rPr>
              <w:t>$0.50 Investor Warrants—Class A-2</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95,000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May 10, 2010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2015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$0.50 Investor Warrants—Class B</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May 10, 2010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10, 2015</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May 25, 2010 Consultant Warrants</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28,334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May 25, 2010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May 25, 2014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25, 2010 Consultant Warrants</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15.00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May 25, 2010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25, 2014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June 15, 2010 Consultant Warrants</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June 15, 2010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June 15, 2015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2010 Consultant Warrants</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33,334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December 9, 2010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9, 2015</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December 30, 2010 Placement Agent Warrants</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500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December 30, 2010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December 30, 2015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28, 2012 Offering Warrants</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1,333,361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March 28, 2012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28, 2017</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2012 Offering Placement Agent Warrants</w:t>
            </w:r>
          </w:p>
        </w:tc>
        <w:tc>
          <w:tcPr>
            <w:tcW w:w="10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46,378</w:t>
            </w:r>
          </w:p>
        </w:tc>
        <w:tc>
          <w:tcPr>
            <w:tcW w:w="10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5.63</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March 28, 2012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May 2, 2016</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Total outstanding warrants</w:t>
            </w:r>
          </w:p>
        </w:tc>
        <w:tc>
          <w:tcPr>
            <w:tcW w:w="10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7,424,241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80" w:type="dxa"/>
            <w:vAlign w:val="bottom"/>
            <w:gridSpan w:val="3"/>
          </w:tcPr>
          <w:p>
            <w:pPr>
              <w:ind w:left="820"/>
              <w:spacing w:after="0"/>
              <w:rPr>
                <w:sz w:val="20"/>
                <w:szCs w:val="20"/>
                <w:color w:val="auto"/>
              </w:rPr>
            </w:pPr>
            <w:r>
              <w:rPr>
                <w:rFonts w:ascii="Arial" w:cs="Arial" w:eastAsia="Arial" w:hAnsi="Arial"/>
                <w:sz w:val="18"/>
                <w:szCs w:val="18"/>
                <w:color w:val="auto"/>
              </w:rPr>
              <w:t>F-33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Consultant Warrants</w:t>
      </w:r>
    </w:p>
    <w:p>
      <w:pPr>
        <w:spacing w:after="0" w:line="9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In May 2008 the Company entered into an agreement with Investor Relations Group (“IRG”) for IRG to provide investor relations services to the Company in exchange for cash and warrants on a monthly basis. On September 30, 2008 the Company terminated the agreement under the provisions of the agreement. During the effective contract period IRG earned 6,500 warrants valued at $3,000. The expense associated with these warrants was calculated using the Black-Scholes option-pricing model and charged to stock compensation expense. The warrants are exercisable at $3.00 per share for a period of three years.</w:t>
      </w:r>
    </w:p>
    <w:p>
      <w:pPr>
        <w:spacing w:after="0" w:line="143"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In April 2009, the Company entered into agreements with consultants that provided for the grant of warrants for the purchase of 55,000 shares of common stock at an exercise price of $3.00 per share. Of the 55,000 warrants, 13,334 vested immediately and 41,666 will vest upon the achievement of certain milestones. The initial 13,334 warrants were valued at $32,000 on issuance based on the following assumptions: an expected life of 4 years, volatility of 134%, risk free interest rate of 1.76% and zero dividends and the expense recognized upon issuance. During the year ended December 31, 2010, 8,334 warrants vested (valued at $16,000 on the vesting date using the following assumptions: expected life of 3.06 years, volatility of 140%, risk free interest rates of 1.69% and zero dividends). In 2010, when it appeared probable that the remaining 33,332 warrants would vest, the Company valued the warrants at $124,000 as of December 31, 2010 using the following assumptions: expected life of 2.29 years, volatility of 141%, risk free interest rates of 0.61% and zero dividends. The Company valued the warrants at $104,000 as of December 31, 2011 using the following assumptions: expected life of 1.29 years, volatility of 70%, risk free interest rates of 0.12% and zero dividends. The Company recognized expense related to the 33,332 warrants of $111,000 for the year ended December 31, 2010 and a reversal of expense of $13,000 for the year ended December 31, 2011. During the year ended December 31, 2012, these warrants were no longer expected to vest and the Company recognized a reversal of previously recognized expense related to these warrants of $100,000 for the year ended December 31, 2012.</w:t>
      </w:r>
    </w:p>
    <w:p>
      <w:pPr>
        <w:spacing w:after="0" w:line="124"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In May 2009, the Company entered into agreements with consultants that provided for the grant of warrants to purchase 95,834 shares of common stock at an exercise price of $3.00 per share of which 74,000 vested and 21,834 were forfeited. The warrants were valued at $232,000 on issuance based on the following assumptions: an expected life of 5 years, volatility of 124%, risk free interest rate of 2.16% and zero dividends. The Company recognized expense related to these warrants of $53,000 during the year ended December 31, 2010. As of December 31, 2010, 74,000 of these warrants were vested and 21,834 shares were forfeited.</w:t>
      </w:r>
    </w:p>
    <w:p>
      <w:pPr>
        <w:spacing w:after="0" w:line="143"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In May 2010, the Company granted warrants to consultants for the purchase of 35,001 shares of common stock at an exercise price of $4.50 per share. The warrants were valued at $134,000 on issuance based on the following assumptions: an expected life of 4 years, volatility of 143%, risk free interest rate of 1.610% and zero dividends. The warrants vested immediately and the company recognized an expense of $134,000 related to these warrants during the year ended December 31, 2010.</w:t>
      </w:r>
    </w:p>
    <w:p>
      <w:pPr>
        <w:spacing w:after="0" w:line="143"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In May 2010, the Company entered into an agreement with a consultant that provided for the grant of warrants for the purchase of 12,000 shares of common stock at an exercise price of $15.00 per share. The warrants were initially valued at $40,000 on issuance based on the following assumptions: an expected life of 4 years, volatility of 143%, risk free interest rate of 1.610% and zero dividends. The warrants vest at a rate of 500 per month and the unvested warrants will be revalued as they vest. At December 31, 2011, 7,500 warrants were vested and 4,500 were forfeited upon cancellation of the agreement. The following assumptions were used to value the warrants for the year ended December 31, 2011: an expected life of 2.99 to 3.32 years, volatility of 128% to 130%, risk free interest rate of 0.79% to 1.29% and zero dividends. The following assumptions were used to value the warrants for the year ended December 31, 2010: an expected life of 3.40 to 3.99 years, volatility of 130% to 144%, risk free interest rate of 0.51% to 1.68% and zero dividends. The company recognized an expense of $12,000 and $15,000 related to these warrants during the years ended December 31, 2011 and 2010, respectively.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In August 2010, the Company entered into an agreement with a consultant, who was also a board member, which provided for the grant of warrants for 100,000 shares of common stock at an exercise price of $4.26 per share. Of the 100,000 warrants, 25,000 vested immediately on signing of the agreement, 25,000 were to vest at the end of one year and the remaining 50,000 warrants were to vest based on the achievement of certain milestones. The following assumptions were used to value the remaining unvested warrants on March 7, 2011 at the date the consultant effectively became an employee of the Company: an expected life of 4.28 years, volatility of 135%, risk free interest rate of 1.705% and zero dividends. Pursuant to an employment agreement entered into in May 2011, all remaining unvested warrants were immediately vested. The Company recognized expense of $340,000 and $219,000 related to these warrants during the years ended December 31, 2011 and 2010, respectively.</w:t>
      </w:r>
    </w:p>
    <w:p>
      <w:pPr>
        <w:spacing w:after="0" w:line="118"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In December 2010, the Company granted warrants to a consultant for the purchase of 33,334 shares of common stock at an exercise price of $3.90 per share. The warrants were valued at $112,000 on issuance based on the following assumptions: an expected life of 5 years, volatility of 130%, risk free interest rate of 1.9% and zero dividends. The warrants vested immediately and the company recognized an expense of $112,000 related to these warrants during the year ended December 31, 2010.</w:t>
      </w:r>
    </w:p>
    <w:p>
      <w:pPr>
        <w:spacing w:after="0" w:line="143"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In December 2010, the Company issued warrants to a placement agent for the purchase of 500 shares of common stock at an exercise price of $7.20 per share. These warrants were valued at $2,000 using the following assumptions: an expected life of 5 years, volatility of 130%, risk free interest rate of 2.06% and zero dividends.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Adopting Provisions Regarding Warrant Liabilities</w:t>
      </w:r>
    </w:p>
    <w:p>
      <w:pPr>
        <w:spacing w:after="0" w:line="90"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In June 2008, the Financial Accounting Standards Board (“FASB”) ratified standards related to determining whether an instrument (or an embedded feature) is indexed to an entity’s own stock. The standards provide that an entity should use a two step approach to evaluate whether an equity-linked financial instrument (or embedded feature) is indexed to its own stock, including evaluating the instrument’s contingent exercise and settlement provisions. The standard is effective for fiscal years beginning after December 15, 2008. The Company adopted the standard on January 1, 2009 and determined that the 1,164,929 warrants issued in connection with the February 2006 Transaction that had been classified as equity and included in additional paid-in capital at December 31, 2008, should be classified as liabilities due to repricing and anti-dilution provisions contained in the warrant agreements. The impact of adopting new accounting provisions on January 1, 2009, which required the treatment of warrants with certain features as liabilities rather than equity, was a decrease in additional paid-in-capital by $458,000, which was the fair value recorded at the time the warrants were transferred from a liability to equity during the year ended December 31, 2008, an increase of warrant liabilities by $204,000, the fair value of the warrants as of January 1, 2009 and a credit to accumulated deficit for the difference.</w:t>
      </w:r>
    </w:p>
    <w:p>
      <w:pPr>
        <w:spacing w:after="0" w:line="12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During the year ended December 31, 2011, the Company recognized a loss of $524,000 in its consolidated statements of operations related to the change in fair value of warrant liabilities.</w:t>
      </w:r>
    </w:p>
    <w:p>
      <w:pPr>
        <w:spacing w:after="0" w:line="24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Stock-Based Compensation Plans</w:t>
      </w:r>
    </w:p>
    <w:p>
      <w:pPr>
        <w:spacing w:after="0" w:line="90"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At December 31, 2012, the Company had three stock-based compensation plans where the Company’s common stock has been made available for equity-based incentive grants as part of the Company’s compensation programs (the “Incentive Plans”) as follows:</w:t>
      </w:r>
    </w:p>
    <w:p>
      <w:pPr>
        <w:spacing w:after="0" w:line="132" w:lineRule="exact"/>
        <w:rPr>
          <w:sz w:val="20"/>
          <w:szCs w:val="20"/>
          <w:color w:val="auto"/>
        </w:rPr>
      </w:pPr>
    </w:p>
    <w:p>
      <w:pPr>
        <w:jc w:val="both"/>
        <w:ind w:left="460" w:right="300"/>
        <w:spacing w:after="0" w:line="306" w:lineRule="auto"/>
        <w:rPr>
          <w:sz w:val="20"/>
          <w:szCs w:val="20"/>
          <w:color w:val="auto"/>
        </w:rPr>
      </w:pPr>
      <w:r>
        <w:rPr>
          <w:rFonts w:ascii="Arial" w:cs="Arial" w:eastAsia="Arial" w:hAnsi="Arial"/>
          <w:sz w:val="16"/>
          <w:szCs w:val="16"/>
          <w:i w:val="1"/>
          <w:iCs w:val="1"/>
          <w:color w:val="auto"/>
        </w:rPr>
        <w:t>2001 Stock Incentive Plan</w:t>
      </w:r>
      <w:r>
        <w:rPr>
          <w:rFonts w:ascii="Arial" w:cs="Arial" w:eastAsia="Arial" w:hAnsi="Arial"/>
          <w:sz w:val="16"/>
          <w:szCs w:val="16"/>
          <w:color w:val="auto"/>
        </w:rPr>
        <w:t>. In October 2001, the Company’s Board of Directors adopted the Pro-Pharmaceuticals, Inc. 2001 Stock Incentive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which permits awards of incentive and nonqualified stock options and other forms of incentive compensation to employees and non-employees such as directors and consultants. The Board has 833,334 shares of common stock for issuance upon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70" w:lineRule="auto"/>
        <w:rPr>
          <w:sz w:val="20"/>
          <w:szCs w:val="20"/>
          <w:color w:val="auto"/>
        </w:rPr>
      </w:pPr>
      <w:r>
        <w:rPr>
          <w:rFonts w:ascii="Arial" w:cs="Arial" w:eastAsia="Arial" w:hAnsi="Arial"/>
          <w:sz w:val="15"/>
          <w:szCs w:val="15"/>
          <w:color w:val="auto"/>
        </w:rPr>
        <w:t>exercise of grants made under the Incentive Plan. Options granted under the Incentive Plan vest either immediately or over a period of up to three years, and expire 3 years to 10 years from the grant date. At December 31, 2012, 291,992 shares were available for future grant under the Incentive Plan.</w:t>
      </w:r>
    </w:p>
    <w:p>
      <w:pPr>
        <w:spacing w:after="0" w:line="6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i w:val="1"/>
          <w:iCs w:val="1"/>
          <w:color w:val="auto"/>
        </w:rPr>
        <w:t>2003 Non-Employee Director Stock Option Plan</w:t>
      </w:r>
      <w:r>
        <w:rPr>
          <w:rFonts w:ascii="Arial" w:cs="Arial" w:eastAsia="Arial" w:hAnsi="Arial"/>
          <w:sz w:val="18"/>
          <w:szCs w:val="18"/>
          <w:color w:val="auto"/>
        </w:rPr>
        <w:t>. In 2003, the stockholders approved the Pro-Pharmaceuticals, Inc. 2003 Non-Employee Director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Plan (the “Director Plan”), which permits awards of stock options to non-employee directors. The stockholders reserved 166,667 shares of common stock for issuance upon exercise of grants made under the Director Plan. At December 31, 2012, 146,557 shares were available for future grant under the Director Plan.</w:t>
      </w:r>
    </w:p>
    <w:p>
      <w:pPr>
        <w:spacing w:after="0" w:line="143"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i w:val="1"/>
          <w:iCs w:val="1"/>
          <w:color w:val="auto"/>
        </w:rPr>
        <w:t>2009 Incentive Compensation Plan</w:t>
      </w:r>
      <w:r>
        <w:rPr>
          <w:rFonts w:ascii="Arial" w:cs="Arial" w:eastAsia="Arial" w:hAnsi="Arial"/>
          <w:sz w:val="18"/>
          <w:szCs w:val="18"/>
          <w:color w:val="auto"/>
        </w:rPr>
        <w:t>. In February 2009, the Company adopted the 2009 Incentive Compensation Plan (the “2009 Plan”) which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issuance of up to 3,333,334 shares of the Company’s common stock in the form of options, stock appreciation rights, restricted stock and other stock-based awards to employees, officers, directors, consultants and other eligible persons. At December 31, 2012, 979,259 shares were available for future grant under the 2009 Plan.</w:t>
      </w:r>
    </w:p>
    <w:p>
      <w:pPr>
        <w:spacing w:after="0" w:line="143" w:lineRule="exact"/>
        <w:rPr>
          <w:sz w:val="20"/>
          <w:szCs w:val="20"/>
          <w:color w:val="auto"/>
        </w:rPr>
      </w:pPr>
    </w:p>
    <w:p>
      <w:pPr>
        <w:ind w:left="460" w:right="440"/>
        <w:spacing w:after="0" w:line="259" w:lineRule="auto"/>
        <w:rPr>
          <w:sz w:val="20"/>
          <w:szCs w:val="20"/>
          <w:color w:val="auto"/>
        </w:rPr>
      </w:pPr>
      <w:r>
        <w:rPr>
          <w:rFonts w:ascii="Arial" w:cs="Arial" w:eastAsia="Arial" w:hAnsi="Arial"/>
          <w:sz w:val="18"/>
          <w:szCs w:val="18"/>
          <w:color w:val="auto"/>
        </w:rPr>
        <w:t>In addition, the Company has awarded 1,477,379 non-plan stock option grants to employees and non-employees. These non-plan grants have vesting periods and expiration dates similar to those options granted under the Incentive Plans. At December 31, 2012, 1,440,045 non-plan grants were outstanding.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is the stock-based compensation expense related to common stock options, restricted common stock and common stock warrants: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Year Ended</w:t>
            </w:r>
          </w:p>
        </w:tc>
      </w:tr>
      <w:tr>
        <w:trPr>
          <w:trHeight w:val="161"/>
        </w:trPr>
        <w:tc>
          <w:tcPr>
            <w:tcW w:w="6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$1,558</w:t>
            </w:r>
          </w:p>
        </w:tc>
        <w:tc>
          <w:tcPr>
            <w:tcW w:w="10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1,870</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2,792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3,245</w:t>
            </w:r>
          </w:p>
        </w:tc>
        <w:tc>
          <w:tcPr>
            <w:tcW w:w="10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options granted is determined using the Black-Scholes option-pricing model. The following weighted average assumptions were used:</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6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Period from</w:t>
            </w:r>
          </w:p>
        </w:tc>
      </w:tr>
      <w:tr>
        <w:trPr>
          <w:trHeight w:val="149"/>
        </w:trPr>
        <w:tc>
          <w:tcPr>
            <w:tcW w:w="6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Inception</w:t>
            </w:r>
          </w:p>
        </w:tc>
      </w:tr>
      <w:tr>
        <w:trPr>
          <w:trHeight w:val="149"/>
        </w:trPr>
        <w:tc>
          <w:tcPr>
            <w:tcW w:w="6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(July 10, 2000)</w:t>
            </w:r>
          </w:p>
        </w:tc>
      </w:tr>
      <w:tr>
        <w:trPr>
          <w:trHeight w:val="149"/>
        </w:trPr>
        <w:tc>
          <w:tcPr>
            <w:tcW w:w="6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r>
      <w:tr>
        <w:trPr>
          <w:trHeight w:val="149"/>
        </w:trPr>
        <w:tc>
          <w:tcPr>
            <w:tcW w:w="6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6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0.90%</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5.81 years</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5.13 years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5.19 years</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As noted above, the fair value of stock options is determined by using the Black-Scholes option pricing model. For all options granted since January 1, 2006 the Company has generally used option terms of between 5 to 10 years, with 5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does not expect to pay any cash dividends in the foreseeable future. At December 31, 2012, the Company does not anticipate any option awards will be forfeited in the calculation of compensation expense due to the limited number of employees that receive stock option grants and the Company’s historical employee turnover.</w:t>
      </w:r>
    </w:p>
    <w:p>
      <w:pPr>
        <w:spacing w:after="0" w:line="14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Of the options granted during 2011, 166,668 vest only upon the achievement of certain market conditions (83,334 and 83,334 upon the Company achieving a market capitalization of $5 billion and $10 billion, respectively). These market condition stock option awards were valued at $1,006,000 using a Monte Carlo model and will be recognized over a weighted average period of 5.5 years. Assumptions used to value these options included the following: annualized volatility of 110%, annualized drift/risk-free interest rate of 3.5% and a forecast horizon/life of 10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stock option activity in the stock based compensation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7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7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7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6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Price</w:t>
            </w:r>
          </w:p>
        </w:tc>
        <w:tc>
          <w:tcPr>
            <w:tcW w:w="7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7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Outstanding, December 31,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1,965,748</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7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88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1,676,712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7.02</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Forfeited/Cancelled</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(334,543)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880"/>
              <w:spacing w:after="0"/>
              <w:rPr>
                <w:sz w:val="20"/>
                <w:szCs w:val="20"/>
                <w:color w:val="auto"/>
              </w:rPr>
            </w:pPr>
            <w:r>
              <w:rPr>
                <w:rFonts w:ascii="Arial" w:cs="Arial" w:eastAsia="Arial" w:hAnsi="Arial"/>
                <w:sz w:val="18"/>
                <w:szCs w:val="18"/>
                <w:color w:val="auto"/>
              </w:rPr>
              <w:t>Exercised</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(216,443)</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3,091,474</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7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88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800,000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Forfeited/Cancelled</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(299,683)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880"/>
              <w:spacing w:after="0"/>
              <w:rPr>
                <w:sz w:val="20"/>
                <w:szCs w:val="20"/>
                <w:color w:val="auto"/>
              </w:rPr>
            </w:pPr>
            <w:r>
              <w:rPr>
                <w:rFonts w:ascii="Arial" w:cs="Arial" w:eastAsia="Arial" w:hAnsi="Arial"/>
                <w:sz w:val="18"/>
                <w:szCs w:val="18"/>
                <w:color w:val="auto"/>
              </w:rPr>
              <w:t>Exercised</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(51,830)</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December 31, 2012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3,539,961</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7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7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Exercisable, December 31, 2012</w:t>
            </w: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2,067,910</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2012, based on the closing price of the Company’s common stock of $2.05 on that date.</w:t>
      </w:r>
    </w:p>
    <w:p>
      <w:pPr>
        <w:spacing w:after="0" w:line="140"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The weighted-average grant-date fair values of options granted during 2012 and 2011 were $1.77 and $6.07, respectively. As of December 31, 2012 and December 31, 2011, there were unvested options to purchase 1,472,051 and 1,317,480 shares of common stock, respectively. Total expected unrecognized compensation cost related to such unvested options is $5,628,000 at December 31, 2012, which is expected to be recognized over a weighted-average period of 3.7 years.</w:t>
      </w:r>
    </w:p>
    <w:p>
      <w:pPr>
        <w:spacing w:after="0" w:line="143"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During the years ended December 31 2012 and 2011, 51,830 and 216,400, respectively, shares were issued upon the exercise of options valued at $96,000 and $253,000, respectively. During the years ended December 31, 2012 and 2011, the Company received $0 and $234,000, respectively, for the exercise of stock options. During 2012 and 2011, 90,253 and 83,334 options were exercised cashlessly resulting in the issuance of 51,830 and 64,273 shares, respectively. The intrinsic value of options exercised during the years ended December 31, 2012 and 2011 and from the period from inception to December 31, 2012 was $162,000, $1,174,000 and $1,724,000, respectively.</w:t>
      </w:r>
    </w:p>
    <w:p>
      <w:pPr>
        <w:spacing w:after="0" w:line="116"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During the years ended December 31, 2012 and 2011, 595,420 and 380,391 options vested, respectively. The total fair value of options vested during the years ended December 31, 2012, 2011 and the cumulative period from inception to December 31, 2012 was $2,447,000, $2,153,000 and $13,056,000,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Stock Based Compensation Transactions</w:t>
      </w:r>
    </w:p>
    <w:p>
      <w:pPr>
        <w:spacing w:after="0" w:line="90"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During 2001, the Company entered into a consulting agreement with a non-employee, who was also a Board member and former member of the Audit Committee, pursuant to which the Company granted 33,334 options to purchase common stock at an exercise price of $21.00 in consideration for services to be performed. At the time of issuance, these options were valued at $239,000 based on a deemed fair market value of the Company’s common stock of $13.68 per share. Total expense for the years ended December 31, 2003, 2002 and 2001 related to these options was $71,000, $64,000 and $147,000, respectively.</w:t>
      </w:r>
    </w:p>
    <w:p>
      <w:pPr>
        <w:spacing w:after="0" w:line="143"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In March 2002, the Company entered into a second agreement with the same non-employee, by which the Company granted 334 options a month to purchase common stock at an exercise price of $21.00 in consideration for monthly consulting services. On November 11, 2002 such agreement was superseded by an amendment, which was effective retroactively to the date of the original agreement, March 1, 2002. Under the amended agreement, the Company granted 4,000 options on March 1, 2002, which vest at a rate of 334 options per month, as services are performed. These options were valued at $11,000 using the Black-Scholes option-pricing model, based on a grant date fair value of the Company’s common stock of $12.96 per share. During 2002, the Company recorded a $41,000 charge to stock compensation expense related to the 3,334 options that vested during the year. As of December 31, 2002, the Company had deferred compensation of $11,000 that related to the remaining unvested options, which was recognized in 2003.</w:t>
      </w:r>
    </w:p>
    <w:p>
      <w:pPr>
        <w:spacing w:after="0" w:line="118" w:lineRule="exact"/>
        <w:rPr>
          <w:sz w:val="20"/>
          <w:szCs w:val="20"/>
          <w:color w:val="auto"/>
        </w:rPr>
      </w:pPr>
    </w:p>
    <w:p>
      <w:pPr>
        <w:ind w:left="460"/>
        <w:spacing w:after="0" w:line="318" w:lineRule="auto"/>
        <w:rPr>
          <w:sz w:val="20"/>
          <w:szCs w:val="20"/>
          <w:color w:val="auto"/>
        </w:rPr>
      </w:pPr>
      <w:r>
        <w:rPr>
          <w:rFonts w:ascii="Arial" w:cs="Arial" w:eastAsia="Arial" w:hAnsi="Arial"/>
          <w:sz w:val="15"/>
          <w:szCs w:val="15"/>
          <w:color w:val="auto"/>
        </w:rPr>
        <w:t>In June 2003, the Company entered into a third agreement with the same non-employee, by which the Company granted 4,000 options effective retroactively to March 1, 2003, which vest at a rate of 334 options per month as services are performed. These options were valued at $33,000 using the Black-Scholes option-pricing model, based on a fair market value of the Company’s common stock of $21.00 per share. The consulting arrangement was concluded on March 1, 2004. The Company recorded fair value adjustments of ($2,000) and $21,000 related to the unvested consultant options during 2004 and 2003, respectively. Total expense for the years ended December 31, 2004 and 2003 related to these options was $17,000 and $40,000, respectively.</w:t>
      </w:r>
    </w:p>
    <w:p>
      <w:pPr>
        <w:spacing w:after="0" w:line="100"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In January 2003, the Company granted 16,667 options at an exercise price of $21.00 to a Board member for consulting services unrelated to services performed as a director. One-third of the options vested immediately and the balance vests in equal amounts on the first and second anniversaries of the award. The options were valued at $156,000 using the Black-Scholes option-pricing model, based on a fair market value of the Company’s common stock of $16.80 per share. The consulting services were completed and the consulting arrangement was concluded as of March 31, 2004. The Company recorded fair value adjustments of $4,000 and $82,000 related to the unvested consultant options during 2004 and 2003, respectively. Total expense for the years ended December 31, 2004 and 2003 related to these options was $51,000 and $193,000, respectively.</w:t>
      </w:r>
    </w:p>
    <w:p>
      <w:pPr>
        <w:spacing w:after="0" w:line="12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In May 2003, the Company granted 1,667 options at an exercise price of $21.00 to a new member of the Scientific Advisory Board. One-half of the options vested immediately and the balance vests on the second anniversary. These options were valued at $16,000 using the Black-Scholes option-pricing model based on a fair market value of the Company’s common stock of $16.80 per share. The Company recorded fair value adjustments of $2,000 and $6,000 related to the unvested consultant options during 2004 and 2003, respectively. Total expense for the years ended December 31, 2004 and 2003 related to these options was $5,000 and $13,000, respectively.</w:t>
      </w:r>
    </w:p>
    <w:p>
      <w:pPr>
        <w:spacing w:after="0" w:line="143"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In September 2003, the Company granted 4,167 options each to a Board member and to a member of the Scientific Advisory Board for consulting services. The options were exercisable immediately at $24.30 per share. These options were valued using the Black-Scholes option-pricing model based on a grant date fair value of the Company’s common stock of $14.64 per share. The Company recorded a $122,000 charge to stock compensation expense in 2003 related to these awards.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In October 2003, in connection with the resignation of its former Chief Financial Officer, the Company accelerated the vesting on 16,667 options granted to such officer in September 2003 at an exercise price of $24.30, which was equal to the fair market value of the common stock on the date of grant. As the fair market value of the common stock was $26.70 per share at the time the vesting was accelerated, the Company recorded a $40,000 charge to stock compensation expense. Also, in October 2003, such officer exercised on a cashless basis 8,334 options at an exercise price of $17.82 per share resulting in the issuance of 2,772 shares. As the fair market value of the Company’s common stock on the date of exercise was $26.70 per share, the Company recorded a charge of $74,000 to stock compensation expense in 2003 related to the exercise of these options.</w:t>
      </w:r>
    </w:p>
    <w:p>
      <w:pPr>
        <w:spacing w:after="0" w:line="120"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In March 2004, the Company issued 4,167 options in fulfillment of a September 2003 agreement with an investor relations firm. The agreement obligated the Company to pay a monthly retainer and issue options at a rate of 834 options per month, up to a maximum of 16,667 options, exercisable at $34.80 per share as services are performed. The Company concluded the engagement in February 2004. The options were exercisable immediately and expired on March 26, 2007. Accordingly, the Company recorded $29,000 as stock compensation expense in 2003 on the 2,500 options that vested as of December 31, 2003 and an additional stock compensation expense of $23,000 in 2004 on the 10,000 options that vested in January and February 2004. The stock compensation expense was determined based on a fair market value of the options when the options were earned. These options expired unexercised in 2007.</w:t>
      </w:r>
    </w:p>
    <w:p>
      <w:pPr>
        <w:spacing w:after="0" w:line="147"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In April 2004, the Company entered into an agreement with an investor relations firm. The agreement obligated the Company to pay a monthly retainer and issue options at a rate of 834 per month up to a maximum of 10,000 options exercisable at $30.96 per share as services are performed. During 2004, 7,500 options were earned but not issued. During 2005, 2,500 options were earned and the full 10,000 options were issued. The Company recorded $67,000 in 2004 and $14,000 in 2005 as stock compensation expense related to this agreement. The stock compensation expense was determined based on the fair market value of the options when the options were earned. The options were exercisable immediately and expired three years from the agreement date. These options expired unexercised in 2007.</w:t>
      </w:r>
    </w:p>
    <w:p>
      <w:pPr>
        <w:spacing w:after="0" w:line="120"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In November 2005, the Company issued 834 options to a member of the Scientific Advisory Board for consulting services. The options were exercisable immediately at $15.66 per share. These options were valued using the Black-Scholes option-pricing model based on a grant date fair value of the Company’s common stock of $8.10 per share which was the fair market value at the date of the grant. The Company recorded a $7,000 charge to stock compensation expense in 2005 related to this award. These options expired unexercised in 2010.</w:t>
      </w:r>
    </w:p>
    <w:p>
      <w:pPr>
        <w:spacing w:after="0" w:line="113"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In March 2006 the Company issued 2,500 options to a consultant for consulting services, of which 834 of the options were exercisable immediately, 833 options vested in March 2008 and 833 options vested in March 2009. The options are exercisable at $22.50 per share. These options were valued using the Black-Scholes option-pricing model based on a grant date fair value of the Company’s common stock of $13.20 per share which was the fair market value at the date of the grant. The Company recorded a $33,000 charge to stock compensation expense over the vesting period of the options.</w:t>
      </w:r>
    </w:p>
    <w:p>
      <w:pPr>
        <w:spacing w:after="0" w:line="113"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In December 2007, the Company issued 834 options to a consultant for consulting services. The options were exercisable immediately at $3.78 per share. These options were valued using the Black-Scholes option-pricing model based on a grant date fair value of the Company’s common stock of $2.76 per share which was the fair market value at the date of the grant. The Company recorded a $2,000 charge to stock compensation expense in 2007 related to this award.</w:t>
      </w:r>
    </w:p>
    <w:p>
      <w:pPr>
        <w:spacing w:after="0" w:line="14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In April 2008, the Company issued 8,000 options to a consultant for consulting services. The options were exercisable immediately at $2.64 per share. These options were valued using the Black-Scholes option-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pricing model based on a grant date fair value of the Company’s common stock of $2.34 per share which was the fair market value at the date of the grant.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recorded a $15,000 charge to stock compensation expense in 2008 related to this award.</w:t>
      </w:r>
    </w:p>
    <w:p>
      <w:pPr>
        <w:spacing w:after="0" w:line="165"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In February 2009, the Company issued 33,334 options to a consultant for consulting services. The options were exercisable immediately at $0 per share. These options were valued using the Black-Scholes option-pricing model based on a grant date fair value of the Company’s common stock of $0.72 per share which was the fair market value at the date of the grant. The Company recorded a $24,000 charge to stock compensation expense in 2009 related to this award.</w:t>
      </w:r>
    </w:p>
    <w:p>
      <w:pPr>
        <w:spacing w:after="0" w:line="143"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During the year ended December 31, 2012, the Company modified the terms of certain option grants for four employees to extend the exercisable period from ninety days post-employment to the remaining legal life of the option grant. During the year ended December 31, 2012, the Company modified certain cashless exercise terms for one employee. The modification of these option terms resulted in additional stock-based compensation expense of $271,000 during the year ended December 31, 2012. During the year ended December 31, 2011, the Company modified the options of one employee to extend the exercisable period post-employment from ninety days to the remaining legal life of the option, resulting in additional stock-based compensation expense of $63,000.</w:t>
      </w:r>
    </w:p>
    <w:p>
      <w:pPr>
        <w:spacing w:after="0" w:line="144"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May 2012, the Company granted 7,000 shares of common stock to a consultant for payment of past services. These shares of common stock were valued at $16,000, based on the market value of the shares at the date of grant and are included in stock based compensation expense for the year ended December 31, 2012.</w:t>
      </w:r>
    </w:p>
    <w:p>
      <w:pPr>
        <w:spacing w:after="0" w:line="140"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In August 2012, the Company granted 4,348 shares of common stock to a consultant for payment of services. These shares of common stock were valued at $10,000, based on the market value of the shares at the date of grant and are included in stock based compensation expense for the year ended December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During the year ended December 31, 2009, the Company granted 416,670 shares of restricted common stock to members of its Board of Directors. These shares were restricted and any unvested shares were subject to forfeiture upon termination and would revert back to the Company. Of the 416,670 shares, 390,628 were vested as of December 31, 2010, and the final 26,042 vested in 2011. The restricted shares were valued at $450,000 ($1.08 per share) at the date of grant and were recognized over the vesting period. During 2011, the Company recognized stock-based compensation of $18,000 related to these restricted stock grants.</w:t>
      </w:r>
    </w:p>
    <w:p>
      <w:pPr>
        <w:spacing w:after="0" w:line="143" w:lineRule="exact"/>
        <w:rPr>
          <w:sz w:val="20"/>
          <w:szCs w:val="20"/>
          <w:color w:val="auto"/>
        </w:rPr>
      </w:pPr>
    </w:p>
    <w:p>
      <w:pPr>
        <w:ind w:left="460" w:right="380"/>
        <w:spacing w:after="0" w:line="256" w:lineRule="auto"/>
        <w:rPr>
          <w:sz w:val="20"/>
          <w:szCs w:val="20"/>
          <w:color w:val="auto"/>
        </w:rPr>
      </w:pPr>
      <w:r>
        <w:rPr>
          <w:rFonts w:ascii="Arial" w:cs="Arial" w:eastAsia="Arial" w:hAnsi="Arial"/>
          <w:sz w:val="18"/>
          <w:szCs w:val="18"/>
          <w:color w:val="auto"/>
        </w:rPr>
        <w:t>In 2011, the Company issued 20,834 shares of restricted common stock to a consultant. These shares were restricted until November 15, 2011 and any unvested shares were subject to forfeiture upon termination and would revert back to the Company. At December 31, 2011 there no restricted shares remaining. The restricted shares were valued at $113,000 ($5.40 per share) at November 15, 2011, and the Company recognized expense of $110,000 during 2011 related to these shares.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8"/>
              </w:rPr>
              <w:t>Weighted</w:t>
            </w:r>
          </w:p>
        </w:tc>
      </w:tr>
      <w:tr>
        <w:trPr>
          <w:trHeight w:val="149"/>
        </w:trPr>
        <w:tc>
          <w:tcPr>
            <w:tcW w:w="4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4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8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on</w:t>
            </w:r>
          </w:p>
        </w:tc>
      </w:tr>
      <w:tr>
        <w:trPr>
          <w:trHeight w:val="161"/>
        </w:trPr>
        <w:tc>
          <w:tcPr>
            <w:tcW w:w="4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Grant</w:t>
            </w: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1"/>
              </w:rPr>
              <w:t>Unvested restricted shares outstanding, December 31, 2010</w:t>
            </w:r>
          </w:p>
        </w:tc>
        <w:tc>
          <w:tcPr>
            <w:tcW w:w="2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26,042</w:t>
            </w:r>
          </w:p>
        </w:tc>
        <w:tc>
          <w:tcPr>
            <w:tcW w:w="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color w:val="auto"/>
                <w:w w:val="85"/>
              </w:rPr>
              <w:t>1.08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Restricted shares issued</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20,834</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center"/>
              <w:ind w:left="76"/>
              <w:spacing w:after="0"/>
              <w:rPr>
                <w:sz w:val="20"/>
                <w:szCs w:val="20"/>
                <w:color w:val="auto"/>
              </w:rPr>
            </w:pPr>
            <w:r>
              <w:rPr>
                <w:rFonts w:ascii="Arial" w:cs="Arial" w:eastAsia="Arial" w:hAnsi="Arial"/>
                <w:sz w:val="18"/>
                <w:szCs w:val="18"/>
                <w:color w:val="auto"/>
                <w:w w:val="85"/>
              </w:rPr>
              <w:t>8.04</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shares vested</w:t>
            </w:r>
          </w:p>
        </w:tc>
        <w:tc>
          <w:tcPr>
            <w:tcW w:w="29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(46,876)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5"/>
              </w:rPr>
              <w:t>4.17</w:t>
            </w:r>
          </w:p>
        </w:tc>
        <w:tc>
          <w:tcPr>
            <w:tcW w:w="100" w:type="dxa"/>
            <w:vAlign w:val="bottom"/>
            <w:shd w:val="clear" w:color="auto" w:fill="CCEEFF"/>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w w:val="91"/>
              </w:rPr>
              <w:t>Unvested restricted shares outstanding, December 31, 2011</w:t>
            </w:r>
          </w:p>
        </w:tc>
        <w:tc>
          <w:tcPr>
            <w:tcW w:w="29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center"/>
              <w:ind w:left="3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4540" w:type="dxa"/>
            <w:vAlign w:val="bottom"/>
            <w:gridSpan w:val="3"/>
          </w:tcPr>
          <w:p>
            <w:pPr>
              <w:jc w:val="right"/>
              <w:ind w:right="3980"/>
              <w:spacing w:after="0"/>
              <w:rPr>
                <w:sz w:val="20"/>
                <w:szCs w:val="20"/>
                <w:color w:val="auto"/>
              </w:rPr>
            </w:pPr>
            <w:r>
              <w:rPr>
                <w:rFonts w:ascii="Arial" w:cs="Arial" w:eastAsia="Arial" w:hAnsi="Arial"/>
                <w:sz w:val="18"/>
                <w:szCs w:val="18"/>
                <w:color w:val="auto"/>
              </w:rPr>
              <w:t>F-40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summary of changes in the Warrant Liabilities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Fair Value of</w:t>
            </w:r>
          </w:p>
        </w:tc>
      </w:tr>
      <w:tr>
        <w:trPr>
          <w:trHeight w:val="149"/>
        </w:trPr>
        <w:tc>
          <w:tcPr>
            <w:tcW w:w="8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Warrant</w:t>
            </w:r>
          </w:p>
        </w:tc>
      </w:tr>
      <w:tr>
        <w:trPr>
          <w:trHeight w:val="149"/>
        </w:trPr>
        <w:tc>
          <w:tcPr>
            <w:tcW w:w="8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Liabilities</w:t>
            </w:r>
          </w:p>
        </w:tc>
      </w:tr>
      <w:tr>
        <w:trPr>
          <w:trHeight w:val="161"/>
        </w:trPr>
        <w:tc>
          <w:tcPr>
            <w:tcW w:w="864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r>
      <w:tr>
        <w:trPr>
          <w:trHeight w:val="210"/>
        </w:trPr>
        <w:tc>
          <w:tcPr>
            <w:tcW w:w="8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Intrinsic value of liability warrants exercised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r>
      <w:tr>
        <w:trPr>
          <w:trHeight w:val="222"/>
        </w:trPr>
        <w:tc>
          <w:tcPr>
            <w:tcW w:w="8640" w:type="dxa"/>
            <w:vAlign w:val="bottom"/>
          </w:tcPr>
          <w:p>
            <w:pPr>
              <w:spacing w:after="0"/>
              <w:rPr>
                <w:sz w:val="20"/>
                <w:szCs w:val="20"/>
                <w:color w:val="auto"/>
              </w:rPr>
            </w:pPr>
            <w:r>
              <w:rPr>
                <w:rFonts w:ascii="Arial" w:cs="Arial" w:eastAsia="Arial" w:hAnsi="Arial"/>
                <w:sz w:val="18"/>
                <w:szCs w:val="18"/>
                <w:color w:val="auto"/>
              </w:rPr>
              <w:t>Balance December 31, 2011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warrant liabilities in the table above were classified as a Level 2 liability and were valued using the Black-Scholes pricing model.</w:t>
      </w:r>
    </w:p>
    <w:p>
      <w:pPr>
        <w:spacing w:after="0" w:line="28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96" w:lineRule="exact"/>
        <w:rPr>
          <w:rFonts w:ascii="Arial" w:cs="Arial" w:eastAsia="Arial" w:hAnsi="Arial"/>
          <w:sz w:val="18"/>
          <w:szCs w:val="18"/>
          <w:b w:val="1"/>
          <w:bCs w:val="1"/>
          <w:color w:val="auto"/>
        </w:rPr>
      </w:pPr>
    </w:p>
    <w:p>
      <w:pPr>
        <w:ind w:left="46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r>
      <w:tr>
        <w:trPr>
          <w:trHeight w:val="129"/>
        </w:trPr>
        <w:tc>
          <w:tcPr>
            <w:tcW w:w="8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4"/>
          </w:tcPr>
          <w:p>
            <w:pPr>
              <w:jc w:val="center"/>
              <w:ind w:right="35"/>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100" w:type="dxa"/>
            <w:vAlign w:val="bottom"/>
          </w:tcPr>
          <w:p>
            <w:pPr>
              <w:spacing w:after="0"/>
              <w:rPr>
                <w:sz w:val="11"/>
                <w:szCs w:val="11"/>
                <w:color w:val="auto"/>
              </w:rPr>
            </w:pPr>
          </w:p>
        </w:tc>
      </w:t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and per share amounts)</w:t>
            </w:r>
          </w:p>
        </w:tc>
      </w:tr>
      <w:tr>
        <w:trPr>
          <w:trHeight w:val="142"/>
        </w:trPr>
        <w:tc>
          <w:tcPr>
            <w:tcW w:w="8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(9,675)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(10,915)</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Preferred stock accretion</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r>
      <w:tr>
        <w:trPr>
          <w:trHeight w:val="27"/>
        </w:trPr>
        <w:tc>
          <w:tcPr>
            <w:tcW w:w="8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(10,881)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(12,713)</w:t>
            </w: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outstanding—basic and diluted</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15,131</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Pr>
          <w:p>
            <w:pPr>
              <w:spacing w:after="0"/>
              <w:rPr>
                <w:sz w:val="19"/>
                <w:szCs w:val="19"/>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per common share—basic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bl>
    <w:p>
      <w:pPr>
        <w:spacing w:after="0" w:line="154"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during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40" w:type="dxa"/>
            <w:vAlign w:val="bottom"/>
            <w:gridSpan w:val="4"/>
          </w:tcPr>
          <w:p>
            <w:pPr>
              <w:ind w:left="78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48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960" w:type="dxa"/>
            <w:vAlign w:val="bottom"/>
            <w:tcBorders>
              <w:top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2012</w:t>
            </w:r>
          </w:p>
        </w:tc>
        <w:tc>
          <w:tcPr>
            <w:tcW w:w="1360" w:type="dxa"/>
            <w:vAlign w:val="bottom"/>
            <w:tcBorders>
              <w:top w:val="single" w:sz="8" w:color="auto"/>
            </w:tcBorders>
            <w:gridSpan w:val="2"/>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1"/>
                <w:szCs w:val="11"/>
                <w:color w:val="auto"/>
              </w:rPr>
            </w:pPr>
          </w:p>
        </w:tc>
      </w:tr>
      <w:tr>
        <w:trPr>
          <w:trHeight w:val="161"/>
        </w:trPr>
        <w:tc>
          <w:tcPr>
            <w:tcW w:w="4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60" w:type="dxa"/>
            <w:vAlign w:val="bottom"/>
          </w:tcPr>
          <w:p>
            <w:pPr>
              <w:jc w:val="right"/>
              <w:ind w:right="162"/>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r>
      <w:tr>
        <w:trPr>
          <w:trHeight w:val="210"/>
        </w:trPr>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shares of common stock</w:t>
            </w:r>
          </w:p>
        </w:tc>
        <w:tc>
          <w:tcPr>
            <w:tcW w:w="3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7,424,241</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6,673,405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3,539,961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3,091,474</w:t>
            </w:r>
          </w:p>
        </w:tc>
        <w:tc>
          <w:tcPr>
            <w:tcW w:w="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Shares of common stock issuable upon conversion preferred stock</w:t>
            </w:r>
          </w:p>
        </w:tc>
        <w:tc>
          <w:tcPr>
            <w:tcW w:w="3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2,627,110</w:t>
            </w:r>
          </w:p>
        </w:tc>
        <w:tc>
          <w:tcPr>
            <w:tcW w:w="4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2,627,110</w:t>
            </w:r>
          </w:p>
        </w:tc>
        <w:tc>
          <w:tcPr>
            <w:tcW w:w="120" w:type="dxa"/>
            <w:vAlign w:val="bottom"/>
            <w:shd w:val="clear" w:color="auto" w:fill="CCEEFF"/>
          </w:tcPr>
          <w:p>
            <w:pPr>
              <w:spacing w:after="0"/>
              <w:rPr>
                <w:sz w:val="18"/>
                <w:szCs w:val="18"/>
                <w:color w:val="auto"/>
              </w:rPr>
            </w:pPr>
          </w:p>
        </w:tc>
      </w:tr>
      <w:tr>
        <w:trPr>
          <w:trHeight w:val="222"/>
        </w:trPr>
        <w:tc>
          <w:tcPr>
            <w:tcW w:w="48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13,591,312</w:t>
            </w:r>
          </w:p>
        </w:tc>
        <w:tc>
          <w:tcPr>
            <w:tcW w:w="4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12,391,989</w:t>
            </w:r>
          </w:p>
        </w:tc>
        <w:tc>
          <w:tcPr>
            <w:tcW w:w="12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880" w:type="dxa"/>
            <w:vAlign w:val="bottom"/>
          </w:tcPr>
          <w:p>
            <w:pPr>
              <w:spacing w:after="0"/>
              <w:rPr>
                <w:sz w:val="24"/>
                <w:szCs w:val="24"/>
                <w:color w:val="auto"/>
              </w:rPr>
            </w:pPr>
          </w:p>
        </w:tc>
        <w:tc>
          <w:tcPr>
            <w:tcW w:w="4140" w:type="dxa"/>
            <w:vAlign w:val="bottom"/>
            <w:gridSpan w:val="2"/>
          </w:tcPr>
          <w:p>
            <w:pPr>
              <w:jc w:val="right"/>
              <w:ind w:right="3522"/>
              <w:spacing w:after="0"/>
              <w:rPr>
                <w:sz w:val="20"/>
                <w:szCs w:val="20"/>
                <w:color w:val="auto"/>
              </w:rPr>
            </w:pPr>
            <w:r>
              <w:rPr>
                <w:rFonts w:ascii="Arial" w:cs="Arial" w:eastAsia="Arial" w:hAnsi="Arial"/>
                <w:sz w:val="18"/>
                <w:szCs w:val="18"/>
                <w:color w:val="auto"/>
              </w:rPr>
              <w:t>F-41</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480" w:hanging="232"/>
        <w:spacing w:after="0" w:line="417" w:lineRule="auto"/>
        <w:tabs>
          <w:tab w:leader="none" w:pos="458"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Lease Commitments</w:t>
      </w:r>
    </w:p>
    <w:p>
      <w:pPr>
        <w:spacing w:after="0" w:line="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In September 2012, the Company entered into an operating lease for office space in Norcross, GA for a term of twenty-six months, beginning on October 1, 2012 and ending November 30, 2014 at a rate of $3,000 per month. The lease provides for free rent for the first two months of the lease and required a security deposit of $6,000. In addition to base rental payments included in the contractual obligations table above, we are responsible for our pro-rata share of the operating expenses for the building.</w:t>
      </w:r>
    </w:p>
    <w:p>
      <w:pPr>
        <w:spacing w:after="0" w:line="143"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In October 2012, the Company entered into an operating lease for office space collocated with lab space for research and development activities. The lease is for a period of one year, beginning on October 1, 2012, for a rate of $15,000 for the term, payable in equal monthly increments.</w:t>
      </w:r>
    </w:p>
    <w:p>
      <w:pPr>
        <w:spacing w:after="0" w:line="85"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In July 2011, the Company entered into an agreement to amend its lease for offices in Newton, MA to extend the term for a period of one year, which expired on September 30, 2012, at a base rent of $235,000 for the period. In addition to base rental payments, the Company was responsible for its pro-rata share of increases in the operating expenses for the building. In connection with this lease, a commercial bank issued a letter of credit collateralized by cash, which the Company had on deposit with the bank of $59,000 at December 31, 2011 and which was released during 2012 after the lease term ended. In July 2011, the Company entered into an operating lease for an apartment for Company executive use for a one-year term, which ended in August 2012, at a rate of $44,000 for the term.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Rent expense under the above operating leases was $216,000 and $293,000 for the years ended December 31, 2012 and 2011,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payments under this lease as of December 31, 2012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76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$49</w:t>
            </w:r>
          </w:p>
        </w:tc>
        <w:tc>
          <w:tcPr>
            <w:tcW w:w="100" w:type="dxa"/>
            <w:vAlign w:val="bottom"/>
            <w:shd w:val="clear" w:color="auto" w:fill="CCEEFF"/>
          </w:tcPr>
          <w:p>
            <w:pPr>
              <w:spacing w:after="0"/>
              <w:rPr>
                <w:sz w:val="18"/>
                <w:szCs w:val="18"/>
                <w:color w:val="auto"/>
              </w:rPr>
            </w:pPr>
          </w:p>
        </w:tc>
      </w:tr>
      <w:tr>
        <w:trPr>
          <w:trHeight w:val="223"/>
        </w:trPr>
        <w:tc>
          <w:tcPr>
            <w:tcW w:w="1580" w:type="dxa"/>
            <w:vAlign w:val="bottom"/>
          </w:tcPr>
          <w:p>
            <w:pPr>
              <w:spacing w:after="0"/>
              <w:rPr>
                <w:sz w:val="20"/>
                <w:szCs w:val="20"/>
                <w:color w:val="auto"/>
              </w:rPr>
            </w:pPr>
            <w:r>
              <w:rPr>
                <w:rFonts w:ascii="Arial" w:cs="Arial" w:eastAsia="Arial" w:hAnsi="Arial"/>
                <w:sz w:val="18"/>
                <w:szCs w:val="18"/>
                <w:color w:val="auto"/>
              </w:rPr>
              <w:t>2014</w:t>
            </w:r>
          </w:p>
        </w:tc>
        <w:tc>
          <w:tcPr>
            <w:tcW w:w="76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16"/>
        </w:trPr>
        <w:tc>
          <w:tcPr>
            <w:tcW w:w="9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85</w:t>
            </w:r>
          </w:p>
        </w:tc>
        <w:tc>
          <w:tcPr>
            <w:tcW w:w="100" w:type="dxa"/>
            <w:vAlign w:val="bottom"/>
            <w:shd w:val="clear" w:color="auto" w:fill="CCEEFF"/>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Separation Agreement—Former Chief Executive Officer and Chairman of the Board of Directors</w:t>
      </w:r>
    </w:p>
    <w:p>
      <w:pPr>
        <w:spacing w:after="0" w:line="90" w:lineRule="exact"/>
        <w:rPr>
          <w:sz w:val="20"/>
          <w:szCs w:val="20"/>
          <w:color w:val="auto"/>
        </w:rPr>
      </w:pPr>
    </w:p>
    <w:p>
      <w:pPr>
        <w:ind w:left="460"/>
        <w:spacing w:after="0" w:line="282"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w:t>
      </w:r>
    </w:p>
    <w:p>
      <w:pPr>
        <w:spacing w:after="0" w:line="5" w:lineRule="exact"/>
        <w:rPr>
          <w:sz w:val="20"/>
          <w:szCs w:val="20"/>
          <w:color w:val="auto"/>
        </w:rPr>
      </w:pPr>
    </w:p>
    <w:p>
      <w:pPr>
        <w:ind w:left="460" w:right="200" w:firstLine="4"/>
        <w:spacing w:after="0" w:line="302" w:lineRule="auto"/>
        <w:tabs>
          <w:tab w:leader="none" w:pos="767"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December 31, 2012 and December 31, 2011.</w:t>
      </w:r>
    </w:p>
    <w:p>
      <w:pPr>
        <w:spacing w:after="0" w:line="140"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On May 2, 2012, Dr. Platt instituted arbitration before the American Arbitration Association, seeking a $1.0 million separation payment based on a claim that a milestone event in the Separation Agreement has occurred (see clause (iii) above). On March 22, 2012, the Company’s common stock was listed on the NASDAQ Capital Markets, but since that date, the stock has not achieved the required market capitalization. Therefore, it is the Company’s position that a milestone event has not yet occurred. The arbitration hearing was held on October 16 - 17, 2012 and on November 1, 2012, the arbitrator denied Dr. Platt’s demand in all respects. Insofar as the Company does not dispute its obligations under the Separation Agreement to pay Dr. Platt upon the occurrence of a milestone event, it has recorded the payment as an accrued expense payable if and when the milestone event occurs.</w:t>
      </w:r>
    </w:p>
    <w:p>
      <w:pPr>
        <w:spacing w:after="0" w:line="12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On October 12, 2012, Dr. Platt commenced a lawsuit under the Massachusetts Wage Act against Dr. Traber and Mr. McGauley who in their capacities as the Company’s Chief Executive Officer and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believes the lawsuit is without merit, and intends a vigorous defense on their behalf.</w:t>
      </w:r>
    </w:p>
    <w:p>
      <w:pPr>
        <w:spacing w:after="0" w:line="120"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provided for under the Separation Agreement, the Company is seeking repayment of all separation benefits paid to Dr. Platt to date. Depending on the outcome of the arbitration, the previously accrued $1.0 million could be reversed. The timing and ultimate outcome of this arbitration, though, is uncertain and there is no guarantee that the Company will be successful in this demand.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C Post Conversion Dividend Rights</w:t>
      </w:r>
    </w:p>
    <w:p>
      <w:pPr>
        <w:spacing w:after="0" w:line="9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In July 2011, 5 shares of the Company’s Series C Super Dividend Convertible Preferred Stock (“Series C”) were converted into 8,334 shares of common stock which also resulted in the issuance of 5 Series C post-conversion dividend rights (“Dividend Rights”). Under the terms of the Series C, the Dividend Rights entitle the holder only to dividend payments based on a percentage of actual sales of GM-CT-01 but not, following a conversion to common stock, the 6% dividend payable on outstanding shares of Series C. At December 31, 2012, the outstanding Dividend Rights were determined to have a de minimis value, because payment of a dividend for the Dividend Rights is considered improbable at this time and the Company has not recorded a liability related to the Dividend Rights. The Company will continue to evaluate and assess the Dividend Rights for each reporting period.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90"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are as follows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carryforwards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8"/>
              </w:rPr>
              <w:t>21,753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19,119</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24,991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21,519</w:t>
            </w:r>
          </w:p>
        </w:tc>
        <w:tc>
          <w:tcPr>
            <w:tcW w:w="0" w:type="dxa"/>
            <w:vAlign w:val="bottom"/>
          </w:tcPr>
          <w:p>
            <w:pPr>
              <w:spacing w:after="0"/>
              <w:rPr>
                <w:sz w:val="1"/>
                <w:szCs w:val="1"/>
                <w:color w:val="auto"/>
              </w:rPr>
            </w:pPr>
          </w:p>
        </w:tc>
      </w:tr>
      <w:tr>
        <w:trPr>
          <w:trHeight w:val="218"/>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(24,991)</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(21,519)</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80" w:type="dxa"/>
            <w:vAlign w:val="bottom"/>
            <w:gridSpan w:val="2"/>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The primary factors affecting the Company’s income tax rates were as follows:</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8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benefit at U.S. statutory rates</w:t>
            </w:r>
          </w:p>
        </w:tc>
        <w:tc>
          <w:tcPr>
            <w:tcW w:w="860" w:type="dxa"/>
            <w:vAlign w:val="bottom"/>
            <w:gridSpan w:val="4"/>
            <w:shd w:val="clear" w:color="auto" w:fill="CCEEFF"/>
          </w:tcPr>
          <w:p>
            <w:pPr>
              <w:jc w:val="right"/>
              <w:ind w:right="202"/>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State tax benefit</w:t>
            </w:r>
          </w:p>
        </w:tc>
        <w:tc>
          <w:tcPr>
            <w:tcW w:w="860" w:type="dxa"/>
            <w:vAlign w:val="bottom"/>
            <w:gridSpan w:val="4"/>
          </w:tcPr>
          <w:p>
            <w:pPr>
              <w:jc w:val="right"/>
              <w:ind w:right="202"/>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860" w:type="dxa"/>
            <w:vAlign w:val="bottom"/>
            <w:gridSpan w:val="4"/>
            <w:shd w:val="clear" w:color="auto" w:fill="CCEEFF"/>
          </w:tcPr>
          <w:p>
            <w:pPr>
              <w:jc w:val="right"/>
              <w:ind w:right="202"/>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Permanent differences</w:t>
            </w:r>
          </w:p>
        </w:tc>
        <w:tc>
          <w:tcPr>
            <w:tcW w:w="860" w:type="dxa"/>
            <w:vAlign w:val="bottom"/>
            <w:gridSpan w:val="4"/>
          </w:tcPr>
          <w:p>
            <w:pPr>
              <w:jc w:val="right"/>
              <w:ind w:right="26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620" w:type="dxa"/>
            <w:vAlign w:val="bottom"/>
            <w:gridSpan w:val="3"/>
          </w:tcPr>
          <w:p>
            <w:pPr>
              <w:jc w:val="right"/>
              <w:ind w:right="16"/>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Expiring state NOL’s</w:t>
            </w:r>
          </w:p>
        </w:tc>
        <w:tc>
          <w:tcPr>
            <w:tcW w:w="860" w:type="dxa"/>
            <w:vAlign w:val="bottom"/>
            <w:gridSpan w:val="4"/>
            <w:shd w:val="clear" w:color="auto" w:fill="CCEEFF"/>
          </w:tcPr>
          <w:p>
            <w:pPr>
              <w:jc w:val="right"/>
              <w:ind w:right="262"/>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860" w:type="dxa"/>
            <w:vAlign w:val="bottom"/>
            <w:gridSpan w:val="4"/>
          </w:tcPr>
          <w:p>
            <w:pPr>
              <w:jc w:val="right"/>
              <w:ind w:right="262"/>
              <w:spacing w:after="0"/>
              <w:rPr>
                <w:sz w:val="20"/>
                <w:szCs w:val="20"/>
                <w:color w:val="auto"/>
              </w:rPr>
            </w:pPr>
            <w:r>
              <w:rPr>
                <w:rFonts w:ascii="Arial" w:cs="Arial" w:eastAsia="Arial" w:hAnsi="Arial"/>
                <w:sz w:val="18"/>
                <w:szCs w:val="18"/>
                <w:color w:val="auto"/>
                <w:w w:val="97"/>
              </w:rPr>
              <w:t>34.8%</w:t>
            </w:r>
          </w:p>
        </w:tc>
        <w:tc>
          <w:tcPr>
            <w:tcW w:w="280" w:type="dxa"/>
            <w:vAlign w:val="bottom"/>
          </w:tcPr>
          <w:p>
            <w:pPr>
              <w:spacing w:after="0"/>
              <w:rPr>
                <w:sz w:val="18"/>
                <w:szCs w:val="18"/>
                <w:color w:val="auto"/>
              </w:rPr>
            </w:pPr>
          </w:p>
        </w:tc>
        <w:tc>
          <w:tcPr>
            <w:tcW w:w="620" w:type="dxa"/>
            <w:vAlign w:val="bottom"/>
            <w:gridSpan w:val="3"/>
          </w:tcPr>
          <w:p>
            <w:pPr>
              <w:jc w:val="right"/>
              <w:ind w:right="16"/>
              <w:spacing w:after="0"/>
              <w:rPr>
                <w:sz w:val="20"/>
                <w:szCs w:val="20"/>
                <w:color w:val="auto"/>
              </w:rPr>
            </w:pPr>
            <w:r>
              <w:rPr>
                <w:rFonts w:ascii="Arial" w:cs="Arial" w:eastAsia="Arial" w:hAnsi="Arial"/>
                <w:sz w:val="18"/>
                <w:szCs w:val="18"/>
                <w:color w:val="auto"/>
                <w:w w:val="97"/>
              </w:rPr>
              <w:t>33.4%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2"/>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As of December 31, 2012, the Company has federal and state net operating loss carryforwards totaling $60,886,000 and $25,160,000 respectively, which expire through 2032. The net operating losses include Federal and State excess benefits related to stock options of $707,000 that will be charged to additional paid-in capital when utilized. In addition, the Company has federal and state research and development credits of $223,000 and $143,000, respectively, which expire through 2032. Ownership changes, as defined by Section 382 of the Internal Revenue Code, may have limited the amount of net operating loss carryforwards that can be utilized annually to offset future taxable income.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118" w:lineRule="exact"/>
        <w:rPr>
          <w:sz w:val="20"/>
          <w:szCs w:val="20"/>
          <w:color w:val="auto"/>
        </w:rPr>
      </w:pPr>
    </w:p>
    <w:p>
      <w:pPr>
        <w:ind w:left="460" w:right="260"/>
        <w:spacing w:after="0" w:line="256" w:lineRule="auto"/>
        <w:rPr>
          <w:sz w:val="20"/>
          <w:szCs w:val="20"/>
          <w:color w:val="auto"/>
        </w:rPr>
      </w:pPr>
      <w:r>
        <w:rPr>
          <w:rFonts w:ascii="Arial" w:cs="Arial" w:eastAsia="Arial" w:hAnsi="Arial"/>
          <w:sz w:val="18"/>
          <w:szCs w:val="18"/>
          <w:color w:val="auto"/>
        </w:rPr>
        <w:t>On January 3, 2013, the American Taxpayer Relief Act of 2012 was signed into law reinstating the federal research and development credit for the 2012 and 2013 years. Under ASC 740-10-25 the effects are recognized as a component of income tax expense or benefit from continuing operations in the financial statements for the interim or annual period that includes the enactment date. The benefit related to the 2012 federal research and development credit $61,000 will be recorded during 2013.</w:t>
      </w:r>
    </w:p>
    <w:p>
      <w:pPr>
        <w:spacing w:after="0" w:line="14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At December 31, 2012 the Company has $1,082,000 of unrecognized tax benefits, $923,000 of which would affect the effective tax rate. The Company has not recognized an adjustment to the deficit accumulated during the development stage for unrecognized tax benefits because a full valuation allowance has been recorded against net operating loss carry forwards. Since the Company’s net deferred tax assets and the unrecognized tax benefits would not result in a cash payment, the Company has not accrued for any interest and penalties relating to these unrecognized tax benefits. Should the Company incur interest and penalties related to income taxes, those amounts would be included in income tax expense. Total amounts of unrecognized tax benefits are not expected to significantly increase or decrease within 12 months of the reporting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w:t>
      </w:r>
    </w:p>
    <w:p>
      <w:pPr>
        <w:spacing w:after="0" w:line="24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Company has evaluated all events or transactions that occurred through the date on which the financial statements were issued, noting the following: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 with CTI for Phase I Clinical Trial</w:t>
      </w:r>
    </w:p>
    <w:p>
      <w:pPr>
        <w:spacing w:after="0" w:line="90"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On February 1, 2013, the Company entered into an Amended and Restated Master Services Agreement (the “Agreement”) with CTI Clinical Trial Services, Inc. and CTI Clinical Consulting Services, Inc. (individually and collectively, “CTI”), whereby CTI will assist the Company in the design, development and conduct of one or more clinical research studies from time to time. All work performed by CTI for the Company will be conducted pursuant to the terms of work orders that describe the specific obligations undertaken by CTI with respect to any particular clinical research study sponsored or conducted by the Company. Unless otherwise terminated sooner in accordance with the terms of the Agreement, the Agreement will be effective until January 31, 2018.</w:t>
      </w:r>
    </w:p>
    <w:p>
      <w:pPr>
        <w:spacing w:after="0" w:line="14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On February 1, 2013, the Company entered into a work order (the “Work Order”) with CTI in accordance with the terms of the Agreement. The Work Order provides that CTI will provide services with respect to the Company’s Phase I Clinical Trial to evaluate the safety of the Company’s drug GR-MD-02 in subjects with Non-Alcoholic Steatohepatitis (“NASH”) with advanced hepatic fibrosis. CTI will provide the following services, amongst others, with respect to the Work Order: reviewing and providing notices regarding IND safety reports, selecting investigators and monitors for the study, informing investigators of new observations, monitoring the progress of the study and reviewing ongoing investigations, keeping certain records, inspecting the Company’s records and reports, and disposing of any unused supply of the investigational drug.</w:t>
      </w:r>
    </w:p>
    <w:p>
      <w:pPr>
        <w:spacing w:after="0" w:line="120"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The Work Order provides for CTI’s anticipated involvement in the study from February 1, 2013 until March 31, 2014. The estimated budget for the Work Order is $2,155,000, which is subject to change as necessary, with payments made throughout the term of the project as the work is performed.</w:t>
      </w:r>
    </w:p>
    <w:p>
      <w:pPr>
        <w:spacing w:after="0" w:line="85"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The Agreement or any work order may be terminated for any reason by any party upon ninety (90) days prior written notice to the other party. In addition, the Agreement may be terminated by either party immediately if the other party becomes insolvent, is dissolved or liquidated, makes a general assignment for the benefit of its creditors, files or has filed against it (and does not obtain a dismissal within ninety (90) days) a petition of bankruptcy, or has a receiver appointed for it or a substantial part of its assets, among other reasons. Further, the Agreement or any relevant work order may be terminated immediately by written notice from the Company, in the following circumstances: (1) the FDA withdraws authorization and approval to conduct a study; or (2) the Company reasonably determines that for medical, clinical or patient safety reasons, a study should terminate immediately. In addition, either party may terminate the Agreement or any work order for material breach upon thirty (30) days’ written notice specifying the nature of the breach, if such breach has not been substantially cured within the thirty (30) day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Discovery Program with the University of Georgia</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In February 2013, the Company established a collaborative drug discovery program at the Complex Carbohydrate Research Center at the University of Georgia. This program is focused on the discovery of new carbohydrate molecules that can be used in the therapy of diseases where galectin proteins play a major role, including cancer and inflammatory and fibrotic disorders. The term of the agreement is effective through December 31, 2013, for which the Company will provide funding of $154,000.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59"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is a list of the Corporation’s subsidiaries as of December 31, 2012. The Corporation owns, directly or indirectly, 100% of the voting securities of each subsidiary, unless noted otherwise.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340" w:type="dxa"/>
            <w:vAlign w:val="bottom"/>
            <w:gridSpan w:val="2"/>
          </w:tcPr>
          <w:p>
            <w:pPr>
              <w:ind w:left="1520"/>
              <w:spacing w:after="0"/>
              <w:rPr>
                <w:sz w:val="20"/>
                <w:szCs w:val="20"/>
                <w:color w:val="auto"/>
              </w:rPr>
            </w:pPr>
            <w:r>
              <w:rPr>
                <w:rFonts w:ascii="Arial" w:cs="Arial" w:eastAsia="Arial" w:hAnsi="Arial"/>
                <w:sz w:val="14"/>
                <w:szCs w:val="14"/>
                <w:b w:val="1"/>
                <w:bCs w:val="1"/>
                <w:color w:val="auto"/>
              </w:rPr>
              <w:t>STATE OR JURISDICTION</w:t>
            </w:r>
          </w:p>
        </w:tc>
      </w:tr>
      <w:tr>
        <w:trPr>
          <w:trHeight w:val="18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720" w:type="dxa"/>
            <w:vAlign w:val="bottom"/>
          </w:tcPr>
          <w:p>
            <w:pPr>
              <w:spacing w:after="0"/>
              <w:rPr>
                <w:sz w:val="15"/>
                <w:szCs w:val="15"/>
                <w:color w:val="auto"/>
              </w:rPr>
            </w:pPr>
          </w:p>
        </w:tc>
        <w:tc>
          <w:tcPr>
            <w:tcW w:w="6340" w:type="dxa"/>
            <w:vAlign w:val="bottom"/>
            <w:gridSpan w:val="2"/>
          </w:tcPr>
          <w:p>
            <w:pPr>
              <w:ind w:left="1520"/>
              <w:spacing w:after="0"/>
              <w:rPr>
                <w:sz w:val="20"/>
                <w:szCs w:val="20"/>
                <w:color w:val="auto"/>
              </w:rPr>
            </w:pPr>
            <w:r>
              <w:rPr>
                <w:rFonts w:ascii="Arial" w:cs="Arial" w:eastAsia="Arial" w:hAnsi="Arial"/>
                <w:sz w:val="14"/>
                <w:szCs w:val="14"/>
                <w:b w:val="1"/>
                <w:bCs w:val="1"/>
                <w:color w:val="auto"/>
              </w:rPr>
              <w:t>OF ORGANIZATION</w:t>
            </w:r>
          </w:p>
        </w:tc>
      </w:tr>
      <w:tr>
        <w:trPr>
          <w:trHeight w:val="209"/>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Galectin Therapeutics Security Corp.</w:t>
            </w:r>
          </w:p>
        </w:tc>
        <w:tc>
          <w:tcPr>
            <w:tcW w:w="1520" w:type="dxa"/>
            <w:vAlign w:val="bottom"/>
          </w:tcPr>
          <w:p>
            <w:pPr>
              <w:spacing w:after="0"/>
              <w:rPr>
                <w:sz w:val="18"/>
                <w:szCs w:val="18"/>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333-116629, 333-109893 and 333-159247 on Form S-8, and Registration Nos. 333-169463 and 333-172849 on Form S-3, of our report dated March 29, 2013 relating to our audit of the consolidated financial statements, which appear in this Annual Report on Form 10-K of Galectin Therapeutics Inc. for the year ended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2013</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21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March 29, 2013</w:t>
            </w:r>
          </w:p>
        </w:tc>
        <w:tc>
          <w:tcPr>
            <w:tcW w:w="5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Peter G. Traber</w:t>
            </w:r>
          </w:p>
        </w:tc>
      </w:tr>
      <w:tr>
        <w:trPr>
          <w:trHeight w:val="202"/>
        </w:trPr>
        <w:tc>
          <w:tcPr>
            <w:tcW w:w="562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Peter G. Traber, M.D.</w:t>
            </w:r>
          </w:p>
        </w:tc>
      </w:tr>
      <w:tr>
        <w:trPr>
          <w:trHeight w:val="216"/>
        </w:trPr>
        <w:tc>
          <w:tcPr>
            <w:tcW w:w="562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A. McGauley, certify that:</w:t>
      </w:r>
    </w:p>
    <w:p>
      <w:pPr>
        <w:spacing w:after="0" w:line="21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March 29, 2013</w:t>
            </w:r>
          </w:p>
        </w:tc>
        <w:tc>
          <w:tcPr>
            <w:tcW w:w="5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Thomas A. McGauley</w:t>
            </w:r>
          </w:p>
        </w:tc>
      </w:tr>
      <w:tr>
        <w:trPr>
          <w:trHeight w:val="202"/>
        </w:trPr>
        <w:tc>
          <w:tcPr>
            <w:tcW w:w="562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Thomas A. McGauley</w:t>
            </w:r>
          </w:p>
        </w:tc>
      </w:tr>
      <w:tr>
        <w:trPr>
          <w:trHeight w:val="216"/>
        </w:trPr>
        <w:tc>
          <w:tcPr>
            <w:tcW w:w="562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Annual Report of Galectin Therapeutics Inc. (the “Company”) on Form 10-K for the period ended December 31, 2012 as filed with the Securities and Exchange Commission on the date hereof (the “Report”), I, Peter G. Traber, Chief Executive Officer and President of the Company, certify, pursuant to 18 U.S.C. §1350, as adopted pursuant to §906 of the Sarbanes-Oxley Act of 2002, that, to my knowledge:</w:t>
      </w:r>
    </w:p>
    <w:p>
      <w:pPr>
        <w:spacing w:after="0" w:line="14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March 29, 2013</w:t>
            </w:r>
          </w:p>
        </w:tc>
        <w:tc>
          <w:tcPr>
            <w:tcW w:w="5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Peter G. Traber</w:t>
            </w:r>
          </w:p>
        </w:tc>
      </w:tr>
      <w:tr>
        <w:trPr>
          <w:trHeight w:val="202"/>
        </w:trPr>
        <w:tc>
          <w:tcPr>
            <w:tcW w:w="562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Peter G. Traber, M.D.</w:t>
            </w:r>
          </w:p>
        </w:tc>
      </w:tr>
      <w:tr>
        <w:trPr>
          <w:trHeight w:val="216"/>
        </w:trPr>
        <w:tc>
          <w:tcPr>
            <w:tcW w:w="562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connection with the Annual Report of Galectin Therapeutics Inc. (the “Company”) on Form 10-K for the period ended December 31, 2012 as filed with the Securities and Exchange Commission on the date hereof (the “Report”), I, Thomas A. McGauley, Chief Financial Officer of the Company, certify, pursuant to 18 U.S.C. §1350, as adopted pursuant to §906 of the Sarbanes-Oxley Act of 2002, that, to my knowledge:</w:t>
      </w:r>
    </w:p>
    <w:p>
      <w:pPr>
        <w:spacing w:after="0" w:line="18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March 29, 2013</w:t>
            </w:r>
          </w:p>
        </w:tc>
        <w:tc>
          <w:tcPr>
            <w:tcW w:w="58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Thomas A. McGauley</w:t>
            </w:r>
          </w:p>
        </w:tc>
      </w:tr>
      <w:tr>
        <w:trPr>
          <w:trHeight w:val="202"/>
        </w:trPr>
        <w:tc>
          <w:tcPr>
            <w:tcW w:w="5620" w:type="dxa"/>
            <w:vAlign w:val="bottom"/>
          </w:tcPr>
          <w:p>
            <w:pPr>
              <w:spacing w:after="0"/>
              <w:rPr>
                <w:sz w:val="17"/>
                <w:szCs w:val="17"/>
                <w:color w:val="auto"/>
              </w:rPr>
            </w:pPr>
          </w:p>
        </w:tc>
        <w:tc>
          <w:tcPr>
            <w:tcW w:w="740" w:type="dxa"/>
            <w:vAlign w:val="bottom"/>
          </w:tcPr>
          <w:p>
            <w:pPr>
              <w:ind w:left="120"/>
              <w:spacing w:after="0" w:line="202"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202" w:lineRule="exact"/>
              <w:rPr>
                <w:sz w:val="20"/>
                <w:szCs w:val="20"/>
                <w:color w:val="auto"/>
              </w:rPr>
            </w:pPr>
            <w:r>
              <w:rPr>
                <w:rFonts w:ascii="Arial" w:cs="Arial" w:eastAsia="Arial" w:hAnsi="Arial"/>
                <w:sz w:val="18"/>
                <w:szCs w:val="18"/>
                <w:color w:val="auto"/>
              </w:rPr>
              <w:t>Thomas A. McGauley</w:t>
            </w:r>
          </w:p>
        </w:tc>
      </w:tr>
      <w:tr>
        <w:trPr>
          <w:trHeight w:val="216"/>
        </w:trPr>
        <w:tc>
          <w:tcPr>
            <w:tcW w:w="562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lowerRoman"/>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decimal"/>
      <w:start w:val="2"/>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5"/>
    </w:lvl>
  </w:abstractNum>
  <w:abstractNum w:abstractNumId="18">
    <w:nsid w:val="8138641"/>
    <w:multiLevelType w:val="hybridMultilevel"/>
    <w:lvl w:ilvl="0">
      <w:lvlJc w:val="left"/>
      <w:lvlText w:val="%1."/>
      <w:numFmt w:val="decimal"/>
      <w:start w:val="3"/>
    </w:lvl>
  </w:abstractNum>
  <w:abstractNum w:abstractNumId="19">
    <w:nsid w:val="1E7FF521"/>
    <w:multiLevelType w:val="hybridMultilevel"/>
    <w:lvl w:ilvl="0">
      <w:lvlJc w:val="left"/>
      <w:lvlText w:val="%1."/>
      <w:numFmt w:val="decimal"/>
      <w:start w:val="4"/>
    </w:lvl>
  </w:abstractNum>
  <w:abstractNum w:abstractNumId="20">
    <w:nsid w:val="7C3DBD3D"/>
    <w:multiLevelType w:val="hybridMultilevel"/>
    <w:lvl w:ilvl="0">
      <w:lvlJc w:val="left"/>
      <w:lvlText w:val="\emdash "/>
      <w:numFmt w:val="bullet"/>
      <w:start w:val="1"/>
    </w:lvl>
    <w:lvl w:ilvl="1">
      <w:lvlJc w:val="left"/>
      <w:lvlText w:val="%2"/>
      <w:numFmt w:val="decimal"/>
      <w:start w:val="80"/>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2"/>
    </w:lvl>
  </w:abstractNum>
  <w:abstractNum w:abstractNumId="23">
    <w:nsid w:val="22221A70"/>
    <w:multiLevelType w:val="hybridMultilevel"/>
    <w:lvl w:ilvl="0">
      <w:lvlJc w:val="left"/>
      <w:lvlText w:val="%1."/>
      <w:numFmt w:val="decimal"/>
      <w:start w:val="3"/>
    </w:lvl>
  </w:abstractNum>
  <w:abstractNum w:abstractNumId="24">
    <w:nsid w:val="4516DDE9"/>
    <w:multiLevelType w:val="hybridMultilevel"/>
    <w:lvl w:ilvl="0">
      <w:lvlJc w:val="left"/>
      <w:lvlText w:val="%1."/>
      <w:numFmt w:val="decimal"/>
      <w:start w:val="4"/>
    </w:lvl>
  </w:abstractNum>
  <w:abstractNum w:abstractNumId="25">
    <w:nsid w:val="3006C83E"/>
    <w:multiLevelType w:val="hybridMultilevel"/>
    <w:lvl w:ilvl="0">
      <w:lvlJc w:val="left"/>
      <w:lvlText w:val="%1."/>
      <w:numFmt w:val="decimal"/>
      <w:start w:val="6"/>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1)"/>
      <w:numFmt w:val="decimal"/>
      <w:start w:val="2"/>
    </w:lvl>
  </w:abstractNum>
  <w:abstractNum w:abstractNumId="28">
    <w:nsid w:val="5577F8E1"/>
    <w:multiLevelType w:val="hybridMultilevel"/>
    <w:lvl w:ilvl="0">
      <w:lvlJc w:val="left"/>
      <w:lvlText w:val="(%1)"/>
      <w:numFmt w:val="lowerRoman"/>
      <w:start w:val="6"/>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1."/>
      <w:numFmt w:val="decimal"/>
      <w:start w:val="7"/>
    </w:lvl>
  </w:abstractNum>
  <w:abstractNum w:abstractNumId="31">
    <w:nsid w:val="3804823E"/>
    <w:multiLevelType w:val="hybridMultilevel"/>
    <w:lvl w:ilvl="0">
      <w:lvlJc w:val="left"/>
      <w:lvlText w:val="%1."/>
      <w:numFmt w:val="decimal"/>
      <w:start w:val="8"/>
    </w:lvl>
  </w:abstractNum>
  <w:abstractNum w:abstractNumId="32">
    <w:nsid w:val="77465F01"/>
    <w:multiLevelType w:val="hybridMultilevel"/>
    <w:lvl w:ilvl="0">
      <w:lvlJc w:val="left"/>
      <w:lvlText w:val="%1."/>
      <w:numFmt w:val="decimal"/>
      <w:start w:val="9"/>
    </w:lvl>
  </w:abstractNum>
  <w:abstractNum w:abstractNumId="33">
    <w:nsid w:val="7724C67E"/>
    <w:multiLevelType w:val="hybridMultilevel"/>
    <w:lvl w:ilvl="0">
      <w:lvlJc w:val="left"/>
      <w:lvlText w:val="%1."/>
      <w:numFmt w:val="decimal"/>
      <w:start w:val="10"/>
    </w:lvl>
  </w:abstractNum>
  <w:abstractNum w:abstractNumId="34">
    <w:nsid w:val="5C482A97"/>
    <w:multiLevelType w:val="hybridMultilevel"/>
    <w:lvl w:ilvl="0">
      <w:lvlJc w:val="left"/>
      <w:lvlText w:val="%1."/>
      <w:numFmt w:val="decimal"/>
      <w:start w:val="11"/>
    </w:lvl>
  </w:abstractNum>
  <w:abstractNum w:abstractNumId="35">
    <w:nsid w:val="2463B9EA"/>
    <w:multiLevelType w:val="hybridMultilevel"/>
    <w:lvl w:ilvl="0">
      <w:lvlJc w:val="left"/>
      <w:lvlText w:val="(%1)"/>
      <w:numFmt w:val="lowerRoman"/>
      <w:start w:val="3"/>
    </w:lvl>
  </w:abstractNum>
  <w:abstractNum w:abstractNumId="36">
    <w:nsid w:val="5E884ADC"/>
    <w:multiLevelType w:val="hybridMultilevel"/>
    <w:lvl w:ilvl="0">
      <w:lvlJc w:val="left"/>
      <w:lvlText w:val="%1."/>
      <w:numFmt w:val="decimal"/>
      <w:start w:val="13"/>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2019-12-07T01:51:32Z</dcterms:created>
  <dcterms:modified xsi:type="dcterms:W3CDTF">2019-12-07T01:51:32Z</dcterms:modified>
</cp:coreProperties>
</file>