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300"/>
        <w:spacing w:after="0"/>
        <w:tabs>
          <w:tab w:leader="none" w:pos="6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3604895</wp:posOffset>
            </wp:positionH>
            <wp:positionV relativeFrom="paragraph">
              <wp:posOffset>-7620</wp:posOffset>
            </wp:positionV>
            <wp:extent cx="1552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25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6080" w:type="dxa"/>
            <w:vAlign w:val="bottom"/>
          </w:tcPr>
          <w:p>
            <w:pPr>
              <w:jc w:val="center"/>
              <w:ind w:right="35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80" w:type="dxa"/>
            <w:vAlign w:val="bottom"/>
          </w:tcPr>
          <w:p>
            <w:pPr>
              <w:jc w:val="center"/>
              <w:ind w:right="3539"/>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0"/>
              </w:rPr>
              <w:t>4960 Peachtree Industrial Blvd.,</w:t>
            </w:r>
          </w:p>
        </w:tc>
        <w:tc>
          <w:tcPr>
            <w:tcW w:w="1480" w:type="dxa"/>
            <w:vAlign w:val="bottom"/>
          </w:tcPr>
          <w:p>
            <w:pPr>
              <w:spacing w:after="0"/>
              <w:rPr>
                <w:sz w:val="24"/>
                <w:szCs w:val="24"/>
                <w:color w:val="auto"/>
              </w:rPr>
            </w:pPr>
          </w:p>
        </w:tc>
      </w:tr>
      <w:tr>
        <w:trPr>
          <w:trHeight w:val="225"/>
        </w:trPr>
        <w:tc>
          <w:tcPr>
            <w:tcW w:w="6080" w:type="dxa"/>
            <w:vAlign w:val="bottom"/>
          </w:tcPr>
          <w:p>
            <w:pPr>
              <w:jc w:val="center"/>
              <w:ind w:right="3519"/>
              <w:spacing w:after="0"/>
              <w:rPr>
                <w:sz w:val="20"/>
                <w:szCs w:val="20"/>
                <w:color w:val="auto"/>
              </w:rPr>
            </w:pPr>
            <w:r>
              <w:rPr>
                <w:rFonts w:ascii="Arial" w:cs="Arial" w:eastAsia="Arial" w:hAnsi="Arial"/>
                <w:sz w:val="18"/>
                <w:szCs w:val="18"/>
                <w:b w:val="1"/>
                <w:bCs w:val="1"/>
                <w:color w:val="auto"/>
                <w:w w:val="89"/>
              </w:rPr>
              <w:t>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6080" w:type="dxa"/>
            <w:vAlign w:val="bottom"/>
          </w:tcPr>
          <w:p>
            <w:pPr>
              <w:jc w:val="center"/>
              <w:ind w:right="35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80" w:type="dxa"/>
            <w:vAlign w:val="bottom"/>
          </w:tcPr>
          <w:p>
            <w:pPr>
              <w:jc w:val="right"/>
              <w:ind w:right="1379"/>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6080" w:type="dxa"/>
            <w:vAlign w:val="bottom"/>
          </w:tcPr>
          <w:p>
            <w:pPr>
              <w:jc w:val="center"/>
              <w:ind w:left="19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May 8, 2018 was 37,740,647.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MARCH 31,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40" w:type="dxa"/>
            <w:vAlign w:val="bottom"/>
            <w:gridSpan w:val="10"/>
            <w:vMerge w:val="restart"/>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gridSpan w:val="10"/>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17"/>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98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2018 and December 31, 2017 (unaudited)</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2018 and 2017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2018 and 2017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3780" w:type="dxa"/>
            <w:vAlign w:val="bottom"/>
            <w:tcBorders>
              <w:top w:val="single" w:sz="8" w:color="0000EE"/>
            </w:tcBorders>
            <w:gridSpan w:val="5"/>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80" w:type="dxa"/>
            <w:vAlign w:val="bottom"/>
            <w:gridSpan w:val="1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352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362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4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6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Defaults Upon Senior Securities</w:t>
              </w:r>
            </w:hyperlink>
          </w:p>
        </w:tc>
        <w:tc>
          <w:tcPr>
            <w:tcW w:w="764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Mine Safety Disclosures</w:t>
              </w:r>
            </w:hyperlink>
          </w:p>
        </w:tc>
        <w:tc>
          <w:tcPr>
            <w:tcW w:w="820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98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866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3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8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700" w:type="dxa"/>
            <w:vAlign w:val="bottom"/>
            <w:gridSpan w:val="10"/>
          </w:tcPr>
          <w:p>
            <w:pPr>
              <w:jc w:val="right"/>
              <w:ind w:right="4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3,988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4,673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00" w:type="dxa"/>
            <w:vAlign w:val="bottom"/>
          </w:tcPr>
          <w:p>
            <w:pPr>
              <w:ind w:left="16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1,151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2,283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tcPr>
          <w:p>
            <w:pPr>
              <w:spacing w:after="0" w:line="201" w:lineRule="exact"/>
              <w:rPr>
                <w:sz w:val="20"/>
                <w:szCs w:val="20"/>
                <w:color w:val="auto"/>
              </w:rPr>
            </w:pPr>
            <w:r>
              <w:rPr>
                <w:rFonts w:ascii="Arial" w:cs="Arial" w:eastAsia="Arial" w:hAnsi="Arial"/>
                <w:sz w:val="18"/>
                <w:szCs w:val="18"/>
                <w:color w:val="auto"/>
                <w:w w:val="98"/>
              </w:rPr>
              <w:t>Series C super dividend convertible preferred stock; 1,000 shares authorized, 176 shares issued and outstanding at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160"/>
              <w:spacing w:after="0"/>
              <w:rPr>
                <w:sz w:val="20"/>
                <w:szCs w:val="20"/>
                <w:color w:val="auto"/>
              </w:rPr>
            </w:pPr>
            <w:r>
              <w:rPr>
                <w:rFonts w:ascii="Arial" w:cs="Arial" w:eastAsia="Arial" w:hAnsi="Arial"/>
                <w:sz w:val="18"/>
                <w:szCs w:val="18"/>
                <w:color w:val="auto"/>
                <w:w w:val="97"/>
              </w:rPr>
              <w:t>March 31, 2018 and December 31, 2017, redemption value: $7,957,000, liquidation value: $1,760,000 at March 31,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tcPr>
          <w:p>
            <w:pPr>
              <w:ind w:left="700"/>
              <w:spacing w:after="0" w:line="201" w:lineRule="exact"/>
              <w:rPr>
                <w:sz w:val="20"/>
                <w:szCs w:val="20"/>
                <w:color w:val="auto"/>
              </w:rPr>
            </w:pPr>
            <w:r>
              <w:rPr>
                <w:rFonts w:ascii="Arial" w:cs="Arial" w:eastAsia="Arial" w:hAnsi="Arial"/>
                <w:sz w:val="18"/>
                <w:szCs w:val="18"/>
                <w:color w:val="auto"/>
                <w:w w:val="99"/>
              </w:rPr>
              <w:t>Undesignated stock, $0.01 par value; 20,000,000 shares authorized, 20,000,000 designated at March 31,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880"/>
              <w:spacing w:after="0"/>
              <w:rPr>
                <w:sz w:val="20"/>
                <w:szCs w:val="20"/>
                <w:color w:val="auto"/>
              </w:rPr>
            </w:pPr>
            <w:r>
              <w:rPr>
                <w:rFonts w:ascii="Arial" w:cs="Arial" w:eastAsia="Arial" w:hAnsi="Arial"/>
                <w:sz w:val="18"/>
                <w:szCs w:val="18"/>
                <w:color w:val="auto"/>
              </w:rPr>
              <w:t>2018 and December 31, 2017, respectively</w:t>
            </w:r>
          </w:p>
        </w:tc>
        <w:tc>
          <w:tcPr>
            <w:tcW w:w="80" w:type="dxa"/>
            <w:vAlign w:val="bottom"/>
          </w:tcPr>
          <w:p>
            <w:pPr>
              <w:spacing w:after="0"/>
              <w:rPr>
                <w:sz w:val="20"/>
                <w:szCs w:val="20"/>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6"/>
              </w:rPr>
              <w:t>Series A 12% convertible preferred stock; 1,742,500 shares authorized, 1,377,500 issued and outstanding at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March 31, 2018 and December 31, 2017, liquidation value $1,377,500 at March 31, 2018</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tcPr>
          <w:p>
            <w:pPr>
              <w:ind w:left="700"/>
              <w:spacing w:after="0" w:line="201" w:lineRule="exact"/>
              <w:rPr>
                <w:sz w:val="20"/>
                <w:szCs w:val="20"/>
                <w:color w:val="auto"/>
              </w:rPr>
            </w:pPr>
            <w:r>
              <w:rPr>
                <w:rFonts w:ascii="Arial" w:cs="Arial" w:eastAsia="Arial" w:hAnsi="Arial"/>
                <w:sz w:val="18"/>
                <w:szCs w:val="18"/>
                <w:color w:val="auto"/>
                <w:w w:val="96"/>
              </w:rPr>
              <w:t>Series B-1 12% convertible preferred stock; 900,000 shares authorized, issued and outstanding at March 31,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880"/>
              <w:spacing w:after="0"/>
              <w:rPr>
                <w:sz w:val="20"/>
                <w:szCs w:val="20"/>
                <w:color w:val="auto"/>
              </w:rPr>
            </w:pPr>
            <w:r>
              <w:rPr>
                <w:rFonts w:ascii="Arial" w:cs="Arial" w:eastAsia="Arial" w:hAnsi="Arial"/>
                <w:sz w:val="18"/>
                <w:szCs w:val="18"/>
                <w:color w:val="auto"/>
              </w:rPr>
              <w:t>2018 and December 31, 2017, liquidation value $1,800,000 at March 31, 2018</w:t>
            </w:r>
          </w:p>
        </w:tc>
        <w:tc>
          <w:tcPr>
            <w:tcW w:w="8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1,761</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Series B-2 12% convertible preferred stock; 2,100,000 shares authorized, issued and outstanding at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March 31, 2018 and December 31, 2017, liquidation value $4,200,000 at March 31, 2018</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3,697</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tcPr>
          <w:p>
            <w:pPr>
              <w:ind w:left="700"/>
              <w:spacing w:after="0" w:line="201" w:lineRule="exact"/>
              <w:rPr>
                <w:sz w:val="20"/>
                <w:szCs w:val="20"/>
                <w:color w:val="auto"/>
              </w:rPr>
            </w:pPr>
            <w:r>
              <w:rPr>
                <w:rFonts w:ascii="Arial" w:cs="Arial" w:eastAsia="Arial" w:hAnsi="Arial"/>
                <w:sz w:val="18"/>
                <w:szCs w:val="18"/>
                <w:color w:val="auto"/>
                <w:w w:val="96"/>
              </w:rPr>
              <w:t>Series B-3 8% convertible preferred stock; 2,508,000 shares authorized, 2,508,000 issued and outstanding at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880"/>
              <w:spacing w:after="0"/>
              <w:rPr>
                <w:sz w:val="20"/>
                <w:szCs w:val="20"/>
                <w:color w:val="auto"/>
              </w:rPr>
            </w:pPr>
            <w:r>
              <w:rPr>
                <w:rFonts w:ascii="Arial" w:cs="Arial" w:eastAsia="Arial" w:hAnsi="Arial"/>
                <w:sz w:val="18"/>
                <w:szCs w:val="18"/>
                <w:color w:val="auto"/>
              </w:rPr>
              <w:t>March 31, 2018 and December 31, 2017, liquidation value $2,508,000 at March 31, 2018</w:t>
            </w:r>
          </w:p>
        </w:tc>
        <w:tc>
          <w:tcPr>
            <w:tcW w:w="8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1,224</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6"/>
              </w:rPr>
              <w:t>Common stock, $0.001 par value; 50,000,000 shares authorized at March 31, 2018 and December 31, 2017,</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37,645,971 and 35,789,388 issued and outstanding at March 31, 2018 and December 31, 2017,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179,359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Retained deficit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(185,711)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(181,168)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Total stockholders’ equity(deficit)</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jc w:val="right"/>
              <w:ind w:right="31"/>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2,298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3,772</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1,880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r>
      <w:tr>
        <w:trPr>
          <w:trHeight w:val="230"/>
        </w:trPr>
        <w:tc>
          <w:tcPr>
            <w:tcW w:w="20" w:type="dxa"/>
            <w:vAlign w:val="bottom"/>
          </w:tcPr>
          <w:p>
            <w:pPr>
              <w:spacing w:after="0"/>
              <w:rPr>
                <w:sz w:val="20"/>
                <w:szCs w:val="20"/>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4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(4,946)</w:t>
            </w: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4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37,284</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33,928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Three Months Ended</w:t>
      </w:r>
    </w:p>
    <w:p>
      <w:pPr>
        <w:jc w:val="center"/>
        <w:ind w:left="9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(4,258)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Issuance of common stock for services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(3,863)</w:t>
            </w:r>
          </w:p>
        </w:tc>
        <w:tc>
          <w:tcPr>
            <w:tcW w:w="0" w:type="dxa"/>
            <w:vAlign w:val="bottom"/>
          </w:tcPr>
          <w:p>
            <w:pPr>
              <w:spacing w:after="0"/>
              <w:rPr>
                <w:sz w:val="1"/>
                <w:szCs w:val="1"/>
                <w:color w:val="auto"/>
              </w:rPr>
            </w:pPr>
          </w:p>
        </w:tc>
      </w:tr>
      <w:tr>
        <w:trPr>
          <w:trHeight w:val="223"/>
        </w:trPr>
        <w:tc>
          <w:tcPr>
            <w:tcW w:w="98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13,644</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skin diseases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March 31, 2018 and the results of its operations for the three months ended March 31, 2018 and 2017 and its cash flows for the three months ended March 31, 2018 and 2017. All adjustments made to the interim financial statements include all those of a normal and recurring nature. Amounts presented in the condensed consolidated balance sheet as of December 31, 2017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2017.</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has operated at a loss since its inception and has had no significant revenues. The Company anticipates that losses will continue for the foreseeable future. At March 31, 2018, the Company had $4.0 million of unrestricted cash and cash equivalents available to fund future operations. The Company believes there is sufficient cash, including availability of the line of credit (discussed in Note 3 below), to fund currently planned operations at least through March 31, 2019.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8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w w:val="93"/>
              </w:rPr>
              <w:t>March 31,</w:t>
            </w:r>
          </w:p>
        </w:tc>
        <w:tc>
          <w:tcPr>
            <w:tcW w:w="1480" w:type="dxa"/>
            <w:vAlign w:val="bottom"/>
            <w:gridSpan w:val="4"/>
          </w:tcPr>
          <w:p>
            <w:pPr>
              <w:ind w:left="600"/>
              <w:spacing w:after="0"/>
              <w:rPr>
                <w:sz w:val="20"/>
                <w:szCs w:val="20"/>
                <w:color w:val="auto"/>
              </w:rPr>
            </w:pPr>
            <w:r>
              <w:rPr>
                <w:rFonts w:ascii="Arial" w:cs="Arial" w:eastAsia="Arial" w:hAnsi="Arial"/>
                <w:sz w:val="14"/>
                <w:szCs w:val="14"/>
                <w:color w:val="auto"/>
                <w:w w:val="97"/>
              </w:rPr>
              <w:t>December 31,</w:t>
            </w:r>
          </w:p>
        </w:tc>
      </w:tr>
      <w:tr>
        <w:trPr>
          <w:trHeight w:val="167"/>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6"/>
              </w:rPr>
              <w:t>2018</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Line of Credit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19, 2017, the Company entered into a $10 million Line of Credit arrangement with Richard E. Uihlein, a director and shareholder who has an approximate 7% ownership interest in the Company on a fully-diluted basis at December 31, 2017. Borrowings may be made by the Company through December 31, 2018. Borrowings bear interest at the Applicable Federal Rate for short term loans published by the Internal Revenue Service (1.51% on December 19, 2017). All borrowings and interest are due on December 31, 2019 but may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have been no borrowings under the Line of Credit through March 31, 2018.</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fair value of the 500,000 warrants vested at closing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will be amortized on a straight-line basis from December 19, 2017 through December 31, 2019. Amortization for the three months ended March 31, 2018 of $84,000 was recorded as interest expense. The fair value of warrants that vest in the future based on borrowings will be computed when those borrowings occur and amortized over the remaining period through December 31,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5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9"/>
                <w:szCs w:val="19"/>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2017 through March 31, 2018:</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780" w:type="dxa"/>
            <w:vAlign w:val="bottom"/>
          </w:tcPr>
          <w:p>
            <w:pPr>
              <w:jc w:val="right"/>
              <w:ind w:right="113"/>
              <w:spacing w:after="0"/>
              <w:rPr>
                <w:sz w:val="20"/>
                <w:szCs w:val="20"/>
                <w:color w:val="auto"/>
              </w:rPr>
            </w:pPr>
            <w:r>
              <w:rPr>
                <w:rFonts w:ascii="Arial" w:cs="Arial" w:eastAsia="Arial" w:hAnsi="Arial"/>
                <w:sz w:val="14"/>
                <w:szCs w:val="14"/>
                <w:color w:val="auto"/>
              </w:rPr>
              <w:t>Shares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5,155,263</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460,000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5,615,263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March 31, 2018, there was $1,972,000 of unrecognized compensation related to 951,181 unvested options, which is expected to be recognized over a weighted–average period of approximately 0.75 years. The weighted-average grant date fair value for options granted during the three months ended March 31, 2018 was $4.57. The Company granted 460,000 stock options during the three months ended March 31, 2018, of which 115,000 options vested upon grant with the remaining 345,000 options vesting over the remainder of 2018. Approximately $526,000 of non-cash, stock-based compensation expense was recorded during the three months ended March 31, 2018 related to the options granted during the quarter that vested upon the grant date.</w:t>
      </w:r>
    </w:p>
    <w:p>
      <w:pPr>
        <w:spacing w:after="0" w:line="15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color w:val="auto"/>
                <w:w w:val="92"/>
              </w:rPr>
              <w:t>Three</w:t>
            </w:r>
          </w:p>
        </w:tc>
        <w:tc>
          <w:tcPr>
            <w:tcW w:w="3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Three</w:t>
            </w:r>
          </w:p>
        </w:tc>
      </w:tr>
      <w:tr>
        <w:trPr>
          <w:trHeight w:val="149"/>
        </w:trPr>
        <w:tc>
          <w:tcPr>
            <w:tcW w:w="3680" w:type="dxa"/>
            <w:vAlign w:val="bottom"/>
          </w:tcPr>
          <w:p>
            <w:pPr>
              <w:spacing w:after="0"/>
              <w:rPr>
                <w:sz w:val="12"/>
                <w:szCs w:val="12"/>
                <w:color w:val="auto"/>
              </w:rPr>
            </w:pPr>
          </w:p>
        </w:tc>
        <w:tc>
          <w:tcPr>
            <w:tcW w:w="3720" w:type="dxa"/>
            <w:vAlign w:val="bottom"/>
            <w:gridSpan w:val="3"/>
          </w:tcPr>
          <w:p>
            <w:pPr>
              <w:jc w:val="center"/>
              <w:ind w:left="1714"/>
              <w:spacing w:after="0" w:line="149" w:lineRule="exact"/>
              <w:rPr>
                <w:sz w:val="20"/>
                <w:szCs w:val="20"/>
                <w:color w:val="auto"/>
              </w:rPr>
            </w:pPr>
            <w:r>
              <w:rPr>
                <w:rFonts w:ascii="Arial" w:cs="Arial" w:eastAsia="Arial" w:hAnsi="Arial"/>
                <w:sz w:val="14"/>
                <w:szCs w:val="14"/>
                <w:color w:val="auto"/>
                <w:w w:val="92"/>
              </w:rPr>
              <w:t>Months Ended</w:t>
            </w:r>
          </w:p>
        </w:tc>
        <w:tc>
          <w:tcPr>
            <w:tcW w:w="1280" w:type="dxa"/>
            <w:vAlign w:val="bottom"/>
            <w:gridSpan w:val="3"/>
          </w:tcPr>
          <w:p>
            <w:pPr>
              <w:jc w:val="center"/>
              <w:ind w:left="228"/>
              <w:spacing w:after="0" w:line="149" w:lineRule="exact"/>
              <w:rPr>
                <w:sz w:val="20"/>
                <w:szCs w:val="20"/>
                <w:color w:val="auto"/>
              </w:rPr>
            </w:pPr>
            <w:r>
              <w:rPr>
                <w:rFonts w:ascii="Arial" w:cs="Arial" w:eastAsia="Arial" w:hAnsi="Arial"/>
                <w:sz w:val="14"/>
                <w:szCs w:val="14"/>
                <w:color w:val="auto"/>
                <w:w w:val="95"/>
              </w:rPr>
              <w:t>Months Ended</w:t>
            </w:r>
          </w:p>
        </w:tc>
      </w:tr>
      <w:tr>
        <w:trPr>
          <w:trHeight w:val="167"/>
        </w:trPr>
        <w:tc>
          <w:tcPr>
            <w:tcW w:w="3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color w:val="auto"/>
                <w:w w:val="93"/>
              </w:rPr>
              <w:t>March 31,</w:t>
            </w:r>
          </w:p>
        </w:tc>
        <w:tc>
          <w:tcPr>
            <w:tcW w:w="3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March 31,</w:t>
            </w:r>
          </w:p>
        </w:tc>
      </w:tr>
      <w:tr>
        <w:trPr>
          <w:trHeight w:val="142"/>
        </w:trPr>
        <w:tc>
          <w:tcPr>
            <w:tcW w:w="368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2018</w:t>
            </w:r>
          </w:p>
        </w:tc>
        <w:tc>
          <w:tcPr>
            <w:tcW w:w="5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23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5 years</w:t>
            </w:r>
          </w:p>
        </w:tc>
        <w:tc>
          <w:tcPr>
            <w:tcW w:w="38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3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720" w:type="dxa"/>
            <w:vAlign w:val="bottom"/>
            <w:gridSpan w:val="3"/>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350"/>
        </w:trPr>
        <w:tc>
          <w:tcPr>
            <w:tcW w:w="3680" w:type="dxa"/>
            <w:vAlign w:val="bottom"/>
          </w:tcPr>
          <w:p>
            <w:pPr>
              <w:spacing w:after="0"/>
              <w:rPr>
                <w:sz w:val="24"/>
                <w:szCs w:val="24"/>
                <w:color w:val="auto"/>
              </w:rPr>
            </w:pPr>
          </w:p>
        </w:tc>
        <w:tc>
          <w:tcPr>
            <w:tcW w:w="2340" w:type="dxa"/>
            <w:vAlign w:val="bottom"/>
          </w:tcPr>
          <w:p>
            <w:pPr>
              <w:jc w:val="right"/>
              <w:ind w:right="1554"/>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 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common stock warrant activity from December 31, 2017 through March 31, 2018:</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13,229,778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(1,780,478)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11,449,463</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March 31, 2018 or December 31,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March 31, 2018</w:t>
            </w:r>
          </w:p>
        </w:tc>
        <w:tc>
          <w:tcPr>
            <w:tcW w:w="1460" w:type="dxa"/>
            <w:vAlign w:val="bottom"/>
            <w:gridSpan w:val="3"/>
          </w:tcPr>
          <w:p>
            <w:pPr>
              <w:jc w:val="center"/>
              <w:ind w:left="336"/>
              <w:spacing w:after="0"/>
              <w:rPr>
                <w:sz w:val="20"/>
                <w:szCs w:val="20"/>
                <w:color w:val="auto"/>
              </w:rPr>
            </w:pPr>
            <w:r>
              <w:rPr>
                <w:rFonts w:ascii="Arial" w:cs="Arial" w:eastAsia="Arial" w:hAnsi="Arial"/>
                <w:sz w:val="14"/>
                <w:szCs w:val="14"/>
                <w:color w:val="auto"/>
                <w:w w:val="94"/>
              </w:rPr>
              <w:t>March 31, 2017</w:t>
            </w:r>
          </w:p>
        </w:tc>
      </w:tr>
      <w:tr>
        <w:trPr>
          <w:trHeight w:val="167"/>
        </w:trPr>
        <w:tc>
          <w:tcPr>
            <w:tcW w:w="5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jc w:val="right"/>
              <w:ind w:right="156"/>
              <w:spacing w:after="0"/>
              <w:rPr>
                <w:sz w:val="20"/>
                <w:szCs w:val="20"/>
                <w:color w:val="auto"/>
              </w:rPr>
            </w:pPr>
            <w:r>
              <w:rPr>
                <w:rFonts w:ascii="Arial" w:cs="Arial" w:eastAsia="Arial" w:hAnsi="Arial"/>
                <w:sz w:val="14"/>
                <w:szCs w:val="14"/>
                <w:color w:val="auto"/>
              </w:rPr>
              <w:t>(shares)</w:t>
            </w:r>
          </w:p>
        </w:tc>
        <w:tc>
          <w:tcPr>
            <w:tcW w:w="4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(shares)</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6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11,449,463</w:t>
            </w:r>
          </w:p>
        </w:tc>
        <w:tc>
          <w:tcPr>
            <w:tcW w:w="4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12,249,016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5,615,263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4,656,888</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21,377,008</w:t>
            </w:r>
          </w:p>
        </w:tc>
        <w:tc>
          <w:tcPr>
            <w:tcW w:w="4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21,218,186</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In three months ended March 31, 2017, the Company issued 1,496,797 shares of common stock for net proceeds of approximately $1,945,000 under the 2014 At Market Agreement. The 2014 At Market Agreement expired in March 2017.</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three months ended March 31, 2018, there were no issuances of common stock under the 2017 At Market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Private Placement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28, 2017, the Company closed a transaction with five individual investors through a private placement of common stock and warrants.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the Company issued 102,368 shares of common stock for proceeds of $200,000. The Company also issued, to the five investors, warrants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76,776 shares of common stock at $5.00 per share. The warrants have an expiration date of February 28, 2024. The exercise price of each warrant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adjustable in the event of a stock split or stock combination, capital reorganization, merger or similar event. The warrants were valued at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$101,000 as of the date of issuance, using the closing price of $1.86, a life of 7 years, a volatility of 97% and a risk free interest rate of 1.92%. Based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analysis of the criteria contained in ASC Topic 815-40, “Derivatives and Hedging — Contracts in Entity’s Own Equity” the Company has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warrants issued in connection with this financing transaction were not derivative liabilities and therefore, were recorded as additional paid-in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2018, the Company entered an agreement with a vendor whereby the Company will issue common stock to vendor in lieu of paying in cash in amount up to $100,000 for the year. For the three months ended March 31, 2018, the Company has issued 1,629 shares of common stock and 163 warrants to purchase shares of common stock pursuant to this agreement and the value of such shares has been recorded as research and development expense.</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the three months ended March 31, 2018, the Company has issued a total of 74,476 shares of common stock for dividends on Series A, Series B and Series C Preferred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previously reported, during August 2014, persons claiming to be Galectin shareholders filed putative shareholder derivative complaints seeking recovery on behalf of the Company against certain of the Company’s directors and officers in the United States District Court for the District of Nevada (the “Federal Action”) and in in state court in Las Vegas, Nevada (the “State Action” and, together with the Federal Action, the “Derivative Actions”). The complaints in the Derivative Actions alleged that certain current and former Galectin directors and/or officers breached fiduciary duties to the Company, committed waste of corporate assets, and/or were unjustly enriched. The complaint in the Federal Action also alleged claims under the federal securities laws. The Federal Action was dismissed with prejudice by order and judgment dated December 30, 2015. Although the plaintiffs in the Federal Action filed a notice of appeal, that appeal was subsequently dismissed. The State Action was dismissed with prejudice by order docketed on June 21, 2016. The dismissal of the State Action with prejudice was affirmed on appeal by the Nevada Supreme Court by opinion entered on April 5, 2018.</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also previously reported, in September 2016, the Board received a demand letter from one of the plaintiffs in the Federal Action requesting, among other things, that the Board investigate the conduct alleged in the complaint in the Federal Action and implement certain remedial measures purportedly designed to address the alleged conduct. Now that all of the shareholder litigation to which the subject matter of the demand letter relates has been resolved, the Board expects to complete its evaluation of the demand letter.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significant pending legal proceedings except as noted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Galectin Sciences LLC</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$1,663,000, including $23,000 for the three months ended March 31, 2018, for expenses of the LLC. Since the end of 2014, SBH has contributed $123,000 for expenses in the LLC. As of March 31, 2018, the Company’s ownership percentage in the LLC was 79.8%. The Company accounts for the interest in the LLC as a consolidated, less than wholly owned subsidiary. Because the LLC’s equity is immaterial, the value of the non-controlling interest is also deemed to be immaterial.</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March 31, 2019;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900" w:right="16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lead galectin-3 inhibitor is GR-MD-02, which has been demonstrated in preclinical models to reverse liver fibrosis and cirrhosis. GR-MD-02 has the potential to treat many diseases due to galectin-3’s involvement in multiple key biological pathways such as immune cell function and immunity, cell differentiation, cell growth, and apoptosis (cell death). Galectin Therapeutics Inc. is using this inhibitor to treat advanced liver fibrosis and liver cirrhosis in NASH (non-alcoholic steatohepatitis) patients. We have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completed two Phase 1 clinical studies, a Phase 2 clinical study in NASH patients with advanced fibrosis (NASH-FX) and a second Phase 2B clinical trial in NASH patients with well compensated cirrhosis. We announced, in December 2017 top line results from our Phase 2b study in NASH patients with cirrhosis (NASH-CX).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93" w:lineRule="exact"/>
        <w:rPr>
          <w:sz w:val="20"/>
          <w:szCs w:val="20"/>
          <w:color w:val="auto"/>
        </w:rPr>
      </w:pPr>
    </w:p>
    <w:p>
      <w:pPr>
        <w:ind w:right="180" w:firstLine="456"/>
        <w:spacing w:after="0" w:line="269"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We are also pursuing a development pathway to clinical enhancement and commercialization for our lead compounds in immuno-oncology for cancer therapy and severe skin disease including moderate to severe plaque psoriasis and severe atopic dermatitis. However, our clinical development efforts are focused on both liver fibrosis and fatty liver disease as represented by a Phase 2 clinical trial in NASH-cirrhosis which reported top line data in December 2017. All of our proposed products are presently in development, including pre-clinical and clinical trials.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one new proprietary chemical entity (NCE) in development, GR-MD-02, which has shown promise in preclinical and early clinical studies in treatment of fibrosis, severe skin disease, and in cancer therapy. Currently we are focusing on development of GR-MD-02 intended to be used in the treatment of liver fibrosis associated with fatty liver disease (NASH) and more specifically in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ectPr>
          <w:pgSz w:w="11900" w:h="16838" w:orient="portrait"/>
          <w:cols w:equalWidth="0" w:num="1">
            <w:col w:w="11420"/>
          </w:cols>
          <w:pgMar w:left="240" w:top="459"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Indication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Drug</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Status</w:t>
      </w:r>
    </w:p>
    <w:p>
      <w:pPr>
        <w:spacing w:after="0" w:line="48" w:lineRule="exact"/>
        <w:rPr>
          <w:sz w:val="20"/>
          <w:szCs w:val="20"/>
          <w:color w:val="auto"/>
        </w:rPr>
      </w:pPr>
    </w:p>
    <w:p>
      <w:pPr>
        <w:sectPr>
          <w:pgSz w:w="11900" w:h="16838" w:orient="portrait"/>
          <w:cols w:equalWidth="0" w:num="3">
            <w:col w:w="3020" w:space="720"/>
            <w:col w:w="3400" w:space="720"/>
            <w:col w:w="356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Fibrosis</w:t>
      </w:r>
    </w:p>
    <w:p>
      <w:pPr>
        <w:sectPr>
          <w:pgSz w:w="11900" w:h="16838" w:orient="portrait"/>
          <w:cols w:equalWidth="0" w:num="1">
            <w:col w:w="11420"/>
          </w:cols>
          <w:pgMar w:left="240" w:top="459" w:right="239" w:bottom="1440" w:gutter="0" w:footer="0" w:header="0"/>
          <w:type w:val="continuous"/>
        </w:sectPr>
      </w:pPr>
    </w:p>
    <w:p>
      <w:pPr>
        <w:spacing w:after="0" w:line="2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NASH with Advanced Fibrosis: NASH-CX trial and NASH-FX trial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IND submitted January 2013. Results from the Phase 1 clinical trial were reported in 2014, with final results reported in January 2015. End of Phase 1 meeting held with FDA in 2014. Two Phase 2 clinical trials were designed.</w:t>
      </w:r>
    </w:p>
    <w:p>
      <w:pPr>
        <w:spacing w:after="0" w:line="96" w:lineRule="exact"/>
        <w:rPr>
          <w:sz w:val="20"/>
          <w:szCs w:val="20"/>
          <w:color w:val="auto"/>
        </w:rPr>
      </w:pPr>
    </w:p>
    <w:p>
      <w:pPr>
        <w:sectPr>
          <w:pgSz w:w="11900" w:h="16838" w:orient="portrait"/>
          <w:cols w:equalWidth="0" w:num="3">
            <w:col w:w="2620" w:space="720"/>
            <w:col w:w="840" w:space="520"/>
            <w:col w:w="6720"/>
          </w:cols>
          <w:pgMar w:left="240" w:top="459" w:right="239" w:bottom="1440" w:gutter="0" w:footer="0" w:header="0"/>
          <w:type w:val="continuous"/>
        </w:sectPr>
      </w:pPr>
    </w:p>
    <w:p>
      <w:pPr>
        <w:ind w:left="4700" w:right="180"/>
        <w:spacing w:after="0" w:line="277" w:lineRule="auto"/>
        <w:rPr>
          <w:sz w:val="20"/>
          <w:szCs w:val="20"/>
          <w:color w:val="auto"/>
        </w:rPr>
      </w:pPr>
      <w:r>
        <w:rPr>
          <w:rFonts w:ascii="Arial" w:cs="Arial" w:eastAsia="Arial" w:hAnsi="Arial"/>
          <w:sz w:val="18"/>
          <w:szCs w:val="18"/>
          <w:color w:val="auto"/>
        </w:rPr>
        <w:t>The NASH FX trial was designed for patients with advanced fibrosis but not cirrhosis. The NASH FX trial top line data was reported in September 2016</w:t>
      </w:r>
    </w:p>
    <w:p>
      <w:pPr>
        <w:spacing w:after="0" w:line="76" w:lineRule="exact"/>
        <w:rPr>
          <w:sz w:val="20"/>
          <w:szCs w:val="20"/>
          <w:color w:val="auto"/>
        </w:rPr>
      </w:pPr>
    </w:p>
    <w:p>
      <w:pPr>
        <w:ind w:left="4700" w:right="160"/>
        <w:spacing w:after="0" w:line="264" w:lineRule="auto"/>
        <w:rPr>
          <w:sz w:val="20"/>
          <w:szCs w:val="20"/>
          <w:color w:val="auto"/>
        </w:rPr>
      </w:pPr>
      <w:r>
        <w:rPr>
          <w:rFonts w:ascii="Arial" w:cs="Arial" w:eastAsia="Arial" w:hAnsi="Arial"/>
          <w:sz w:val="18"/>
          <w:szCs w:val="18"/>
          <w:color w:val="auto"/>
        </w:rPr>
        <w:t>The NASH CX trial, was designed for patients with well compensated cirrhosis. The NASH CX trial top line data was reported in December 2017 and additional results derived from the study were presented subsequently.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Lung Fibrosis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Kidney Fibrosis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Cardiac and Vascular Fibrosis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Melanoma, Head, Neck Squamous Cell Carcinoma (HNSCC)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Psoriasis</w:t>
      </w:r>
    </w:p>
    <w:p>
      <w:pPr>
        <w:spacing w:after="0" w:line="27"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Moderate to Severe Plaque Psoriasis Severe Atopic Dermatitis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Drug</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GM-CT-01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GR-MD-02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GR-MD-02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auto"/>
        </w:rPr>
        <w:t>Status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in active development</w:t>
      </w:r>
    </w:p>
    <w:p>
      <w:pPr>
        <w:spacing w:after="0" w:line="2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Investigator IND submitted in December 2013. Phase 1B study in process. A second Phase 1B study began in Q-1 2016. Investigator IND for that study submitted in September 2015. Early data was reported in February 2017 and studies with the 3</w:t>
      </w:r>
      <w:r>
        <w:rPr>
          <w:rFonts w:ascii="Arial" w:cs="Arial" w:eastAsia="Arial" w:hAnsi="Arial"/>
          <w:sz w:val="13"/>
          <w:szCs w:val="13"/>
          <w:color w:val="auto"/>
        </w:rPr>
        <w:t>rd</w:t>
      </w:r>
      <w:r>
        <w:rPr>
          <w:rFonts w:ascii="Arial" w:cs="Arial" w:eastAsia="Arial" w:hAnsi="Arial"/>
          <w:sz w:val="16"/>
          <w:szCs w:val="16"/>
          <w:color w:val="auto"/>
        </w:rPr>
        <w:t xml:space="preserve"> cohort are ongoing.</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 submitted March 2015. A phase 2a trial in moderate to severe plaque psoriasis patients began in January 2016. Interim data on the first four patients were positive and were reported in May 2016. Further positive data was reported in September 2016. Investigator initiated IND submitted for treatment of three patients with severe atopic dermatitis, with positive preliminary data presented in February 2017.</w:t>
      </w:r>
    </w:p>
    <w:p>
      <w:pPr>
        <w:spacing w:after="0" w:line="188" w:lineRule="exact"/>
        <w:rPr>
          <w:sz w:val="20"/>
          <w:szCs w:val="20"/>
          <w:color w:val="auto"/>
        </w:rPr>
      </w:pPr>
    </w:p>
    <w:p>
      <w:pPr>
        <w:sectPr>
          <w:pgSz w:w="11900" w:h="16838" w:orient="portrait"/>
          <w:cols w:equalWidth="0" w:num="3">
            <w:col w:w="2860" w:space="480"/>
            <w:col w:w="840" w:space="520"/>
            <w:col w:w="6720"/>
          </w:cols>
          <w:pgMar w:left="240" w:top="459" w:right="239" w:bottom="1440" w:gutter="0" w:footer="0" w:header="0"/>
          <w:type w:val="continuous"/>
        </w:sect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GR-MD-02 is our lead product candidate for treatment of fibrotic disease. Our preclinical data show that GR-MD-02 has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U.S. Food and Drug Administration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The human pharmacokinetic data defined a drug dose for use in the planned Phase 2 trials based on extrapolation from efficacy data in NASH animal models of liver fibrosis and/or cirrhosis.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3"/>
          <w:szCs w:val="13"/>
          <w:color w:val="auto"/>
        </w:rPr>
        <w:t>®</w:t>
      </w:r>
      <w:r>
        <w:rPr>
          <w:rFonts w:ascii="Arial" w:cs="Arial" w:eastAsia="Arial" w:hAnsi="Arial"/>
          <w:sz w:val="16"/>
          <w:szCs w:val="16"/>
          <w:color w:val="auto"/>
        </w:rPr>
        <w:t>. An “End of Phase 1 Meeting” was held with FDA which, amongst other items, provided guidance on the primary endpoint for the Phase 2 clinical trial, the NASH-CX trial.</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the Company to expand the number of patients eligible for its Phase 2 clinical trial. In addition, should GR-MD-02 be approved for marketing, the success of this study supports a broader patient population for the drug label.</w:t>
      </w:r>
    </w:p>
    <w:p>
      <w:pPr>
        <w:spacing w:after="0" w:line="18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Phase 2 program in fibrotic disease consists of two separate human clinical trials. The primary clinical trial is the Phase 2b NASH-CX study for one year for patients with NASH with well compensated cirrhosis, which began enrolling in June, 2015. This study is the primary focus of our program and is a randomized, placebo-controlled, double-blind, parallel-group Phase 2b trial to evaluate the safety and efficacy of GR-MD-02 for treatment of liver fibrosis and resultant portal hypertension in NASH patients with well compensated cirrhosis. A smaller, exploratory NASH-FX trial was conducted to explore potential use of various non-invasive imaging techniques in NASH patients with advanced fibrosis but not cirrhosis.</w:t>
      </w:r>
    </w:p>
    <w:p>
      <w:pPr>
        <w:spacing w:after="0" w:line="16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a Phase 2a pilot trial NASH-FX for patients with NASH advanced fibrosis that explored use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non-invasive imaging technologies, is now complete. It was a short,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3"/>
          <w:szCs w:val="13"/>
          <w:color w:val="auto"/>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13"/>
          <w:szCs w:val="13"/>
          <w:color w:val="auto"/>
        </w:rPr>
        <w:t>®</w:t>
      </w:r>
      <w:r>
        <w:rPr>
          <w:rFonts w:ascii="Arial" w:cs="Arial" w:eastAsia="Arial" w:hAnsi="Arial"/>
          <w:sz w:val="16"/>
          <w:szCs w:val="16"/>
          <w:color w:val="auto"/>
        </w:rPr>
        <w:t xml:space="preserve"> score. We, and many experts in the field, now believe that a four-month treatment period may not be sufficient to show efficacy results in established liver fibrosis. This small study was not powered for the secondary endpoints and thus, not surprisingly did not meet the secondary endpoints. In the trial, GR-MD-02 was found to be safe and well tolerated among the patient population with no serious adverse events. Although there was no apparent improvement in the three non-invasive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humans in an 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wide variety of animal models.</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NASH-CX Trial: </w:t>
      </w:r>
      <w:r>
        <w:rPr>
          <w:rFonts w:ascii="Arial" w:cs="Arial" w:eastAsia="Arial" w:hAnsi="Arial"/>
          <w:sz w:val="17"/>
          <w:szCs w:val="17"/>
          <w:color w:val="auto"/>
        </w:rPr>
        <w:t>The NASH-CX trial was a larger well-designed multi-center clinical trial which explored use of GR-MD-02 for the treatment of liver</w:t>
      </w:r>
      <w:r>
        <w:rPr>
          <w:rFonts w:ascii="Arial" w:cs="Arial" w:eastAsia="Arial" w:hAnsi="Arial"/>
          <w:sz w:val="17"/>
          <w:szCs w:val="17"/>
          <w:b w:val="1"/>
          <w:bCs w:val="1"/>
          <w:color w:val="auto"/>
        </w:rPr>
        <w:t xml:space="preserve"> </w:t>
      </w:r>
      <w:r>
        <w:rPr>
          <w:rFonts w:ascii="Arial" w:cs="Arial" w:eastAsia="Arial" w:hAnsi="Arial"/>
          <w:sz w:val="17"/>
          <w:szCs w:val="17"/>
          <w:color w:val="auto"/>
        </w:rPr>
        <w:t>fibrosis and resultant portal hypertension in patients with well-compensated NASH cirrhosis. Enrollment in this trial was completed in September, 2016, and a total of 162 patients at 36 sites in the United States were randomized to receive either 2 mg/kg of GR-MD-02, 8 mg/kg of GR-MD-02 or placebo, with approximately 54 patients in each group. The primary endpoint is a reduction in change in hepatic venous pressure gradient (HVPG). Patients received an infusion every other week for one year, total of 26 infusions, and were evaluated to determine the change in HVPG as compared with placebo. HVPG was also correlated with secondary endpoints of fibrosis on liver biopsy as well as with measurement of liver stiffness (FibroScan</w:t>
      </w:r>
      <w:r>
        <w:rPr>
          <w:rFonts w:ascii="Arial" w:cs="Arial" w:eastAsia="Arial" w:hAnsi="Arial"/>
          <w:sz w:val="14"/>
          <w:szCs w:val="14"/>
          <w:color w:val="auto"/>
        </w:rPr>
        <w:t>(R)</w:t>
      </w:r>
      <w:r>
        <w:rPr>
          <w:rFonts w:ascii="Arial" w:cs="Arial" w:eastAsia="Arial" w:hAnsi="Arial"/>
          <w:sz w:val="17"/>
          <w:szCs w:val="17"/>
          <w:color w:val="auto"/>
        </w:rPr>
        <w:t>) and assessment of liver metabolism (</w:t>
      </w:r>
      <w:r>
        <w:rPr>
          <w:rFonts w:ascii="Arial" w:cs="Arial" w:eastAsia="Arial" w:hAnsi="Arial"/>
          <w:sz w:val="14"/>
          <w:szCs w:val="14"/>
          <w:color w:val="auto"/>
        </w:rPr>
        <w:t>13</w:t>
      </w:r>
      <w:r>
        <w:rPr>
          <w:rFonts w:ascii="Arial" w:cs="Arial" w:eastAsia="Arial" w:hAnsi="Arial"/>
          <w:sz w:val="17"/>
          <w:szCs w:val="17"/>
          <w:color w:val="auto"/>
        </w:rPr>
        <w:t>C-methacetin breath test, Exalenz), which are non-invasive measures of the liver that may be used in future studies. Top line data readout was reported in December 2017 demonstrating positive efficacy data and safety and clinically meaningful results in the NASH patients with well compensated cirrhosis without esophageal varices (stage 1 cirrhosis).</w:t>
      </w:r>
    </w:p>
    <w:p>
      <w:pPr>
        <w:spacing w:after="0" w:line="178"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total patient population, the primary endpoint HVPG showed a trend toward benefit with GR-MD-02 treatment, but the difference from placebo was not statistically significant. The mean change in HVPG of placebo from baseline to week 54 was 0.3 mm Hg. The mean change in HVPG from baseline was -0.37 and -0.42 for the 2 mg/kg dose and 8 mg/kg dose of GR-MD-02, respectively.</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Further analysis showed that the drug effect was significantly dependent on dose “varices” in the total group of patients (p&lt;0.02). In those NASH cirrhosis patients without varices at baseline (about 50% of the total population), there was a statistically significant effect of the 2 mg/kg dose of GR-MD-02 on the absolute change in HVPG (-1.08 mm Hg, p&lt;0.01). The effect of the 8 mg/Kg dose of GR-MD-02 on absolute or percent change in HVPG from baseline to week 54 was not significant. The population of patients without varices at baseline were further subdivided into those with mild portal hypertension (HVPG greater or equal to 6 mm Hg and less than 10 mm Hg). In patients with mild portal hypertension (MPH), both doses of GR-MD-02 demonstrated a statistically significant effect on change in HVPG. The mean change in HVPG in the MPH group were +1.8 mm Hg for placebo and -0.3 and -0.4 mm Hg in the 2 mg/kg and 8 mg/kg dose groups, respectively. In patients with clinically significant portal hypertension (HVPG greater than 10 Mm Hg) with no varices at baseline, there was a statistically significant effect of 2 mg/kg of GR-MD-02 on the change in HVPG.</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responder analysis was performed on those patients without varices at baseline. Analysis was performed looking at two groups: those with an equal to or greater than 2 mm Hg decrease in HVPG from baseline or those with an equal to or greater than 2 mm Hg and greater than or equal to 20% decrease in HVPG from baseline. In both cases, the change observed in the GR-MD-02 2 mg/kg group was statistically significant (p&lt;0.01) while that of the 8 mg/kg group was not.</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Additional </w:t>
      </w:r>
      <w:r>
        <w:rPr>
          <w:rFonts w:ascii="Arial" w:cs="Arial" w:eastAsia="Arial" w:hAnsi="Arial"/>
          <w:sz w:val="18"/>
          <w:szCs w:val="18"/>
          <w:i w:val="1"/>
          <w:iCs w:val="1"/>
          <w:color w:val="auto"/>
        </w:rPr>
        <w:t>ad hoc</w:t>
      </w:r>
      <w:r>
        <w:rPr>
          <w:rFonts w:ascii="Arial" w:cs="Arial" w:eastAsia="Arial" w:hAnsi="Arial"/>
          <w:sz w:val="18"/>
          <w:szCs w:val="18"/>
          <w:color w:val="auto"/>
        </w:rPr>
        <w:t xml:space="preserve"> analysis examining the pK-PD correlation between human data and the mouse NASH model showed that the apparent lack of a dose response in the 8 mg/Kg dose group (GR8) may be due to fact that a large number of patients in the GR8 group had very high levels of GR-MD-02. When the GR8 group patients were divided into groups with serum drug levels greater than 12,000 ug*hr/mL and those below 12,000 ug*hr/mL, there was a statistically significant difference in the change in HVPG in the GR8 group with lower serum levels of GR-MD-02 of approximately -8%. Thus, the apparent less pronounced effects of GR8 may be explained, at least in part, by the variable pharmacokinetics observed in the patients which received GR8. This mirrors the effects seen in the NASH mouse model experiments in which the anti-inflammatory effects of GR-MD-02 were significantly reduced at doses between 60 mg/Kg and 120 mg/Kg.</w:t>
      </w:r>
    </w:p>
    <w:p>
      <w:pPr>
        <w:spacing w:after="0" w:line="18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In terms of cirrhosis complications over the 54-week treatment period, in patients without varices there were statistically significantly fewer new varices that developed in the treatment groups vs placebo. We believe this may represent a useful measure of clinical outcome.</w:t>
      </w:r>
    </w:p>
    <w:p>
      <w:pPr>
        <w:spacing w:after="0" w:line="14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major conclusions, to date from the NASH-CX trial results are that: i) GR-MD-02 had a statistically significant and clinically meaningful effect in improving HVPG vs placebo in patients with NASH cirrhosis who did not have esophageal varices at baseline; this effect was seen regardless of the patient’s baseline portal hypertension. Furthermore, we believe that patients 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esophageal varices may have masked benefits in the total patient population; ii) there was an important drug effect of GR-MD-02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and 8 mg/kg dosage groups on liver biopsy and in the mild portal hypertension group, there was a consistently greater and statistically significant effect of the 2 mg/kg dose of GR-MD-02; (v) the apparent lack of a dose response in the GR8 group may be explained by variable pharmacokinetics in the high dose group, and this suggests use of an additional and intermediate dose between 2 and 8 mg/Kg in subsequent trials; (vi) GR-MD-02 appears to be safe and well tolerated in this one year clinical trial; and (vii) we believe this is the first large, randomized clinical trial of any drug to demonstrate a clinically meaningful improvement in portal hypertension or liver biopsy in patients with compensated NASH cirrhosis without esophageal varices.</w:t>
      </w:r>
    </w:p>
    <w:p>
      <w:pPr>
        <w:spacing w:after="0" w:line="182"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We are planning to meet with the FDA in May of 2018 to discuss the results of the NASH-CX trial and plans for a phase 3 program. Further information and details on the NASH-CX results summarized above is available in public presentations posted to our website and filed with the SEC.</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 The results of the NASH-CX trial substantiate that, subject to confirmation in later stage clinical trials, this goal is achievable in a significant portion of the NASH cirrhosis patient population i.e. those NASH cirrhosis patients without esophageal varices.</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there have been several recent approvals of drugs that enhance a patient’s immune system to fight cancer. It is our goal to use a galectin inhibitor to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and with the immune cell activator anti-OX40. These preclinical data led to the filing of two Investigator-sponsored INDs and the initiation of studies of GR-MD-02 in combination with Yervoy</w:t>
      </w:r>
      <w:r>
        <w:rPr>
          <w:rFonts w:ascii="Arial" w:cs="Arial" w:eastAsia="Arial" w:hAnsi="Arial"/>
          <w:sz w:val="13"/>
          <w:szCs w:val="13"/>
          <w:color w:val="auto"/>
        </w:rPr>
        <w:t>®</w:t>
      </w:r>
      <w:r>
        <w:rPr>
          <w:rFonts w:ascii="Arial" w:cs="Arial" w:eastAsia="Arial" w:hAnsi="Arial"/>
          <w:sz w:val="16"/>
          <w:szCs w:val="16"/>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7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 Results from third cohort of patients is expected in Summer, 2018.</w:t>
      </w:r>
    </w:p>
    <w:p>
      <w:pPr>
        <w:spacing w:after="0" w:line="16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Severe skin diseases. </w:t>
      </w:r>
      <w:r>
        <w:rPr>
          <w:rFonts w:ascii="Arial" w:cs="Arial" w:eastAsia="Arial" w:hAnsi="Arial"/>
          <w:sz w:val="18"/>
          <w:szCs w:val="18"/>
          <w:color w:val="auto"/>
        </w:rPr>
        <w:t>During our Phase 1 NASH fibrosis trial with GR-MD-02, a clinical effect on plaque psoriasis was observed in a NASH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Three Months Ended March 31,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Three Months</w:t>
            </w:r>
          </w:p>
        </w:tc>
        <w:tc>
          <w:tcPr>
            <w:tcW w:w="260" w:type="dxa"/>
            <w:vAlign w:val="bottom"/>
          </w:tcPr>
          <w:p>
            <w:pPr>
              <w:spacing w:after="0"/>
              <w:rPr>
                <w:sz w:val="14"/>
                <w:szCs w:val="14"/>
                <w:color w:val="auto"/>
              </w:rPr>
            </w:pPr>
          </w:p>
        </w:tc>
        <w:tc>
          <w:tcPr>
            <w:tcW w:w="214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2018 as Compared to 2017</w:t>
            </w:r>
          </w:p>
        </w:tc>
      </w:tr>
      <w:tr>
        <w:trPr>
          <w:trHeight w:val="167"/>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4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Ended March 31,</w:t>
            </w:r>
          </w:p>
        </w:tc>
        <w:tc>
          <w:tcPr>
            <w:tcW w:w="260" w:type="dxa"/>
            <w:vAlign w:val="bottom"/>
          </w:tcPr>
          <w:p>
            <w:pPr>
              <w:spacing w:after="0"/>
              <w:rPr>
                <w:sz w:val="14"/>
                <w:szCs w:val="14"/>
                <w:color w:val="auto"/>
              </w:rPr>
            </w:pPr>
          </w:p>
        </w:tc>
        <w:tc>
          <w:tcPr>
            <w:tcW w:w="2140" w:type="dxa"/>
            <w:vAlign w:val="bottom"/>
            <w:gridSpan w:val="3"/>
          </w:tcPr>
          <w:p>
            <w:pPr>
              <w:jc w:val="center"/>
              <w:ind w:right="260"/>
              <w:spacing w:after="0"/>
              <w:rPr>
                <w:sz w:val="20"/>
                <w:szCs w:val="20"/>
                <w:color w:val="auto"/>
              </w:rPr>
            </w:pPr>
            <w:r>
              <w:rPr>
                <w:rFonts w:ascii="Arial" w:cs="Arial" w:eastAsia="Arial" w:hAnsi="Arial"/>
                <w:sz w:val="14"/>
                <w:szCs w:val="14"/>
                <w:color w:val="auto"/>
                <w:w w:val="92"/>
              </w:rPr>
              <w:t>Three Months</w:t>
            </w:r>
          </w:p>
        </w:tc>
      </w:tr>
      <w:tr>
        <w:trPr>
          <w:trHeight w:val="142"/>
        </w:trPr>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2018</w:t>
            </w:r>
          </w:p>
        </w:tc>
        <w:tc>
          <w:tcPr>
            <w:tcW w:w="7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w w:val="92"/>
              </w:rPr>
              <w:t>$ Change</w:t>
            </w:r>
          </w:p>
        </w:tc>
        <w:tc>
          <w:tcPr>
            <w:tcW w:w="9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20" w:type="dxa"/>
            <w:vAlign w:val="bottom"/>
            <w:gridSpan w:val="4"/>
          </w:tcPr>
          <w:p>
            <w:pPr>
              <w:jc w:val="right"/>
              <w:ind w:right="228"/>
              <w:spacing w:after="0" w:line="142" w:lineRule="exact"/>
              <w:rPr>
                <w:sz w:val="20"/>
                <w:szCs w:val="20"/>
                <w:color w:val="auto"/>
              </w:rPr>
            </w:pPr>
            <w:r>
              <w:rPr>
                <w:rFonts w:ascii="Arial" w:cs="Arial" w:eastAsia="Arial" w:hAnsi="Arial"/>
                <w:sz w:val="14"/>
                <w:szCs w:val="14"/>
                <w:color w:val="auto"/>
              </w:rPr>
              <w:t>(In thousands, except %)</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$2,298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$3,772</w:t>
            </w: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(1,474)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47" w:lineRule="exact"/>
        <w:rPr>
          <w:sz w:val="20"/>
          <w:szCs w:val="20"/>
          <w:color w:val="auto"/>
        </w:rPr>
      </w:pPr>
    </w:p>
    <w:p>
      <w:pPr>
        <w:jc w:val="center"/>
        <w:ind w:left="7180"/>
        <w:spacing w:after="0"/>
        <w:rPr>
          <w:sz w:val="20"/>
          <w:szCs w:val="20"/>
          <w:color w:val="auto"/>
        </w:rPr>
      </w:pPr>
      <w:r>
        <w:rPr>
          <w:rFonts w:ascii="Arial" w:cs="Arial" w:eastAsia="Arial" w:hAnsi="Arial"/>
          <w:sz w:val="14"/>
          <w:szCs w:val="14"/>
          <w:color w:val="auto"/>
        </w:rPr>
        <w:t>Three Months</w:t>
      </w:r>
    </w:p>
    <w:p>
      <w:pPr>
        <w:jc w:val="center"/>
        <w:ind w:left="7180"/>
        <w:spacing w:after="0" w:line="221" w:lineRule="auto"/>
        <w:rPr>
          <w:sz w:val="20"/>
          <w:szCs w:val="20"/>
          <w:color w:val="auto"/>
        </w:rPr>
      </w:pPr>
      <w:r>
        <w:rPr>
          <w:rFonts w:ascii="Arial" w:cs="Arial" w:eastAsia="Arial" w:hAnsi="Arial"/>
          <w:sz w:val="14"/>
          <w:szCs w:val="14"/>
          <w:color w:val="auto"/>
        </w:rPr>
        <w:t>Ended</w:t>
      </w:r>
    </w:p>
    <w:p>
      <w:pPr>
        <w:jc w:val="center"/>
        <w:ind w:left="7180"/>
        <w:spacing w:after="0" w:line="231" w:lineRule="auto"/>
        <w:rPr>
          <w:sz w:val="20"/>
          <w:szCs w:val="20"/>
          <w:color w:val="auto"/>
        </w:rPr>
      </w:pPr>
      <w:r>
        <w:rPr>
          <w:rFonts w:ascii="Arial" w:cs="Arial" w:eastAsia="Arial" w:hAnsi="Arial"/>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23"/>
        </w:trPr>
        <w:tc>
          <w:tcPr>
            <w:tcW w:w="5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Borders>
              <w:top w:val="single" w:sz="8" w:color="auto"/>
            </w:tcBorders>
          </w:tcPr>
          <w:p>
            <w:pPr>
              <w:jc w:val="right"/>
              <w:ind w:right="42"/>
              <w:spacing w:after="0" w:line="123" w:lineRule="exact"/>
              <w:rPr>
                <w:sz w:val="20"/>
                <w:szCs w:val="20"/>
                <w:color w:val="auto"/>
              </w:rPr>
            </w:pPr>
            <w:r>
              <w:rPr>
                <w:rFonts w:ascii="Arial" w:cs="Arial" w:eastAsia="Arial" w:hAnsi="Arial"/>
                <w:sz w:val="14"/>
                <w:szCs w:val="14"/>
                <w:color w:val="auto"/>
              </w:rPr>
              <w:t>2018</w:t>
            </w:r>
          </w:p>
        </w:tc>
        <w:tc>
          <w:tcPr>
            <w:tcW w:w="880" w:type="dxa"/>
            <w:vAlign w:val="bottom"/>
            <w:tcBorders>
              <w:top w:val="single" w:sz="8" w:color="auto"/>
            </w:tcBorders>
            <w:gridSpan w:val="2"/>
          </w:tcPr>
          <w:p>
            <w:pPr>
              <w:jc w:val="right"/>
              <w:ind w:right="30"/>
              <w:spacing w:after="0" w:line="123"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0"/>
                <w:szCs w:val="10"/>
                <w:color w:val="auto"/>
              </w:rPr>
            </w:pPr>
          </w:p>
        </w:tc>
      </w:tr>
      <w:tr>
        <w:trPr>
          <w:trHeight w:val="167"/>
        </w:trPr>
        <w:tc>
          <w:tcPr>
            <w:tcW w:w="5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color w:val="auto"/>
              </w:rPr>
              <w:t>(in thousands)</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Clinical activities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$3,162</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20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3,772</w:t>
            </w:r>
          </w:p>
        </w:tc>
        <w:tc>
          <w:tcPr>
            <w:tcW w:w="6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Clinical programs expenses decreased primarily due to costs related to our Phase 2 clinical trials winding down during the three months ended March 31, 2018 as compared to the same period in 2017. Other research and development expense increased primarily due to an increase in non-cash stock-based compensation expense of approximately $368,000.</w:t>
      </w:r>
    </w:p>
    <w:p>
      <w:pPr>
        <w:spacing w:after="0" w:line="18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Three Months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center"/>
              <w:ind w:right="340"/>
              <w:spacing w:after="0"/>
              <w:rPr>
                <w:sz w:val="20"/>
                <w:szCs w:val="20"/>
                <w:color w:val="auto"/>
              </w:rPr>
            </w:pPr>
            <w:r>
              <w:rPr>
                <w:rFonts w:ascii="Arial" w:cs="Arial" w:eastAsia="Arial" w:hAnsi="Arial"/>
                <w:sz w:val="14"/>
                <w:szCs w:val="14"/>
                <w:color w:val="auto"/>
                <w:w w:val="90"/>
              </w:rPr>
              <w:t>2018 as Compared to 2017</w:t>
            </w:r>
          </w:p>
        </w:tc>
      </w:tr>
      <w:tr>
        <w:trPr>
          <w:trHeight w:val="167"/>
        </w:trPr>
        <w:tc>
          <w:tcPr>
            <w:tcW w:w="4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4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Ended March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Three Months</w:t>
            </w:r>
          </w:p>
        </w:tc>
      </w:tr>
      <w:tr>
        <w:trPr>
          <w:trHeight w:val="142"/>
        </w:trPr>
        <w:tc>
          <w:tcPr>
            <w:tcW w:w="4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2018</w:t>
            </w:r>
          </w:p>
        </w:tc>
        <w:tc>
          <w:tcPr>
            <w:tcW w:w="7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82"/>
              <w:spacing w:after="0" w:line="142" w:lineRule="exact"/>
              <w:rPr>
                <w:sz w:val="20"/>
                <w:szCs w:val="20"/>
                <w:color w:val="auto"/>
              </w:rPr>
            </w:pPr>
            <w:r>
              <w:rPr>
                <w:rFonts w:ascii="Arial" w:cs="Arial" w:eastAsia="Arial" w:hAnsi="Arial"/>
                <w:sz w:val="14"/>
                <w:szCs w:val="14"/>
                <w:color w:val="auto"/>
                <w:w w:val="95"/>
              </w:rPr>
              <w:t>$ Change</w:t>
            </w:r>
          </w:p>
        </w:tc>
        <w:tc>
          <w:tcPr>
            <w:tcW w:w="94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 Change</w:t>
            </w:r>
          </w:p>
        </w:tc>
        <w:tc>
          <w:tcPr>
            <w:tcW w:w="20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0" w:type="dxa"/>
            <w:vAlign w:val="bottom"/>
            <w:gridSpan w:val="5"/>
          </w:tcPr>
          <w:p>
            <w:pPr>
              <w:jc w:val="right"/>
              <w:ind w:right="202"/>
              <w:spacing w:after="0" w:line="142" w:lineRule="exact"/>
              <w:rPr>
                <w:sz w:val="20"/>
                <w:szCs w:val="20"/>
                <w:color w:val="auto"/>
              </w:rPr>
            </w:pPr>
            <w:r>
              <w:rPr>
                <w:rFonts w:ascii="Arial" w:cs="Arial" w:eastAsia="Arial" w:hAnsi="Arial"/>
                <w:sz w:val="14"/>
                <w:szCs w:val="14"/>
                <w:color w:val="auto"/>
              </w:rPr>
              <w:t>(In thousands, except %)</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$1,880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706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increase in general and administrative expenses for the three-months ended March 31, 2018 as compared to the same period in 2017 is due to an increase non-cash, stock-based compensation expense of $489,000 and as increase in business development/investor relations expenses of approximately $131,000.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Since our inception on July 10, 2000, we have financed our operations from proceeds of public and private offerings of debt and equity. As of March 31, 2018, we raised a net total of $136.5 million from these offerings. We have operated at a loss since our inception and have had no significant revenues. We anticipate that losses will continue for the foreseeable future. At March 31, 2018, the Company had $4.0 million of unrestricted cash and cash equivalents available to fund future operations. The Company believes there is sufficient cash, including availability of the line of credit, to fund currently planned operations at least through March 31, 2019.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9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Net cash used in operations decreased by $347,000 to $3,516,000 for the three months ended March 31, 2018, as compared to $3,863,000 for the three months ended March 31, 2017. Cash operating expenses decreased principally due to the winding down of Phase 2 research and development activities related to our clinical trial activity with GR-MD-02.</w:t>
      </w:r>
    </w:p>
    <w:p>
      <w:pPr>
        <w:spacing w:after="0" w:line="18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Net cash provided by financing activities the three months ended March 31, 2018, of $4,451,000 represents proceeds from the exercise of common stock warrants. Net cash provided by financing activities the three months ended March 31, 2017, of $2,145,000 represents net proceeds from the sale of common stock and warrants.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2017 Annual Report on Form 10-K.</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2018, our disclosure controls and procedures were effective at a reasonable assurance level. During the quarter ended March 31, 2018, no change in our internal control over financial reporting has materially affected, or is reasonably likely to materially affect, our internal control over financial reporting.</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discussed in Note 9 to our condensed consolidated financial statements included in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2017, which could materially impact our business, financial condition or future results.</w:t>
      </w:r>
    </w:p>
    <w:p>
      <w:pPr>
        <w:sectPr>
          <w:pgSz w:w="11900" w:h="16838" w:orient="portrait"/>
          <w:cols w:equalWidth="0" w:num="1">
            <w:col w:w="11380"/>
          </w:cols>
          <w:pgMar w:left="240" w:top="459" w:right="27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00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80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Exhibit</w:t>
            </w:r>
          </w:p>
        </w:tc>
        <w:tc>
          <w:tcPr>
            <w:tcW w:w="8720" w:type="dxa"/>
            <w:vAlign w:val="bottom"/>
            <w:gridSpan w:val="4"/>
            <w:vMerge w:val="restart"/>
          </w:tcPr>
          <w:p>
            <w:pPr>
              <w:ind w:left="37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Number</w:t>
            </w:r>
          </w:p>
        </w:tc>
        <w:tc>
          <w:tcPr>
            <w:tcW w:w="87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20" w:type="dxa"/>
            <w:vAlign w:val="bottom"/>
          </w:tcPr>
          <w:p>
            <w:pPr>
              <w:jc w:val="center"/>
              <w:ind w:right="2"/>
              <w:spacing w:after="0"/>
              <w:rPr>
                <w:sz w:val="20"/>
                <w:szCs w:val="20"/>
                <w:color w:val="auto"/>
              </w:rPr>
            </w:pPr>
            <w:r>
              <w:rPr>
                <w:rFonts w:ascii="Arial" w:cs="Arial" w:eastAsia="Arial" w:hAnsi="Arial"/>
                <w:sz w:val="18"/>
                <w:szCs w:val="18"/>
                <w:color w:val="auto"/>
                <w:w w:val="95"/>
              </w:rPr>
              <w:t>31.1*</w:t>
            </w:r>
          </w:p>
        </w:tc>
        <w:tc>
          <w:tcPr>
            <w:tcW w:w="620" w:type="dxa"/>
            <w:vAlign w:val="bottom"/>
          </w:tcPr>
          <w:p>
            <w:pPr>
              <w:spacing w:after="0"/>
              <w:rPr>
                <w:sz w:val="21"/>
                <w:szCs w:val="21"/>
                <w:color w:val="auto"/>
              </w:rPr>
            </w:pPr>
          </w:p>
        </w:tc>
        <w:tc>
          <w:tcPr>
            <w:tcW w:w="872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Certification Pursuant to Rule 13a-14(a) of the Securities Exchange Act of 1934</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620" w:type="dxa"/>
            <w:vAlign w:val="bottom"/>
          </w:tcPr>
          <w:p>
            <w:pPr>
              <w:spacing w:after="0"/>
              <w:rPr>
                <w:sz w:val="24"/>
                <w:szCs w:val="24"/>
                <w:color w:val="auto"/>
              </w:rPr>
            </w:pPr>
          </w:p>
        </w:tc>
        <w:tc>
          <w:tcPr>
            <w:tcW w:w="872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Certification Pursuant to Rule 13a-14(a) of the Securities Exchange Act of 1934</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04"/>
        </w:trPr>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32.2**</w:t>
            </w:r>
          </w:p>
        </w:tc>
        <w:tc>
          <w:tcPr>
            <w:tcW w:w="62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45"/>
        </w:trPr>
        <w:tc>
          <w:tcPr>
            <w:tcW w:w="122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101.INS</w:t>
            </w:r>
          </w:p>
        </w:tc>
        <w:tc>
          <w:tcPr>
            <w:tcW w:w="87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101.SCH</w:t>
            </w:r>
          </w:p>
        </w:tc>
        <w:tc>
          <w:tcPr>
            <w:tcW w:w="87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540"/>
              <w:spacing w:after="0"/>
              <w:rPr>
                <w:sz w:val="20"/>
                <w:szCs w:val="20"/>
                <w:color w:val="auto"/>
              </w:rPr>
            </w:pPr>
            <w:r>
              <w:rPr>
                <w:rFonts w:ascii="Arial" w:cs="Arial" w:eastAsia="Arial" w:hAnsi="Arial"/>
                <w:sz w:val="18"/>
                <w:szCs w:val="18"/>
                <w:color w:val="auto"/>
                <w:w w:val="97"/>
              </w:rPr>
              <w:t>101.CAL</w:t>
            </w:r>
          </w:p>
        </w:tc>
        <w:tc>
          <w:tcPr>
            <w:tcW w:w="8720" w:type="dxa"/>
            <w:vAlign w:val="bottom"/>
            <w:gridSpan w:val="4"/>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101.DEF</w:t>
            </w:r>
          </w:p>
        </w:tc>
        <w:tc>
          <w:tcPr>
            <w:tcW w:w="87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540"/>
              <w:spacing w:after="0"/>
              <w:rPr>
                <w:sz w:val="20"/>
                <w:szCs w:val="20"/>
                <w:color w:val="auto"/>
              </w:rPr>
            </w:pPr>
            <w:r>
              <w:rPr>
                <w:rFonts w:ascii="Arial" w:cs="Arial" w:eastAsia="Arial" w:hAnsi="Arial"/>
                <w:sz w:val="18"/>
                <w:szCs w:val="18"/>
                <w:color w:val="auto"/>
                <w:w w:val="98"/>
              </w:rPr>
              <w:t>101.LAB</w:t>
            </w:r>
          </w:p>
        </w:tc>
        <w:tc>
          <w:tcPr>
            <w:tcW w:w="8720" w:type="dxa"/>
            <w:vAlign w:val="bottom"/>
            <w:gridSpan w:val="4"/>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101.PRE</w:t>
            </w:r>
          </w:p>
        </w:tc>
        <w:tc>
          <w:tcPr>
            <w:tcW w:w="872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1280" w:hanging="5612"/>
        <w:spacing w:after="0" w:line="433" w:lineRule="auto"/>
        <w:tabs>
          <w:tab w:leader="none" w:pos="45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Reference</w:t>
      </w:r>
    </w:p>
    <w:p>
      <w:pPr>
        <w:sectPr>
          <w:pgSz w:w="11900" w:h="16838" w:orient="portrait"/>
          <w:cols w:equalWidth="0" w:num="2">
            <w:col w:w="10040" w:space="720"/>
            <w:col w:w="620"/>
          </w:cols>
          <w:pgMar w:left="240" w:top="459" w:right="2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11, 2018.</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66"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 (principal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executive officer)</w:t>
            </w:r>
          </w:p>
        </w:tc>
      </w:tr>
    </w:tbl>
    <w:p>
      <w:pPr>
        <w:spacing w:after="0" w:line="24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11, 2018</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11, 2018</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March 31, 2018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11, 2018</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March 31, 2018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May 11, 2018</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2019-12-28T22:27:36Z</dcterms:created>
  <dcterms:modified xsi:type="dcterms:W3CDTF">2019-12-28T22:27:36Z</dcterms:modified>
</cp:coreProperties>
</file>