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32"/>
                <w:szCs w:val="32"/>
                <w:b w:val="1"/>
                <w:bCs w:val="1"/>
                <w:color w:val="auto"/>
                <w:w w:val="89"/>
              </w:rPr>
              <w:t>United States</w:t>
            </w:r>
          </w:p>
        </w:tc>
      </w:tr>
      <w:tr>
        <w:trPr>
          <w:trHeight w:val="378"/>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89"/>
              </w:rPr>
              <w:t>Securities and Exchange Commission</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8"/>
              </w:rPr>
              <w:t>Washington, D.C. 20549</w:t>
            </w:r>
          </w:p>
        </w:tc>
      </w:tr>
      <w:tr>
        <w:trPr>
          <w:trHeight w:val="34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99"/>
              </w:rPr>
              <w:t>SCHEDULE 14A</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9"/>
              </w:rPr>
              <w:t>(Rule 14a-101)</w:t>
            </w:r>
          </w:p>
        </w:tc>
      </w:tr>
      <w:tr>
        <w:trPr>
          <w:trHeight w:val="422"/>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720" w:type="dxa"/>
            <w:vAlign w:val="bottom"/>
            <w:gridSpan w:val="3"/>
          </w:tcPr>
          <w:p>
            <w:pPr>
              <w:jc w:val="center"/>
              <w:ind w:left="43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1"/>
              </w:rPr>
              <w:t>(Amendment No.)</w:t>
            </w:r>
          </w:p>
        </w:tc>
      </w:tr>
      <w:tr>
        <w:trPr>
          <w:trHeight w:val="355"/>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20" w:type="dxa"/>
            <w:vAlign w:val="bottom"/>
            <w:gridSpan w:val="3"/>
          </w:tcPr>
          <w:p>
            <w:pPr>
              <w:ind w:left="1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4" w:right="479" w:bottom="559"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November XX,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are cordially invited to attend the annual meeting of stockholders of Galectin Therapeutics Inc. The meeting will be held on Thursday, December 14 at 8:30 a.m., local time, at the offices of Dentons LLP, located at 303 Peachtree Street NE, Suite 5300, Atlanta, GA 30308, for the following purposes:</w:t>
      </w:r>
    </w:p>
    <w:p>
      <w:pPr>
        <w:spacing w:after="0" w:line="87" w:lineRule="exact"/>
        <w:rPr>
          <w:sz w:val="20"/>
          <w:szCs w:val="20"/>
          <w:color w:val="auto"/>
        </w:rPr>
      </w:pPr>
    </w:p>
    <w:p>
      <w:pPr>
        <w:ind w:left="1140" w:hanging="565"/>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the seven nominees named in this proxy statement for director to hold office until the 2018 annual meeting of our stockholders.</w:t>
      </w:r>
    </w:p>
    <w:p>
      <w:pPr>
        <w:spacing w:after="0" w:line="142" w:lineRule="exact"/>
        <w:rPr>
          <w:rFonts w:ascii="Arial" w:cs="Arial" w:eastAsia="Arial" w:hAnsi="Arial"/>
          <w:sz w:val="17"/>
          <w:szCs w:val="17"/>
          <w:color w:val="auto"/>
        </w:rPr>
      </w:pPr>
    </w:p>
    <w:p>
      <w:pPr>
        <w:ind w:left="1140" w:right="700" w:hanging="565"/>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2017.</w:t>
      </w:r>
    </w:p>
    <w:p>
      <w:pPr>
        <w:spacing w:after="0" w:line="75" w:lineRule="exact"/>
        <w:rPr>
          <w:rFonts w:ascii="Arial" w:cs="Arial" w:eastAsia="Arial" w:hAnsi="Arial"/>
          <w:sz w:val="18"/>
          <w:szCs w:val="18"/>
          <w:color w:val="auto"/>
        </w:rPr>
      </w:pPr>
    </w:p>
    <w:p>
      <w:pPr>
        <w:ind w:left="1140" w:right="320" w:hanging="565"/>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140" w:right="360" w:hanging="565"/>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Your vote is very important. Whether or not you plan to attend the annual meeting in person, please complete and return the enclosed proxy card.</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303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Medical Officer</w:t>
      </w:r>
    </w:p>
    <w:p>
      <w:pPr>
        <w:sectPr>
          <w:pgSz w:w="11900" w:h="16838" w:orient="portrait"/>
          <w:cols w:equalWidth="0" w:num="1">
            <w:col w:w="11420"/>
          </w:cols>
          <w:pgMar w:left="240" w:top="13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jc w:val="center"/>
              <w:ind w:right="2250"/>
              <w:spacing w:after="0"/>
              <w:rPr>
                <w:sz w:val="20"/>
                <w:szCs w:val="20"/>
                <w:color w:val="auto"/>
              </w:rPr>
            </w:pPr>
            <w:r>
              <w:rPr>
                <w:rFonts w:ascii="Arial" w:cs="Arial" w:eastAsia="Arial" w:hAnsi="Arial"/>
                <w:sz w:val="18"/>
                <w:szCs w:val="18"/>
                <w:b w:val="1"/>
                <w:bCs w:val="1"/>
                <w:color w:val="auto"/>
              </w:rPr>
              <w:t>GALECTIN THERAPEUTICS INC.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jc w:val="center"/>
              <w:ind w:right="227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980" w:type="dxa"/>
            <w:vAlign w:val="bottom"/>
          </w:tcPr>
          <w:p>
            <w:pPr>
              <w:jc w:val="center"/>
              <w:ind w:right="4230"/>
              <w:spacing w:after="0"/>
              <w:rPr>
                <w:sz w:val="20"/>
                <w:szCs w:val="20"/>
                <w:color w:val="auto"/>
              </w:rPr>
            </w:pPr>
            <w:r>
              <w:rPr>
                <w:rFonts w:ascii="Arial" w:cs="Arial" w:eastAsia="Arial" w:hAnsi="Arial"/>
                <w:sz w:val="18"/>
                <w:szCs w:val="18"/>
                <w:b w:val="1"/>
                <w:bCs w:val="1"/>
                <w:color w:val="auto"/>
                <w:w w:val="89"/>
              </w:rPr>
              <w:t>Norcross, Georgia 30071</w:t>
            </w:r>
          </w:p>
        </w:tc>
        <w:tc>
          <w:tcPr>
            <w:tcW w:w="0" w:type="dxa"/>
            <w:vAlign w:val="bottom"/>
          </w:tcPr>
          <w:p>
            <w:pPr>
              <w:spacing w:after="0"/>
              <w:rPr>
                <w:sz w:val="1"/>
                <w:szCs w:val="1"/>
                <w:color w:val="auto"/>
              </w:rPr>
            </w:pPr>
          </w:p>
        </w:tc>
      </w:tr>
      <w:tr>
        <w:trPr>
          <w:trHeight w:val="469"/>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40" w:type="dxa"/>
            <w:vAlign w:val="bottom"/>
            <w:gridSpan w:val="2"/>
          </w:tcPr>
          <w:p>
            <w:pPr>
              <w:jc w:val="center"/>
              <w:ind w:right="2270"/>
              <w:spacing w:after="0"/>
              <w:rPr>
                <w:sz w:val="20"/>
                <w:szCs w:val="20"/>
                <w:color w:val="auto"/>
              </w:rPr>
            </w:pPr>
            <w:r>
              <w:rPr>
                <w:rFonts w:ascii="Arial" w:cs="Arial" w:eastAsia="Arial" w:hAnsi="Arial"/>
                <w:sz w:val="22"/>
                <w:szCs w:val="22"/>
                <w:b w:val="1"/>
                <w:bCs w:val="1"/>
                <w:color w:val="auto"/>
                <w:w w:val="98"/>
              </w:rPr>
              <w:t>NOTICE OF THE 2017 ANNUAL MEETING OF STOCKHOLDERS</w:t>
            </w:r>
          </w:p>
        </w:tc>
        <w:tc>
          <w:tcPr>
            <w:tcW w:w="0" w:type="dxa"/>
            <w:vAlign w:val="bottom"/>
          </w:tcPr>
          <w:p>
            <w:pPr>
              <w:spacing w:after="0"/>
              <w:rPr>
                <w:sz w:val="1"/>
                <w:szCs w:val="1"/>
                <w:color w:val="auto"/>
              </w:rPr>
            </w:pPr>
          </w:p>
        </w:tc>
      </w:tr>
      <w:tr>
        <w:trPr>
          <w:trHeight w:val="449"/>
        </w:trPr>
        <w:tc>
          <w:tcPr>
            <w:tcW w:w="21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180" w:type="dxa"/>
            <w:vAlign w:val="bottom"/>
            <w:gridSpan w:val="3"/>
          </w:tcPr>
          <w:p>
            <w:pPr>
              <w:spacing w:after="0"/>
              <w:rPr>
                <w:sz w:val="20"/>
                <w:szCs w:val="20"/>
                <w:color w:val="auto"/>
              </w:rPr>
            </w:pPr>
            <w:r>
              <w:rPr>
                <w:rFonts w:ascii="Arial" w:cs="Arial" w:eastAsia="Arial" w:hAnsi="Arial"/>
                <w:sz w:val="18"/>
                <w:szCs w:val="18"/>
                <w:color w:val="auto"/>
              </w:rPr>
              <w:t>8:30 a.m. on Thursday, December 14, 2017</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80" w:type="dxa"/>
            <w:vAlign w:val="bottom"/>
            <w:gridSpan w:val="3"/>
          </w:tcPr>
          <w:p>
            <w:pPr>
              <w:spacing w:after="0"/>
              <w:rPr>
                <w:sz w:val="20"/>
                <w:szCs w:val="20"/>
                <w:color w:val="auto"/>
              </w:rPr>
            </w:pPr>
            <w:r>
              <w:rPr>
                <w:rFonts w:ascii="Arial" w:cs="Arial" w:eastAsia="Arial" w:hAnsi="Arial"/>
                <w:sz w:val="18"/>
                <w:szCs w:val="18"/>
                <w:color w:val="auto"/>
              </w:rPr>
              <w:t>Dentons LLP</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3"/>
              </w:rPr>
              <w:t>Toelect the seven (7) nominees named in this proxy statement to serve until our 2018 annual meeting of stockholders.</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7"/>
              </w:rPr>
              <w:t>Toratify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40" w:type="dxa"/>
            <w:vAlign w:val="bottom"/>
            <w:gridSpan w:val="2"/>
          </w:tcPr>
          <w:p>
            <w:pPr>
              <w:ind w:left="120"/>
              <w:spacing w:after="0"/>
              <w:rPr>
                <w:sz w:val="20"/>
                <w:szCs w:val="20"/>
                <w:color w:val="auto"/>
              </w:rPr>
            </w:pPr>
            <w:r>
              <w:rPr>
                <w:rFonts w:ascii="Arial" w:cs="Arial" w:eastAsia="Arial" w:hAnsi="Arial"/>
                <w:sz w:val="18"/>
                <w:szCs w:val="18"/>
                <w:color w:val="auto"/>
              </w:rPr>
              <w:t>registered public accounting firm for the fiscal year ending December 31, 2017.</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6"/>
              </w:rPr>
              <w:t>Toadopt and approve an amendment to our Restated Articles of Incorporation increasing the number of authorized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40" w:type="dxa"/>
            <w:vAlign w:val="bottom"/>
            <w:gridSpan w:val="2"/>
          </w:tcPr>
          <w:p>
            <w:pPr>
              <w:ind w:left="120"/>
              <w:spacing w:after="0"/>
              <w:rPr>
                <w:sz w:val="20"/>
                <w:szCs w:val="20"/>
                <w:color w:val="auto"/>
              </w:rPr>
            </w:pPr>
            <w:r>
              <w:rPr>
                <w:rFonts w:ascii="Arial" w:cs="Arial" w:eastAsia="Arial" w:hAnsi="Arial"/>
                <w:sz w:val="18"/>
                <w:szCs w:val="18"/>
                <w:color w:val="auto"/>
              </w:rPr>
              <w:t>common voting shares (“common stock”) from 50,000,000 to 100,000,000.</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(4)</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4"/>
              </w:rPr>
              <w:t>Toapprove an amendment to our Amended and Restated 2009 Incentive Compensation Plan to reserve an additional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40" w:type="dxa"/>
            <w:vAlign w:val="bottom"/>
            <w:gridSpan w:val="2"/>
          </w:tcPr>
          <w:p>
            <w:pPr>
              <w:ind w:left="120"/>
              <w:spacing w:after="0"/>
              <w:rPr>
                <w:sz w:val="20"/>
                <w:szCs w:val="20"/>
                <w:color w:val="auto"/>
              </w:rPr>
            </w:pPr>
            <w:r>
              <w:rPr>
                <w:rFonts w:ascii="Arial" w:cs="Arial" w:eastAsia="Arial" w:hAnsi="Arial"/>
                <w:sz w:val="18"/>
                <w:szCs w:val="18"/>
                <w:color w:val="auto"/>
              </w:rPr>
              <w:t>1,000,000 shares for issuance under the plan.</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(5)</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Totransact such other business as may properly come before the meeting.</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180" w:type="dxa"/>
            <w:vAlign w:val="bottom"/>
            <w:gridSpan w:val="3"/>
          </w:tcPr>
          <w:p>
            <w:pPr>
              <w:spacing w:after="0"/>
              <w:rPr>
                <w:sz w:val="20"/>
                <w:szCs w:val="20"/>
                <w:color w:val="auto"/>
              </w:rPr>
            </w:pPr>
            <w:r>
              <w:rPr>
                <w:rFonts w:ascii="Arial" w:cs="Arial" w:eastAsia="Arial" w:hAnsi="Arial"/>
                <w:sz w:val="18"/>
                <w:szCs w:val="18"/>
                <w:color w:val="auto"/>
                <w:w w:val="94"/>
              </w:rPr>
              <w:t>You can vote if you were a stockholder of record of our common stock, our Series A 12% Convertible Preferred Stock, our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w w:val="93"/>
              </w:rPr>
              <w:t>Series B-1 Convertible Preferred Stock, our Series B-2 Convertible Preferred Stock or our Series B-3 Convertible Preferred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Stock, as of the close of business on October 16, 2017.</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180" w:type="dxa"/>
            <w:vAlign w:val="bottom"/>
            <w:gridSpan w:val="3"/>
          </w:tcPr>
          <w:p>
            <w:pPr>
              <w:spacing w:after="0"/>
              <w:rPr>
                <w:sz w:val="20"/>
                <w:szCs w:val="20"/>
                <w:color w:val="auto"/>
              </w:rPr>
            </w:pPr>
            <w:r>
              <w:rPr>
                <w:rFonts w:ascii="Arial" w:cs="Arial" w:eastAsia="Arial" w:hAnsi="Arial"/>
                <w:sz w:val="18"/>
                <w:szCs w:val="18"/>
                <w:color w:val="auto"/>
              </w:rPr>
              <w:t>A copy of our 2016 Annual Report on Form 10-K/A, as amended, is included with this proxy statement.</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180" w:type="dxa"/>
            <w:vAlign w:val="bottom"/>
            <w:gridSpan w:val="3"/>
          </w:tcPr>
          <w:p>
            <w:pPr>
              <w:spacing w:after="0"/>
              <w:rPr>
                <w:sz w:val="20"/>
                <w:szCs w:val="20"/>
                <w:color w:val="auto"/>
              </w:rPr>
            </w:pPr>
            <w:r>
              <w:rPr>
                <w:rFonts w:ascii="Arial" w:cs="Arial" w:eastAsia="Arial" w:hAnsi="Arial"/>
                <w:sz w:val="18"/>
                <w:szCs w:val="18"/>
                <w:color w:val="auto"/>
                <w:w w:val="95"/>
              </w:rPr>
              <w:t xml:space="preserve">You may also read our Annual Report and this Notice and proxy statement at </w:t>
            </w:r>
            <w:r>
              <w:rPr>
                <w:rFonts w:ascii="Arial" w:cs="Arial" w:eastAsia="Arial" w:hAnsi="Arial"/>
                <w:sz w:val="18"/>
                <w:szCs w:val="18"/>
                <w:i w:val="1"/>
                <w:iCs w:val="1"/>
                <w:color w:val="auto"/>
                <w:w w:val="95"/>
              </w:rPr>
              <w:t>www.proxyvote.com</w:t>
            </w:r>
            <w:r>
              <w:rPr>
                <w:rFonts w:ascii="Arial" w:cs="Arial" w:eastAsia="Arial" w:hAnsi="Arial"/>
                <w:sz w:val="18"/>
                <w:szCs w:val="18"/>
                <w:color w:val="auto"/>
                <w:w w:val="95"/>
              </w:rPr>
              <w:t xml:space="preserve"> and on our website at</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918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00" w:type="dxa"/>
            <w:vAlign w:val="bottom"/>
            <w:gridSpan w:val="2"/>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80" w:type="dxa"/>
            <w:vAlign w:val="bottom"/>
            <w:vMerge w:val="continue"/>
          </w:tcPr>
          <w:p>
            <w:pPr>
              <w:spacing w:after="0"/>
              <w:rPr>
                <w:sz w:val="24"/>
                <w:szCs w:val="24"/>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w w:val="91"/>
              </w:rPr>
              <w:t>This Notice, the proxy statement and the form of proxy are first being mailed to stockholders on or about November XX, 2017.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9812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60"/>
          </w:cols>
          <w:pgMar w:left="240" w:top="270" w:right="29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2017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December 14, 2017</w:t>
      </w:r>
    </w:p>
    <w:p>
      <w:pPr>
        <w:spacing w:after="0" w:line="21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This proxy statement contains information about the 2017 annual meeting of stockholders (“2017 Annual Meeting”) of Galectin Therapeutics Inc. (referred to in this proxy statement as “Galectin Therapeutics”, “the Company”, “we”, “our” or “us”). The meeting will be held on Thursday, December 14, 2017, beginning at 8:30 a.m. local time, at the offices of Dentons LLP, located at 303 Peachtree Street NE, Suite 5300, Atlanta, GA 30308.</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2017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These proxy materials, together with our annual report to stockholders for our 2016 fiscal year, are first being mailed to stockholders on or about November XX, 2017 and are also available online at www.proxyvote.com and at www.galectintherapeutics.com. The Notice of Internet Availability of Proxy Materials is first being mailed to certain stockholders on or about November XX, 2017. For ease of voting, stockholders are encouraged to vote using the Internet. We encourage you to access and review all of the important information in the proxy materials before voting.</w:t>
      </w:r>
    </w:p>
    <w:p>
      <w:pPr>
        <w:spacing w:after="0" w:line="38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2017 Annual Meeting, stockholders will consider and vote on the following matters:</w:t>
      </w:r>
    </w:p>
    <w:p>
      <w:pPr>
        <w:spacing w:after="0" w:line="131"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the seven nominees named in this proxy statement for director to hold office until the 2018 annual meeting of our stockholders.</w:t>
      </w:r>
    </w:p>
    <w:p>
      <w:pPr>
        <w:spacing w:after="0" w:line="142" w:lineRule="exact"/>
        <w:rPr>
          <w:rFonts w:ascii="Arial" w:cs="Arial" w:eastAsia="Arial" w:hAnsi="Arial"/>
          <w:sz w:val="17"/>
          <w:szCs w:val="17"/>
          <w:color w:val="auto"/>
        </w:rPr>
      </w:pPr>
    </w:p>
    <w:p>
      <w:pPr>
        <w:ind w:left="1140" w:right="62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2017.</w:t>
      </w:r>
    </w:p>
    <w:p>
      <w:pPr>
        <w:spacing w:after="0" w:line="75" w:lineRule="exact"/>
        <w:rPr>
          <w:rFonts w:ascii="Arial" w:cs="Arial" w:eastAsia="Arial" w:hAnsi="Arial"/>
          <w:sz w:val="18"/>
          <w:szCs w:val="18"/>
          <w:color w:val="auto"/>
        </w:rPr>
      </w:pPr>
    </w:p>
    <w:p>
      <w:pPr>
        <w:ind w:left="1140" w:right="24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140" w:right="28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October 16, 2017. Shares outstanding on the record date are the following:</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29,396,617 shares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1,377,500 shares of Series A 12% Convertible Preferred Stock (“Series A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0" w:right="319" w:bottom="1440" w:gutter="0" w:footer="0" w:header="0"/>
        </w:sectPr>
      </w:pPr>
    </w:p>
    <w:bookmarkStart w:id="5" w:name="page6"/>
    <w:bookmarkEnd w:id="5"/>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2,100,000 shares of Series B-2 Convertible Preferred Stock (“Series B-2 Preferred Stock”);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2,508,000 shares of Series B-3 Convertible Preferred Stock (“Series B-3 Preferred Stock”), and together with the Series B-1 Preferred Stock and Series B-2 Preferred Stock, the “Series B Preferred Stock”).</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B-1 Preferred Stock and Series B-2 Preferred Stock entitles the holder to two-thirds of a vote (i.e. three shares of Series B-1 Preferred Stock and Series B-2 Preferred Stock equals two votes) on each matter that is submitted to a vote of holders of our common stock. Each share of our Series B-3 Preferred Stock entitles the holder to 71% of a vote (i.e. 1,789,246 votes total for 2,508,000 shares of Series B-3 Preferred Stock) on each matter that is submitted to a vote of holders of our common stock.</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8,744,704 shares of common stock or the common equivalent of voting Preferred Stock, representing approximately 22% of the total outstanding voting shares at the record date. We expect all of these shares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proposals as described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140" w:hanging="565"/>
        <w:spacing w:after="0" w:line="298"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You may vote by completing and signing the proxy card enclosed with this proxy statement (or by requesting a paper</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9" w:lineRule="exact"/>
        <w:rPr>
          <w:rFonts w:ascii="Arial" w:cs="Arial" w:eastAsia="Arial" w:hAnsi="Arial"/>
          <w:sz w:val="16"/>
          <w:szCs w:val="16"/>
          <w:color w:val="auto"/>
        </w:rPr>
      </w:pPr>
    </w:p>
    <w:p>
      <w:pPr>
        <w:ind w:left="1140" w:right="20" w:hanging="565"/>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by Internet</w:t>
      </w:r>
      <w:r>
        <w:rPr>
          <w:rFonts w:ascii="Arial" w:cs="Arial" w:eastAsia="Arial" w:hAnsi="Arial"/>
          <w:sz w:val="18"/>
          <w:szCs w:val="18"/>
          <w:color w:val="auto"/>
        </w:rPr>
        <w:t>. You may vote over the Internet as instructed on the proxy card enclosed with this proxy statement and accessing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but do not give any instructions on a particular matter described in this proxy statement, the shares you own will be voted in accordance with the recommendations of our Board of Directors.</w:t>
      </w:r>
    </w:p>
    <w:p>
      <w:pPr>
        <w:spacing w:after="0" w:line="85" w:lineRule="exact"/>
        <w:rPr>
          <w:rFonts w:ascii="Arial" w:cs="Arial" w:eastAsia="Arial" w:hAnsi="Arial"/>
          <w:sz w:val="18"/>
          <w:szCs w:val="18"/>
          <w:color w:val="auto"/>
        </w:rPr>
      </w:pPr>
    </w:p>
    <w:p>
      <w:pPr>
        <w:ind w:left="1140" w:right="380" w:hanging="565"/>
        <w:spacing w:after="0" w:line="282"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Ballots will be available at the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jc w:val="center"/>
        <w:ind w:right="220"/>
        <w:spacing w:after="0" w:line="454"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seven nominees to serve as directors on the Board of Directors until our 2018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w:t>
      </w:r>
      <w:r>
        <w:rPr>
          <w:rFonts w:ascii="Arial" w:cs="Arial" w:eastAsia="Arial" w:hAnsi="Arial"/>
          <w:sz w:val="18"/>
          <w:szCs w:val="18"/>
          <w:color w:val="auto"/>
        </w:rPr>
        <w:t>the ratification of the selection of Cherry Bekaert LLP, as our independent registered public accounting firm for the 2017 fiscal year.</w:t>
      </w:r>
    </w:p>
    <w:p>
      <w:pPr>
        <w:spacing w:after="0" w:line="117" w:lineRule="exact"/>
        <w:rPr>
          <w:sz w:val="20"/>
          <w:szCs w:val="20"/>
          <w:color w:val="auto"/>
        </w:rPr>
      </w:pPr>
    </w:p>
    <w:p>
      <w:pPr>
        <w:ind w:left="460" w:right="62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adopting and approving an amendment to our Restated Articles of Incorporation to increase our authorized shares of common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50,000,000 to 100,000,000.</w:t>
      </w:r>
    </w:p>
    <w:p>
      <w:pPr>
        <w:spacing w:after="0" w:line="54"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an amendment to our Amended and Restated 2009 Incentive Compensation Plan to reserve an additional 1,000,000 shares for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directors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2017 fiscal year, (3) “</w:t>
      </w: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to increase our authorized shares of common stock from 50,000,000 to 100,000,000, (4)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Amended and Restated 2009 Incentive Compensation Plan to reserve an additional 1,000,000 shares for issuance under the plan and (5) as to any other business that may come before the 2017 Annual Meeting, in accordance with the judgment of the person or persons named in the proxy.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Your shares may be voted if they are held in the name of a brokerage firm, even if you do not provide the brokerage firm with voting instructions.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proposal to ratify the selection of Cherry Bekaert LLP as our independent auditor for fiscal year 2017 is considered a routine matter for which brokerage firms may vote shares for which they have not received voting instructions. The other proposals to be voted on at our 2017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Yes. You can change your vote and revoke your proxy at any time before the polls close at the meeting by doing any one of the following things:</w:t>
      </w:r>
    </w:p>
    <w:p>
      <w:pPr>
        <w:spacing w:after="0" w:line="14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62"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can I access the proxy materials over the internet?</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may view and also download our proxy materials, including the 2016 Annual Report, our Form 10-K/A for the year ended December 31, 2016, and the Notice by accessing www.proxyvote.com and on our website at www.galectintherapeutics.com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39,657,634 shares of common stock outstanding or deemed outstanding based on voting rights of Series A Preferred Stock or Series B Preferred Stock on an as-converted basis. Thus, 13,219,209 shares must be represented by stockholders present at the meeting or by proxy to have a quorum.</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Directors are elected by a plurality of the votes cast by the holders of shares entitled to vote in the election. There are seven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nominees and seven positions to be filled; this means that the seven individuals receiving the most votes will be elected. Abstentions and broker non-votes will not be relevant to the outcome. Our eighth and ninth directors, whom we refer to as the Series B Directors, are nominated and elected by the holder(s) of the Series B Preferred Stock voting as a separate class.</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The votes cast “for” must exceed the votes cast “against” in order to ratify the selection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Cherry Bekaert LLP, as our independent registered public accounting firm. Abstentions and broker non-votes will not be relevant to the outcome.</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Approval of Amendment to Restated Articles of Incorporation</w:t>
      </w:r>
      <w:r>
        <w:rPr>
          <w:rFonts w:ascii="Arial" w:cs="Arial" w:eastAsia="Arial" w:hAnsi="Arial"/>
          <w:sz w:val="18"/>
          <w:szCs w:val="18"/>
          <w:color w:val="auto"/>
        </w:rPr>
        <w:t>. The minimum vote required for approval of the proposal to amend our Restated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to increase the authorized number of shares of common stock is a majority of all votes entitled to be cast on the matter. Abstentions and broker non-votes will have the same effect as a vote “against”.</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 xml:space="preserve">Approval of Amendment to our Amended and Restated 2009 Incentive Compensation Plan. </w:t>
      </w:r>
      <w:r>
        <w:rPr>
          <w:rFonts w:ascii="Arial" w:cs="Arial" w:eastAsia="Arial" w:hAnsi="Arial"/>
          <w:sz w:val="16"/>
          <w:szCs w:val="16"/>
          <w:color w:val="auto"/>
        </w:rPr>
        <w:t>The affirmative vote of a majority of the votes cast, either</w:t>
      </w:r>
      <w:r>
        <w:rPr>
          <w:rFonts w:ascii="Arial" w:cs="Arial" w:eastAsia="Arial" w:hAnsi="Arial"/>
          <w:sz w:val="16"/>
          <w:szCs w:val="16"/>
          <w:i w:val="1"/>
          <w:iCs w:val="1"/>
          <w:color w:val="auto"/>
        </w:rPr>
        <w:t xml:space="preserve"> </w:t>
      </w:r>
      <w:r>
        <w:rPr>
          <w:rFonts w:ascii="Arial" w:cs="Arial" w:eastAsia="Arial" w:hAnsi="Arial"/>
          <w:sz w:val="16"/>
          <w:szCs w:val="16"/>
          <w:color w:val="auto"/>
        </w:rPr>
        <w:t>for, against or abstain, by the holders of the shares of common stock voting is required to approve the proposed amendment to our Amended and Restated 2009 Incentive Compensation Plan. Abstentions and broker non-votes will have no effect. Additionally,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8" w:name="page9"/>
    <w:bookmarkEnd w:id="8"/>
    <w:p>
      <w:pPr>
        <w:jc w:val="both"/>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ten members. Why are only seven elected at the annual meeting?</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holders of our common stock will vote for the election of seven directors at the 2017 Annual Meeting and the holder(s) of our Series B Preferred Stock have the right, as long as any shares of Series B Preferred Stock are outstanding, to vote as a separate class to elect two additional directors, referred to as the Series B directors, for a total of nine directors. The holder(s) of the Series B Preferred Stock also have the right to limit the number of directors to nine</w:t>
      </w:r>
    </w:p>
    <w:p>
      <w:pPr>
        <w:ind w:right="120"/>
        <w:spacing w:after="0" w:line="302" w:lineRule="auto"/>
        <w:rPr>
          <w:sz w:val="20"/>
          <w:szCs w:val="20"/>
          <w:color w:val="auto"/>
        </w:rPr>
      </w:pPr>
      <w:r>
        <w:rPr>
          <w:rFonts w:ascii="Arial" w:cs="Arial" w:eastAsia="Arial" w:hAnsi="Arial"/>
          <w:sz w:val="16"/>
          <w:szCs w:val="16"/>
          <w:color w:val="auto"/>
        </w:rPr>
        <w:t>(9), which right they have exercised in connection with the 2017 Annual Meeting. The holder(s) of the Series B Preferred Stock also have the right to nominate three of the remaining seven directors, and it has done so. As of October 16, 2017, 10X Fund L.P. is the owner of all of the issued and outstanding shares of the Series B Preferred Stock. For additional information, please see “Security Ownership of Certain Beneficial Owners and Management”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2017 Annual Meeting who will not be an officer, director or nominee.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Your materials may be househeld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Peachtree Industrial Blvd., Suite 240, Norcross, GA 30071, Attention: Corporate Secretary; telephone: 678-620-3186; e-mail: shlevin@galectintherapeutics.com.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July XX, 2018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15, 2018, in order to be considered timely.</w:t>
      </w:r>
    </w:p>
    <w:p>
      <w:pPr>
        <w:spacing w:after="0" w:line="15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can I find the voting results?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2017 Annual Meeting of stockholders. If final voting results are not available to us in time to file a current report on Form 8-K within four business days after the 2017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following table sets forth, as of October 16, 2017, certain information concerning the beneficial ownership of our common stock,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2017 Annual Meeting, except for such separate class votes as are required by law.</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16, 2017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Series A</w:t>
            </w: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Percent of</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Series B</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Common</w:t>
            </w: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Percent of</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Series A</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4160" w:type="dxa"/>
            <w:vAlign w:val="bottom"/>
            <w:gridSpan w:val="2"/>
            <w:vMerge w:val="continue"/>
          </w:tcPr>
          <w:p>
            <w:pPr>
              <w:spacing w:after="0"/>
              <w:rPr>
                <w:sz w:val="15"/>
                <w:szCs w:val="15"/>
                <w:color w:val="auto"/>
              </w:rPr>
            </w:pPr>
          </w:p>
        </w:tc>
        <w:tc>
          <w:tcPr>
            <w:tcW w:w="15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Owned(2)</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Stock(3)</w:t>
            </w:r>
          </w:p>
        </w:tc>
        <w:tc>
          <w:tcPr>
            <w:tcW w:w="13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Stock(4)</w:t>
            </w:r>
          </w:p>
        </w:tc>
        <w:tc>
          <w:tcPr>
            <w:tcW w:w="11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Owned(5)</w:t>
            </w: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90"/>
        </w:trPr>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5% Stockholders</w:t>
            </w:r>
          </w:p>
        </w:tc>
        <w:tc>
          <w:tcPr>
            <w:tcW w:w="28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15,847,044(6)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(10)</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14,287,497(7)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David Smith (11)</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175,000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Richard E. Uihlein (13)</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4,084,447(14)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Other Named Executive Officers</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15,847,044(6)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161,461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182,843(12)</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165,884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73,800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115,894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148,689</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100,081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1,911,339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32,333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380,250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354,096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180"/>
              <w:spacing w:after="0"/>
              <w:rPr>
                <w:sz w:val="20"/>
                <w:szCs w:val="20"/>
                <w:color w:val="auto"/>
              </w:rPr>
            </w:pPr>
            <w:r>
              <w:rPr>
                <w:rFonts w:ascii="Arial" w:cs="Arial" w:eastAsia="Arial" w:hAnsi="Arial"/>
                <w:sz w:val="18"/>
                <w:szCs w:val="18"/>
                <w:b w:val="1"/>
                <w:bCs w:val="1"/>
                <w:color w:val="auto"/>
              </w:rPr>
              <w:t>(11 persons)</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19,473,714(8)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38.8%</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1" w:name="page12"/>
    <w:bookmarkEnd w:id="11"/>
    <w:p>
      <w:pPr>
        <w:ind w:left="452" w:right="340" w:hanging="452"/>
        <w:spacing w:after="0" w:line="277"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the following number of shares of our common stock issuable upon exercise of outstanding stock options granted to our named executive officers and directors that are exercisable within 60 days after October 16, 2017.</w:t>
      </w:r>
    </w:p>
    <w:p>
      <w:pPr>
        <w:spacing w:after="0" w:line="189" w:lineRule="exact"/>
        <w:rPr>
          <w:sz w:val="20"/>
          <w:szCs w:val="20"/>
          <w:color w:val="auto"/>
        </w:rPr>
      </w:pPr>
    </w:p>
    <w:tbl>
      <w:tblPr>
        <w:tblLayout w:type="fixed"/>
        <w:tblInd w:w="452" w:type="dxa"/>
        <w:tblCellMar>
          <w:top w:w="0" w:type="dxa"/>
          <w:left w:w="0" w:type="dxa"/>
          <w:bottom w:w="0" w:type="dxa"/>
          <w:right w:w="0" w:type="dxa"/>
        </w:tblCellMar>
      </w:tblPr>
      <w:tr>
        <w:trPr>
          <w:trHeight w:val="191"/>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Options Exercisable Within 60 Days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57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Peter Traber, M.D.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1,804,005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352,836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3,479,330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line="288"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35,638,698 shares of our common stock outstanding as of October 16, 2017 and (ii) the number of shares of our common stock that such person has the right to acquire within 60 days after October 16, 2017.</w:t>
      </w: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1,377,500 shares of Series A preferred stock outstanding as of October 16, 2017.</w:t>
      </w:r>
    </w:p>
    <w:p>
      <w:pPr>
        <w:spacing w:after="0" w:line="9" w:lineRule="exact"/>
        <w:rPr>
          <w:rFonts w:ascii="Arial" w:cs="Arial" w:eastAsia="Arial" w:hAnsi="Arial"/>
          <w:sz w:val="18"/>
          <w:szCs w:val="18"/>
          <w:color w:val="auto"/>
        </w:rPr>
      </w:pPr>
    </w:p>
    <w:p>
      <w:pPr>
        <w:ind w:left="452" w:right="340" w:hanging="452"/>
        <w:spacing w:after="0" w:line="250"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900,000 shares of Series B-1 preferred stock, 2,100,000 shares of Series B-2 preferred stock and 2,508,000 shares of Series B-3 preferred stock outstanding as of October 16, 2017.</w:t>
      </w:r>
    </w:p>
    <w:p>
      <w:pPr>
        <w:ind w:left="452" w:right="80" w:hanging="452"/>
        <w:spacing w:after="0" w:line="250"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7,248,680 common shares issuable upon exercise of warrants; (v) 2,000,000 shares of common stock acquired upon exercise of warrants; and (vi) 1,249,471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16,667 shares of our common stock issuable upon conversion of Series A preferred stock owned by Mr. Czirr.</w:t>
      </w:r>
    </w:p>
    <w:p>
      <w:pPr>
        <w:spacing w:after="0" w:line="3"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7,248,680 common shares issuable upon exercise of warrants; (v) 2,000,000 shares of common stock acquired upon exercise of warrants; and (vi) 1,249,471 common shares issued as stock dividends paid on the Series B preferred stock which is net shares sold or distributed to 10X Fund limited partners, as to which Mr. Czirr, in his capacity as a managing member of 10X Management, the general partner of 10X Fund, has shared voting and investment power, and disclaims beneficial ownership. Mr. Czirr,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ind w:left="452" w:right="120" w:hanging="452"/>
        <w:spacing w:after="0" w:line="254"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11,038,026 common shares issuable upon conversion of the shares of Series B preferred stock and exercise of warrants and (ii) 3,249,471 common shares acquired upon exercise of warrants or issued as stock dividends on the Series B preferred stock net shares sold or distributed to 10X Fund limited partners, as to which Mr. Czirr has voting and investment control but are counted one time for purposes of this total. For additional information about the beneficial ownership of our capital stock by Mr. Czirr, see notes 6.</w:t>
      </w:r>
    </w:p>
    <w:p>
      <w:pPr>
        <w:spacing w:after="0" w:line="12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32"/>
          </w:cols>
          <w:pgMar w:left="248" w:top="274" w:right="319" w:bottom="1440" w:gutter="0" w:footer="0" w:header="0"/>
        </w:sectPr>
      </w:pPr>
    </w:p>
    <w:bookmarkStart w:id="12" w:name="page13"/>
    <w:bookmarkEnd w:id="12"/>
    <w:p>
      <w:pPr>
        <w:ind w:left="452" w:right="40" w:hanging="452"/>
        <w:spacing w:after="0" w:line="258"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Smith is the manager of Fivex LLC, a Connecticut limited liability company, and may be deemed to have voting and investment control over, but disclaims beneficial ownership of, the shares of Series A preferred stock.</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10X Capital Management, LLC 1099 Forest Lake Terrace, Niceville, FL 32578.</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107,236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ind w:left="452" w:right="300" w:hanging="452"/>
        <w:spacing w:after="0" w:line="261"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2,534,909 shares of common stock, (ii) 1,466,204 common shares issuable upon the exercise of common stock purchase warrants and (iii) 83,333 common shares issuable upon conversion of Series C preferred non-voting stock.</w:t>
      </w:r>
    </w:p>
    <w:p>
      <w:pPr>
        <w:spacing w:after="0" w:line="11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52"/>
          </w:cols>
          <w:pgMar w:left="248" w:top="274" w:right="3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Except as set forth in our Annual Report filed on Form 10-K/A for the year ended December 31, 2016, all reports were timely filed during the fiscal year ended December 31,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of our Board of Directors, or “Board”, has nominated four members currently serving on our Board, identified below under the subheading “Company Nominees”, to be re-elected at the 2017 Annual Meeting to serve until the 2018 annual meeting of stockholders and until their respective successors are elected and qualified. Each Company Nominee has agreed to serve on the Board, if elected. The terms of current directors Peter G. Traber, M.D., John Mauldin, Steven Prelack and Arthur R. Greenberg will expire at the 2017 Annual Meeting and none of them have been nominated for re-election as a director at the 2017 Annual Meeting. Dr. Traber will continue as CEO, President and CMO of the Company under the terms of his employment agreement</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Nominating and Corporate Governance Committee is nominating only four directors to be elected to the Board of Directors because James C. Czirr and Theodore Zucconi, Ph.D. are the two directors who are nominated and elected by the holder(s) of the Series B Preferred Stock voting as a separate class (the “Series B Directors”). In addition, the holder(s) of the Series B Preferred Stock have the right, and have exercised the right, to nominate three additional directors to the Board, Joel Lewis, Richard Uihlein and Stephen Shulman (the “Series B Nominees”). Each of the Series B Nominees has consented to be named in this proxy statement and to serve on the Board, if elected. As of October 16, 2017, 10X Fund L.P. is the owner of all of the issued and outstanding shares of the Series B Preferred Stock. James C. Czirr, one of the Series B Directors, is managing member of 10X Capital Management LLC, the general partner of 10X Fund L.P. Richard Uihlein, one of the Series B Nominees, is a limited partner in 10X Fund L.P., and is a holder of more than 5% of our issued and outstanding common stock and more than 5% of our outstanding Series C Preferred Stock. Joel Lewis is an employee of Uline Inc., a corporation for which Richard Uihlein is a controlling shareholder and serves as chief executive officer.</w:t>
      </w:r>
    </w:p>
    <w:p>
      <w:pPr>
        <w:spacing w:after="0" w:line="182"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If all of the nominees are elected at the 2017 Annual Meeting, our Board of Directors will have nine members, including the Series B Directors. Set forth below is information regarding the Company Nominees and the Series B Nominees, as of October 17, 2017, including their ages, positions with Galectin Therapeutics, recent employment and other directorships. Background information with respect to the Series B Directors is also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persons who have been nominated for election at the 2017 Annual Meeting to serve on our Board of Directors are named in the table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3"/>
          </w:tcPr>
          <w:p>
            <w:pPr>
              <w:ind w:left="16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9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c>
          <w:tcPr>
            <w:tcW w:w="284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 (2)(3)</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290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60" w:type="dxa"/>
            <w:vAlign w:val="bottom"/>
            <w:shd w:val="clear" w:color="auto" w:fill="CCEEFF"/>
          </w:tcPr>
          <w:p>
            <w:pPr>
              <w:spacing w:after="0"/>
              <w:rPr>
                <w:sz w:val="17"/>
                <w:szCs w:val="17"/>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Kevin D. Freeman (1)</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2900" w:type="dxa"/>
            <w:vAlign w:val="bottom"/>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18"/>
                <w:szCs w:val="18"/>
                <w:color w:val="auto"/>
              </w:rPr>
            </w:pP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Rubin, M.D (2)(3).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Gilbert S. Omenn, M.D., Ph.D. (2)</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900" w:type="dxa"/>
            <w:vAlign w:val="bottom"/>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20"/>
                <w:szCs w:val="20"/>
                <w:color w:val="auto"/>
              </w:rPr>
            </w:pP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9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3"/>
        </w:trPr>
        <w:tc>
          <w:tcPr>
            <w:tcW w:w="1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Joel Lewis.</w:t>
            </w:r>
          </w:p>
        </w:tc>
        <w:tc>
          <w:tcPr>
            <w:tcW w:w="2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2900" w:type="dxa"/>
            <w:vAlign w:val="bottom"/>
            <w:tcBorders>
              <w:top w:val="single" w:sz="8" w:color="CCEEFF"/>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Director</w:t>
            </w:r>
          </w:p>
        </w:tc>
        <w:tc>
          <w:tcPr>
            <w:tcW w:w="5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9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Shulman.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expect each of the Series B Nominees to serve on one or more committees of the Board, which will be determined following the 2017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has provided consulting and advisory services through GFA, LLC, a California limited liability company. He was a Senior Partner of Sienna Ventures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privately-held venture capital firm in Sausalito, California) from April 2001 until the fund closed per plan on December 31, 2011. Dr. Amelio was Chairman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Chief Executive Officer of Jazz Technologies, Inc. (now a wholly owned subsidiary of Tower Semiconductor Ltd., an independent specialty wafer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foundry) from August 2005 until his retirement in September 2008 (when he was named Chairman Emeritus). Dr. Amelio was Chairman and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of Beneventure Capital, LLC (a full-service venture capital firm in San Francisco, California) from 1999 to 2005 and was Principal of Aircraft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Ventures, LLC (a consulting firm in Newport Beach, California) from April 1997 to December 2004. Dr. Amelio was elected a Director of AT&amp;T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and had previously served as an Advisory Director of AT&amp;T (then known as SBC Communications Inc.) from April 1997 to February 2001. He 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Director of Pacific Telesis Group from 1995 until the company was acquired by AT&amp;T in 1997. Prior to 1997, he served as Chairman, President and CEO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National Semiconductor (1991-1996) and Apple Computer (1996-1997). We believe Dr. Amelio’s qualifications to sit on our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includes his executive leadership and management experience, as well as his extensive experience with global companies, his financial expertise and his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experience providing strategic advisory services to organizations.</w:t>
      </w:r>
    </w:p>
    <w:p>
      <w:pPr>
        <w:spacing w:after="0" w:line="21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since January 2016, is Executive Chairman of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6" w:name="page17"/>
    <w:bookmarkEnd w:id="16"/>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of Bristol-Myers Squibb Company. We believe Dr. Rubin’s qualifications to sit on our Board of Directors include his extensive executive leadership and management experience in the pharmaceutical industry.</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Gilbert S. Omenn, M.D., Ph.D.</w:t>
      </w:r>
      <w:r>
        <w:rPr>
          <w:rFonts w:ascii="Arial" w:cs="Arial" w:eastAsia="Arial" w:hAnsi="Arial"/>
          <w:sz w:val="17"/>
          <w:szCs w:val="17"/>
          <w:color w:val="auto"/>
        </w:rPr>
        <w:t>, a director since September 2014, served on the board of directors of Amgen Inc. for 27 years and of Rohm &amp; Haas</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He is the author of more than 563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Nominees</w:t>
      </w:r>
    </w:p>
    <w:p>
      <w:pPr>
        <w:spacing w:after="0" w:line="121"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i w:val="1"/>
          <w:iCs w:val="1"/>
          <w:color w:val="auto"/>
        </w:rPr>
        <w:t>Richard E. Uihlein</w:t>
      </w:r>
      <w:r>
        <w:rPr>
          <w:rFonts w:ascii="Arial" w:cs="Arial" w:eastAsia="Arial" w:hAnsi="Arial"/>
          <w:sz w:val="17"/>
          <w:szCs w:val="17"/>
          <w:color w:val="auto"/>
        </w:rPr>
        <w:t>, a new nominee to our Board, co-founded Uline, Inc. (a leading distributor of shipping, packaging and industrial supplies) in 1980,</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Stephen Shulman</w:t>
      </w:r>
      <w:r>
        <w:rPr>
          <w:rFonts w:ascii="Arial" w:cs="Arial" w:eastAsia="Arial" w:hAnsi="Arial"/>
          <w:sz w:val="17"/>
          <w:szCs w:val="17"/>
          <w:color w:val="auto"/>
        </w:rPr>
        <w:t>, a new nominee to our Board, is the Chief Executive Officer of Medical Devices Inc. (MDI), a position he has held since 1982. MDI</w:t>
      </w:r>
      <w:r>
        <w:rPr>
          <w:rFonts w:ascii="Arial" w:cs="Arial" w:eastAsia="Arial" w:hAnsi="Arial"/>
          <w:sz w:val="17"/>
          <w:szCs w:val="17"/>
          <w:i w:val="1"/>
          <w:iCs w:val="1"/>
          <w:color w:val="auto"/>
        </w:rPr>
        <w:t xml:space="preserve"> </w:t>
      </w:r>
      <w:r>
        <w:rPr>
          <w:rFonts w:ascii="Arial" w:cs="Arial" w:eastAsia="Arial" w:hAnsi="Arial"/>
          <w:sz w:val="17"/>
          <w:szCs w:val="17"/>
          <w:color w:val="auto"/>
        </w:rPr>
        <w:t>is responsible for numerous medical device startups such as defibrillator electrodes, Fiberoptic pressure sensors, occlusive dressings, surgical glue, non-invasive body temperature control and end stage renal care. Prior to the formation of MDI, he was Director of Sales and Marketing/Asia Pacific for Medtronic from 1970 to 1981. Mr. Shulman received a B.S.C. in microbiology and physics from Wayne State University. We believe that Mr. Shulman is best situated to sit on our Board because of his extensive executive leadership and management experience in the medical device industry.</w:t>
      </w:r>
    </w:p>
    <w:p>
      <w:pPr>
        <w:spacing w:after="0" w:line="17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new nominee to our Board, is the Managing Director of Shareholder Services at Uline, Inc. (a distributor of shipping, packaging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supplies), a position he has held since 2007. Prior to his employment with Uline Inc., Mr. Lewis served as a Tax and Accounting Manager for Century America LLC from 2001 to 2006 and a Tax Manager for Deloitte &amp; Touche from 1998 to 2001. Mr. Lewis received his undergraduate degree from the University of Illinois at Urbana-Champaign and his Masters in Science of Taxation from DePaul University. We believe that Mr. Lewis’ qualifications to sit on our Board include his business and financial expertise and his service as a board observer on our Board during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Directors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persons below have been nominated and will be elected by the holder(s) of the Series B Preferred Stock voting as a separate class to serve on our Board of Directors. These directors are not subject to election by the holders of our common stock at the 2017 Annual Meeting, and proxies cannot be voted for these directors.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440" w:type="dxa"/>
            <w:vAlign w:val="bottom"/>
          </w:tcPr>
          <w:p>
            <w:pPr>
              <w:spacing w:after="0"/>
              <w:rPr>
                <w:sz w:val="16"/>
                <w:szCs w:val="16"/>
                <w:color w:val="auto"/>
              </w:rPr>
            </w:pPr>
          </w:p>
        </w:tc>
        <w:tc>
          <w:tcPr>
            <w:tcW w:w="40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Age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Director Since</w:t>
            </w: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3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7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tcPr>
          <w:p>
            <w:pPr>
              <w:jc w:val="right"/>
              <w:ind w:right="1756"/>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7" w:name="page18"/>
    <w:bookmarkEnd w:id="17"/>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C. Czirr</w:t>
      </w:r>
      <w:r>
        <w:rPr>
          <w:rFonts w:ascii="Arial" w:cs="Arial" w:eastAsia="Arial" w:hAnsi="Arial"/>
          <w:sz w:val="16"/>
          <w:szCs w:val="16"/>
          <w:color w:val="auto"/>
        </w:rPr>
        <w:t>, Chairman of the Board since February 2009 and Executive Chairman from February 2010 until January 2016, is a co-founder of 10X</w:t>
      </w:r>
      <w:r>
        <w:rPr>
          <w:rFonts w:ascii="Arial" w:cs="Arial" w:eastAsia="Arial" w:hAnsi="Arial"/>
          <w:sz w:val="16"/>
          <w:szCs w:val="16"/>
          <w:i w:val="1"/>
          <w:iCs w:val="1"/>
          <w:color w:val="auto"/>
        </w:rPr>
        <w:t xml:space="preserve"> </w:t>
      </w:r>
      <w:r>
        <w:rPr>
          <w:rFonts w:ascii="Arial" w:cs="Arial" w:eastAsia="Arial" w:hAnsi="Arial"/>
          <w:sz w:val="16"/>
          <w:szCs w:val="16"/>
          <w:color w:val="auto"/>
        </w:rPr>
        <w:t>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Theodore Zucconi, Ph.D.</w:t>
      </w:r>
      <w:r>
        <w:rPr>
          <w:rFonts w:ascii="Arial" w:cs="Arial" w:eastAsia="Arial" w:hAnsi="Arial"/>
          <w:sz w:val="16"/>
          <w:szCs w:val="16"/>
          <w:color w:val="auto"/>
        </w:rPr>
        <w:t>, served as president, CEO and business development director of Galectin Therapeutics from September 2007 through May</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2012. Dr. Zucconi served as a senior management consultant to Los Alamos National Laboratory from May 2002 through September 2007. Dr. Zucconi is a senior management consultant and a member of the board of directors of PMTec Inc., a position that he has held since 2001. Dr. Zucconi has also served as President of Implementation Edge LLC since 2002, Dr. Zucconi held senior management positions with Northern Telecom, Bell Northern Research, Motorola and Hadco Corporations. During his more than 33 years in the electronics and telecommunications industries he authored over 12 patents and received one outstanding invention award related to electronic components and manufacturing processes. As Director of Motorola University, he received an ASTD award for project management training, development and implementation. Dr. Zucconi received a B.S. in Chemistry from Villanova University, a M.S. in Chemistry from University of Connecticut, and a Ph.D. in Chemistry from the State University of New York, an Executive MBA in International Finance from Thunderbird University and is a Stanford Certified Project/Program Manager. We believe that Dr. Zucconi is best situated to sit on our Board of Directors because of his experience in working for the Company in the past and his industry experience.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KEY EMPLOYEES AND KEY CONSULTANTS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Peter G. Traber, M.D., </w:t>
      </w:r>
      <w:r>
        <w:rPr>
          <w:rFonts w:ascii="Arial" w:cs="Arial" w:eastAsia="Arial" w:hAnsi="Arial"/>
          <w:sz w:val="17"/>
          <w:szCs w:val="17"/>
          <w:color w:val="auto"/>
        </w:rPr>
        <w:t>age 62</w:t>
      </w:r>
      <w:r>
        <w:rPr>
          <w:rFonts w:ascii="Arial" w:cs="Arial" w:eastAsia="Arial" w:hAnsi="Arial"/>
          <w:sz w:val="17"/>
          <w:szCs w:val="17"/>
          <w:i w:val="1"/>
          <w:iCs w:val="1"/>
          <w:color w:val="auto"/>
        </w:rPr>
        <w:t xml:space="preserve">, </w:t>
      </w:r>
      <w:r>
        <w:rPr>
          <w:rFonts w:ascii="Arial" w:cs="Arial" w:eastAsia="Arial" w:hAnsi="Arial"/>
          <w:sz w:val="17"/>
          <w:szCs w:val="17"/>
          <w:color w:val="auto"/>
        </w:rPr>
        <w:t>a director since February 2009, became President and Chief Executive Officer in March 2011, and is also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Officer. 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w:t>
      </w:r>
    </w:p>
    <w:p>
      <w:pPr>
        <w:spacing w:after="0" w:line="17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age 68, became our Chief Operating Officer and Secretary on October 1, 2012. Dr. Shlevin previously had been employed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Jack W. Callicutt</w:t>
      </w:r>
      <w:r>
        <w:rPr>
          <w:rFonts w:ascii="Arial" w:cs="Arial" w:eastAsia="Arial" w:hAnsi="Arial"/>
          <w:sz w:val="17"/>
          <w:szCs w:val="17"/>
          <w:color w:val="auto"/>
        </w:rPr>
        <w:t>, age 50, became our Chief Financial Officer on July 1, 2013. From August 2012 through June 2012, Mr. Callicutt was the Chief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Officer of REACH Health, Inc., a telemedicine technology company headquartered in Alpharetta, GA. From April 2010 through August 2012,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Callicutt was the Chief Financial Officer of Vystar Corporation, a publicly-traded company that holds proprietary technology to remove antigenic proteins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natural rubber latex. Prior to that Mr. Callicutt was Chief Financial Officer of IVOX, Inc., Tikvah Therapeutics and Corautus Genetics, a publicly-traded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biotechnology company which was developing gene therapy for treatment of cardiovascular disease. Mr. Callicutt previously spent more than fourteen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public accounting, most recently as a senior manager at Deloitte, where he specialized in technology companies from 1989 to 2003. Mr. Callicutt is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 and graduated with honors from Delta State University with a B.B.A. in accounting and computer information systems.</w:t>
      </w:r>
    </w:p>
    <w:p>
      <w:pPr>
        <w:spacing w:after="0" w:line="22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48,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9" w:name="page20"/>
    <w:bookmarkEnd w:id="19"/>
    <w:p>
      <w:pPr>
        <w:ind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Eliezer Zomer, Ph.D., </w:t>
      </w:r>
      <w:r>
        <w:rPr>
          <w:rFonts w:ascii="Arial" w:cs="Arial" w:eastAsia="Arial" w:hAnsi="Arial"/>
          <w:sz w:val="18"/>
          <w:szCs w:val="18"/>
          <w:color w:val="auto"/>
        </w:rPr>
        <w:t>age 70, has been our Executive Vice President of Manufacturing and Product Development since the Company’s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Board currently consists of ten directors, four of whom have been nominated for re-election at our 2017 Annual Meeting of stockholders and two of whom have been nominated and will be elected by the holder of our Series B Preferred Stock voting as a separate class. Three persons (referred to as the Series B Nominees) have been nominated for election to the Board by the holder of our Series B Preferred Stock. While none of the Series B Nominees have previously served on the Board, Joel Lewis served as an observer to the Board during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Board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met five times in 2016. Dr. Gilbert S. Omenn (chair), Gilbert F. Amelio, Ph.D. and Marc Rubin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Audit Committee met four times in 2016. The members of this committee are Steven Prelack (chair), Arthur Greenberg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21" w:name="page22"/>
    <w:bookmarkEnd w:id="21"/>
    <w:p>
      <w:pPr>
        <w:jc w:val="both"/>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Mr. Prelack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met three times in 2016. Gilbert F. Amelio, Ph.D. (chair), John Mauldin and Marc Rubin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Relations/Public Relations Committee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Investor Relation/Public Relations Committee met once in 2016. James C. Czirr, Theodore Zucconi and Arthur Greenberg are the members of the Investor Relations/Public Relations Committee. The Investor Relations/Public Relations Committee is responsible for (a) assisting the Board with strategic direction and overall status of our investor relations and public relations programs and associated activities and (b) providing input and guidance regarding material investor relations and public relations issues.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Board has reviewed the materiality of any relationship that each of our directors has with the Company, either directly or indirectly. Based upon this review, our Board has determined that all of our presently serving directors other than Dr. Traber, our chief executive officer, and Mr. Czirr are “independent directors” as defined by The NASDAQ Stock Market. The Board has also determined that the Series B Nominees, Mr. Uihlein, Mr. Lewis and Mr. Shulman, who have been nominated for election at 2017 Annual Meeting, will be “independent directors” as defined by The NASDAQ Stock Market. Our Board also determined that Dr. Amelio, Dr. Rubin and Mr. Mauldin, who comprise our presently serving Nominating and Corporate Governance Committee, all satisfy the independence standards for such committee established by the SEC and the NASDAQ Marketplace Rules. With respect to our presently serving Audit Committee, our Board of directors has determined that Messrs. Prelack, Greenberg and Freeman satisfy the independence standards for such committee established by Rule 10A-3 under the Exchange Act, the SEC and the NASDAQ Marketplace Rules, as applicable. With respect to our presently serving Compensation Committee, our Board of directors has determined that Drs. Omenn, Amelio and Rubin satisfy the independence standards for such committee established by Rule 10C-1 under the Exchange Act, the SEC and the NASDAQ Marketplace Rules, as applicable.</w:t>
      </w:r>
    </w:p>
    <w:p>
      <w:pPr>
        <w:spacing w:after="0" w:line="16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making such determinations, our Board considered the relationships that each such non-employee director or director nominee has with our company and all other facts and circumstances our Board deemed relevant in determining their independence, including the beneficial ownership of our capital stock by 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non-employee director. In considering the independence of our directors, our Board considered the association of each such non-employee director has with us and all other facts and circumstances our Board deemed relevant in determining independence.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Except as set forth below, since the beginning of fiscal year 2016,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2016.</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On September 22, 2016, we entered into a securities purchase agreement (the “B-3 Agreement”) pursuant to which we agreed to issue and sell to 10X Fund LP, a holder of more than 5% of our issued and outstanding common stock and 100% of our outstanding Series B Preferred Stock: (i) 1,500,000 shares of our Series B-3 Preferred Stock with an aggregate stated value and proceeds of $1,500,000 and convertible into 892,349 shares of common stock, and</w:t>
      </w:r>
    </w:p>
    <w:p>
      <w:pPr>
        <w:ind w:right="60" w:firstLine="8"/>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warrants to purchase up to 669,262 shares of common stock. Also, pursuant to agreements signed on September 22, 2016 with 10X Fund LP, we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 Preferred Stock, in the Second Amended and Restated Certificate of Designation of Preferences, Rights and Limitations of Series B Preferred Stock we removed the ability of the holders of the Series B Preferred Stock to cause a redemption of their shares of Series B Preferred Stock. On December 23, 2016, the Company and 10X Fund LP amended the B-3 Agreement whereby the Company agreed to issue and sell to 10X Fund LP an additional</w:t>
      </w:r>
    </w:p>
    <w:p>
      <w:pPr>
        <w:spacing w:after="0" w:line="4" w:lineRule="exact"/>
        <w:rPr>
          <w:rFonts w:ascii="Arial" w:cs="Arial" w:eastAsia="Arial" w:hAnsi="Arial"/>
          <w:sz w:val="16"/>
          <w:szCs w:val="16"/>
          <w:color w:val="auto"/>
        </w:rPr>
      </w:pPr>
    </w:p>
    <w:p>
      <w:pPr>
        <w:ind w:right="42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1,008,000 shares of our Series B-3 Preferred Stock with an aggregate stated value and proceeds of $1,008,000 and convertible into 896,997 shares of common stock, and (ii) warrants to purchase up to 924,780 shares of common stock. As noted above, James C. Czirr, one of our directors, is managing member of 10X Capital Management LLC, the general partner of 10X Fund, L.P.</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3" w:name="page24"/>
    <w:bookmarkEnd w:id="23"/>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on December 22, 2016, we entered into a subscription agreement with Richard Uihlein, a Series B Nominee and a holder of more than 5% of our issued and outstanding common stock and more than 5% of our outstanding Series C Preferred Stock. Pursuant to the subscription agreements, we issued 1,954,939 shares of common stock and common stock warrants to purchase 1,466,204 shares of common stock in exchange for an aggregate purchase price of $2,000,000. The price for a unit of one share of common stock and a common stock warrants to acquire 0.75 for each share of common stock was equal to the most recent closing price of a share of our common stock plus $0.09375. Pursuant to the subscription agreement, we agreed that within 90 days of a final closing of our offering of common stock we will register for resale the shares of common stock sold to Mr. Uihlein as well as the shares of common stock issuable upon exercise of warrants. Each common stock warrant is exercisable at $5.00 per share of common stock at any time after the date that is six months after issuance until the seventh anniversary of the respective issue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 Nominating and Corporate Governance, or Nominating Committee, is responsible for, among other things, selection of candidates for the annual slate of directors other than the Series B Nominees and the Series B Directors. The Nominating Committee does not select the Series B Directors, who are nominated and elected by the holder(s) of the Series B Preferred Stock. In addition, the holder(s) of the Series B Preferred Stock have the right, and have exercised the right, to nominate three additional directors identified above as the Series B Nominees. The Nominating Committee does not have the right to disapprove the Series B Nominees and has included the Series B Nominees in this proxy statement. Nonetheless, the Company engages in discussions with the holder of the Series B Preferred Stock regarding director nominees.</w:t>
      </w:r>
    </w:p>
    <w:p>
      <w:pPr>
        <w:spacing w:after="0" w:line="178"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2017 Annual Meeting other than the Series B Nominees.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believes that our Chairman is best situated to serve as Chairman of the Board because he is very familiar with our business and industry. Further, it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2016, there were 14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have a formal policy requiring members of the Board to attend the annual meeting, although all directors are strongly encouraged to attend.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2016 annual meeting of stockholders, all of the then current board members were present except for Gil Omenn.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Board has an active role, as a whole and also at the committee level, in overseeing management of our risks. The Board regularly reviews information regarding our credit, liquidity and operations, as well as the risks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 of multiple compensation vehicles that provide a balance of long- and short-term incentives with fixed and variable components; and</w:t>
      </w:r>
    </w:p>
    <w:p>
      <w:pPr>
        <w:spacing w:after="0" w:line="142" w:lineRule="exact"/>
        <w:rPr>
          <w:rFonts w:ascii="Arial" w:cs="Arial" w:eastAsia="Arial" w:hAnsi="Arial"/>
          <w:sz w:val="17"/>
          <w:szCs w:val="17"/>
          <w:color w:val="auto"/>
        </w:rPr>
      </w:pPr>
    </w:p>
    <w:p>
      <w:pPr>
        <w:ind w:left="900" w:right="18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considering whether to recommend any candidate for inclusion in the Board’s slate of recommended director nominees (other than the Series B Directors and the Series B Nominees),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6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Based upon the review and discussions referred to above, the Audit Committee recommended to our Board of Directors that the audited financial statements of Galectin Therapeutics for the 2016 fiscal year be included in the Annual Report filed on Form 10-K/A for the year ended December 31, 2016.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Audit Committee of the Board of Directors of Galectin Therapeutic Inc.</w:t>
      </w:r>
    </w:p>
    <w:p>
      <w:pPr>
        <w:spacing w:after="0" w:line="117"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Steven Prelack, Chair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Arthur R. Greenberg</w:t>
      </w:r>
    </w:p>
    <w:p>
      <w:pPr>
        <w:spacing w:after="0" w:line="1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759"/>
          </w:cols>
          <w:pgMar w:left="700" w:top="274"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2016. See “Executive Compensation” for a description of compensation for Dr. Traber.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Fees Earned</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Restricted</w:t>
            </w: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continue"/>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00" w:type="dxa"/>
            <w:vAlign w:val="bottom"/>
            <w:vMerge w:val="restart"/>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Cash ($)</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540" w:type="dxa"/>
            <w:vAlign w:val="bottom"/>
          </w:tcPr>
          <w:p>
            <w:pPr>
              <w:spacing w:after="0"/>
              <w:rPr>
                <w:sz w:val="15"/>
                <w:szCs w:val="15"/>
                <w:color w:val="auto"/>
              </w:rPr>
            </w:pPr>
          </w:p>
        </w:tc>
        <w:tc>
          <w:tcPr>
            <w:tcW w:w="90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90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5"/>
                <w:szCs w:val="15"/>
                <w:color w:val="auto"/>
              </w:rPr>
            </w:pPr>
          </w:p>
        </w:tc>
        <w:tc>
          <w:tcPr>
            <w:tcW w:w="62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28,685</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75,685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35,729</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46,000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45,000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28,685</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73,685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28,685</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78,685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75,146</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35,597</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110,743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8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2016. Options were granted on December 15, 2016 and will vest in full at the date of the 2017 Annual Meeting. For a description of the assumptions used to determine these amounts, see Note 7 to the Notes to the Consolidated Financial Statements in our Annual Report on Form 10-K/A for the fiscal year ended December 31, 2016.</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40" w:type="dxa"/>
            <w:vAlign w:val="bottom"/>
            <w:vMerge w:val="restart"/>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940" w:type="dxa"/>
            <w:vAlign w:val="bottom"/>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653,250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47,964</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34,449</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Operations—Critical Accounting Policies and Estimates— Stock-Based Compensation” included in the Form 10-K/A for the 2016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Company’s cash compensation program for directors, which was implemented in March 2015,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membership retainers, the Nominating and Corporate Governance Committee Chairman will receive an annual cash retainer of $7,000; the Compensation Committee Chairman will receive an annual cash retainer of $10,000; and the Audit Committee Chairman will receive an annual cash retainer of $15,000. The Board Chairman will receive an additional annual cash retainer of $35,000. Additionally, in December 2016, the Board approved cash retainers of $3,500 to be paid to each member of the Board’s investor relation/public relations committee and an additional cash retainer of $3,500 to be paid to the investor relations/public relations committee chair, in each case beginning in 2017.</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December 15, 2016, stock option grants were made to non-employee directors which vest 100% at the date of the 2017 Annual Meeting. The Chairman was granted 51,500 stock options, the chairs of the Nominating and Corporate Governance Committee, the Audit Committee and the Compensation Committee were each granted 41,500 stock options and remaining non-employee directors were each granted 31,250 stock options.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following table provides information as of December 31, 2016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w w:val="94"/>
              </w:rPr>
              <w:t>Weighted-</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Number of Securities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54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of</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18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outstanding options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1200"/>
              <w:spacing w:after="0" w:line="158" w:lineRule="exact"/>
              <w:rPr>
                <w:sz w:val="20"/>
                <w:szCs w:val="20"/>
                <w:color w:val="auto"/>
              </w:rPr>
            </w:pPr>
            <w:r>
              <w:rPr>
                <w:rFonts w:ascii="Arial" w:cs="Arial" w:eastAsia="Arial" w:hAnsi="Arial"/>
                <w:sz w:val="14"/>
                <w:szCs w:val="14"/>
                <w:b w:val="1"/>
                <w:bCs w:val="1"/>
                <w:color w:val="auto"/>
                <w:w w:val="86"/>
              </w:rPr>
              <w:t>options</w:t>
            </w: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3,240,219</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ind w:left="1180"/>
              <w:spacing w:after="0" w:line="203" w:lineRule="exact"/>
              <w:rPr>
                <w:sz w:val="20"/>
                <w:szCs w:val="20"/>
                <w:color w:val="auto"/>
              </w:rPr>
            </w:pPr>
            <w:r>
              <w:rPr>
                <w:rFonts w:ascii="Arial" w:cs="Arial" w:eastAsia="Arial" w:hAnsi="Arial"/>
                <w:sz w:val="18"/>
                <w:szCs w:val="18"/>
                <w:color w:val="auto"/>
                <w:w w:val="79"/>
              </w:rPr>
              <w:t>166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holders (1)</w:t>
            </w:r>
          </w:p>
        </w:tc>
        <w:tc>
          <w:tcPr>
            <w:tcW w:w="1320" w:type="dxa"/>
            <w:vAlign w:val="bottom"/>
          </w:tcPr>
          <w:p>
            <w:pPr>
              <w:jc w:val="right"/>
              <w:spacing w:after="0"/>
              <w:rPr>
                <w:sz w:val="20"/>
                <w:szCs w:val="20"/>
                <w:color w:val="auto"/>
              </w:rPr>
            </w:pPr>
            <w:r>
              <w:rPr>
                <w:rFonts w:ascii="Arial" w:cs="Arial" w:eastAsia="Arial" w:hAnsi="Arial"/>
                <w:sz w:val="18"/>
                <w:szCs w:val="18"/>
                <w:color w:val="auto"/>
              </w:rPr>
              <w:t>1,416,669</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7.02</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4.30</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320" w:hanging="572"/>
        <w:spacing w:after="0" w:line="34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2016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G. Traber, M.D.</w:t>
            </w:r>
          </w:p>
        </w:tc>
        <w:tc>
          <w:tcPr>
            <w:tcW w:w="2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83"/>
              </w:rPr>
              <w:t>Peter</w:t>
            </w:r>
          </w:p>
        </w:tc>
        <w:tc>
          <w:tcPr>
            <w:tcW w:w="33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w w:val="91"/>
              </w:rPr>
              <w:t>Chief Executive Officer, President and Director</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3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34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4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Philosophy</w:t>
      </w:r>
    </w:p>
    <w:p>
      <w:pPr>
        <w:spacing w:after="0" w:line="121"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At our 2016 annual meeting of stockholders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2019 annual meeting of stockholders.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of our competitor companies. These findings continued to inform the Compensation Committee’s decisions on compensation in 2016.</w:t>
      </w:r>
    </w:p>
    <w:p>
      <w:pPr>
        <w:spacing w:after="0" w:line="18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Compensation Committee plans to use a compensation consultant in the future and to take into account publicly-available data relating to the compensation practices and policies of other companies within and outside our industry. For 2016 and future years, the Compensation Committee intends to benchmark its executive compensation program to target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0" w:name="page31"/>
    <w:bookmarkEnd w:id="30"/>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performance bonuses;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7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February 2016, the Compensation Committee reviewed the base salaries of our NEOs, taking into account the considerations described above. As expressed in the following table, the Compensation Committee approved salary increases for Messrs. Traber, Shlevin and Callicutt: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 Base Salary</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2016 Base Salary</w:t>
            </w: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3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5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8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58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2017, the Compensation Committee made no adjustments to the base salaries of our NEO’s.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11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2013, upon recommendation by the Compensation Committee and approval by our Board,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20% to 40%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2016, the Compensation Committee set six Company performance objectives under the Program for 2016 annual performance bonuses to be payable:</w:t>
      </w:r>
    </w:p>
    <w:p>
      <w:pPr>
        <w:spacing w:after="0" w:line="7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human proof of concept for GR-MD-02 treatment of non-alcoholic steatohepatitis with advanced fibrosis and/or cirrhosis.</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ind w:left="900" w:right="1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 human proof of concept for use of galectin inhibitors in combination with immunotherapy for cancer and moderate to severe advanced plaque psoriasis.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appropriate quality assurance and quality control oversight and strengthen regulatory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*For more information about GR-MD-02 and our drug development program, please see Item 1 of our Annual Report on Form 10-K/A for the fiscal year ending December 31,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2016 individual performance objectives for each NEO were: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Individual Performance Goals</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Peter</w:t>
            </w:r>
          </w:p>
        </w:tc>
        <w:tc>
          <w:tcPr>
            <w:tcW w:w="5680" w:type="dxa"/>
            <w:vAlign w:val="bottom"/>
          </w:tcPr>
          <w:p>
            <w:pPr>
              <w:ind w:left="40"/>
              <w:spacing w:after="0" w:line="195" w:lineRule="exact"/>
              <w:rPr>
                <w:sz w:val="20"/>
                <w:szCs w:val="20"/>
                <w:color w:val="auto"/>
              </w:rPr>
            </w:pPr>
            <w:r>
              <w:rPr>
                <w:rFonts w:ascii="Arial" w:cs="Arial" w:eastAsia="Arial" w:hAnsi="Arial"/>
                <w:sz w:val="18"/>
                <w:szCs w:val="18"/>
                <w:color w:val="auto"/>
              </w:rPr>
              <w:t>G. Traber, M.D.</w:t>
            </w:r>
          </w:p>
        </w:tc>
        <w:tc>
          <w:tcPr>
            <w:tcW w:w="18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   multiple individual</w:t>
            </w:r>
          </w:p>
        </w:tc>
        <w:tc>
          <w:tcPr>
            <w:tcW w:w="3340" w:type="dxa"/>
            <w:vAlign w:val="bottom"/>
          </w:tcPr>
          <w:p>
            <w:pPr>
              <w:spacing w:after="0" w:line="195" w:lineRule="exact"/>
              <w:rPr>
                <w:sz w:val="20"/>
                <w:szCs w:val="20"/>
                <w:color w:val="auto"/>
              </w:rPr>
            </w:pPr>
            <w:r>
              <w:rPr>
                <w:rFonts w:ascii="Arial" w:cs="Arial" w:eastAsia="Arial" w:hAnsi="Arial"/>
                <w:sz w:val="18"/>
                <w:szCs w:val="18"/>
                <w:color w:val="auto"/>
                <w:w w:val="93"/>
              </w:rPr>
              <w:t>objectives intended to measure contributions</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5"/>
              </w:rPr>
              <w:t>toward successful achievement of each Company performance</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objective.</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5200" w:type="dxa"/>
            <w:vAlign w:val="bottom"/>
            <w:gridSpan w:val="2"/>
          </w:tcPr>
          <w:p>
            <w:pPr>
              <w:ind w:left="80"/>
              <w:spacing w:after="0"/>
              <w:rPr>
                <w:sz w:val="20"/>
                <w:szCs w:val="20"/>
                <w:color w:val="auto"/>
              </w:rPr>
            </w:pPr>
            <w:r>
              <w:rPr>
                <w:rFonts w:ascii="Arial" w:cs="Arial" w:eastAsia="Arial" w:hAnsi="Arial"/>
                <w:sz w:val="18"/>
                <w:szCs w:val="18"/>
                <w:color w:val="auto"/>
                <w:w w:val="97"/>
              </w:rPr>
              <w:t>•   multiple individual objectives intended to measure contributions</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5"/>
              </w:rPr>
              <w:t>toward successful achievement of each Company performance</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objective.</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5200" w:type="dxa"/>
            <w:vAlign w:val="bottom"/>
            <w:gridSpan w:val="2"/>
          </w:tcPr>
          <w:p>
            <w:pPr>
              <w:ind w:left="80"/>
              <w:spacing w:after="0"/>
              <w:rPr>
                <w:sz w:val="20"/>
                <w:szCs w:val="20"/>
                <w:color w:val="auto"/>
              </w:rPr>
            </w:pPr>
            <w:r>
              <w:rPr>
                <w:rFonts w:ascii="Arial" w:cs="Arial" w:eastAsia="Arial" w:hAnsi="Arial"/>
                <w:sz w:val="18"/>
                <w:szCs w:val="18"/>
                <w:color w:val="auto"/>
                <w:w w:val="94"/>
              </w:rPr>
              <w:t>•   maintaining appropriate financial, reporting and risk management</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0"/>
              </w:rPr>
              <w:t>reporting and controls; and support financing and investor relations</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activities.</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represents each NEO’s annual performance bonus target opportunity for 2016 (based on base salary as of the end of 2016):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50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7"/>
              </w:rPr>
              <w:t>Target%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
        </w:trPr>
        <w:tc>
          <w:tcPr>
            <w:tcW w:w="8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8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2016 performance year, the Compensation Committee awarded the NEOs the following annual performance bonuses paid in February 2017 based on its determination that all Company performance objectives and individual performance objectives were achieved and certain objectives were even exceeded. However, despite excellent performance on objectives, in view of the overall poor performance of the Company’s share price, the Compensation Committee, acting in its discretion, decided to reduce bonus payments by 20% across the board.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4"/>
                <w:szCs w:val="14"/>
                <w:color w:val="auto"/>
              </w:rPr>
            </w:pPr>
          </w:p>
        </w:tc>
        <w:tc>
          <w:tcPr>
            <w:tcW w:w="3980" w:type="dxa"/>
            <w:vAlign w:val="bottom"/>
            <w:gridSpan w:val="3"/>
          </w:tcPr>
          <w:p>
            <w:pPr>
              <w:ind w:left="20"/>
              <w:spacing w:after="0"/>
              <w:rPr>
                <w:sz w:val="20"/>
                <w:szCs w:val="20"/>
                <w:color w:val="auto"/>
              </w:rPr>
            </w:pPr>
            <w:r>
              <w:rPr>
                <w:rFonts w:ascii="Arial" w:cs="Arial" w:eastAsia="Arial" w:hAnsi="Arial"/>
                <w:sz w:val="14"/>
                <w:szCs w:val="14"/>
                <w:b w:val="1"/>
                <w:bCs w:val="1"/>
                <w:color w:val="auto"/>
              </w:rPr>
              <w:t>Annual Performance Bonus Amount</w:t>
            </w:r>
          </w:p>
        </w:tc>
        <w:tc>
          <w:tcPr>
            <w:tcW w:w="2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Awarded Amount As % of Base Salary</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vMerge w:val="restart"/>
            <w:shd w:val="clear" w:color="auto" w:fill="CCEEFF"/>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160,877</w:t>
            </w:r>
          </w:p>
        </w:tc>
        <w:tc>
          <w:tcPr>
            <w:tcW w:w="172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1720"/>
              <w:spacing w:after="0"/>
              <w:rPr>
                <w:sz w:val="20"/>
                <w:szCs w:val="20"/>
                <w:color w:val="auto"/>
              </w:rPr>
            </w:pPr>
            <w:r>
              <w:rPr>
                <w:rFonts w:ascii="Arial" w:cs="Arial" w:eastAsia="Arial" w:hAnsi="Arial"/>
                <w:sz w:val="18"/>
                <w:szCs w:val="18"/>
                <w:color w:val="auto"/>
              </w:rPr>
              <w:t>50,920</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54,172</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Annual performance bonuses under the Program are not designed to meet the “performance-based compensation” exception under Section 162(m) of the Internal Revenue Code of 1986, as amended (the “Code”). However, in the past, our NEOs’ compensation has not been high enough to make the Code Section 162(m) limit a critical issue for the Company. Deductibility under Code Section 162(m) is only one consideration in determining executive compensation.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 Compensation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On December 3, 2016, the NEOs were awarded the following options based on 2016 performance. 25% of the options vest immediately upon grant, 25% vest on July 1, 2017 and 50% vest on December 31, 2017. The exercise price of the options is set at the closing price of our stock as of the grant date.</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vMerge w:val="restart"/>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21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Number of Securities</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Underlying Options</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12/3/2016</w:t>
            </w:r>
          </w:p>
        </w:tc>
        <w:tc>
          <w:tcPr>
            <w:tcW w:w="8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220,000</w:t>
            </w: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0.87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12/3/2016</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6"/>
              </w:rPr>
              <w:t>0.87</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12/3/2016</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0.87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options granted under the 2009 Incentive Compensation Plan meet the “performance-based compensation” exception under Code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162(m). However, in the past, our NEOs’ compensation has not been high enough to make the Code Section 162(m) limit a critical issue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Deductibility under Code Section 162(m) is only one consideration in determining executive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26, 2011, we entered into an employment agreement with Dr. Traber. As contemplated by the agreement, on May 26, 2011, our Board of Directors granted Dr. Traber 125,000 fully-vested options exercisable for 10 years at $7.50 per share. In addition, the agreement (i) accelerated the 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May 6, 2016, the Company amended and restated Dr. Traber’s employment agreement, extending Dr. Traber’s employment for an additional term of three-years. Upon expiration of that term, the employment agreement provides that Dr. Traber’s employment with the Company will continue indefinitely for additional one-year terms unless either party provides at least three months’ notice that the employment will not continue beyond the end of the then current term. The restated employment agreement provides for an initial annual salary in the amount of $512,500 effective as of May 6, 2016, which may be adjusted by the Board in subsequent years based on annual industry surveys of executive compensation in comparable companies. In addition to his salary,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his employment is terminated (i) by the Company without Cause (as defined in the Employment Agreement), or (ii) by Dr. Traber for Good Reason (as defined in the Employment Agreement), the Employment Agreement provides that,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 Further, the restated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will receive a base salary of $230,000 per year beginning in 2015 and will receive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6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June 15, 2016, the Company entered into a retention bonus letter agreements with Dr. Shlevin, Ph.D. The Agreement provides that the Company will pay Dr. Shlevin $40,000 if he is still employed by the Company on March 1, 2017 or if he is terminated without “Cause” or resigns for “Good Reason” prior to March 1, 2017. This retention bonus was paid on March 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entered into an employment agreement with Mr. Callicutt dated July 1, 2013 (the “Callicutt Employment Agreement”), in conjunction with</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Callicutt’s appointment as our Chief Financial Officer. Pursuant to the terms of the Callicut Employment Agreement, Mr. Callicutt received an initial base salary of $175,000 and is eligible to receive a performance bonus equal to 20% of his base salary. Effective March 31, 2015, Mr. Callicutt’s annual base salary was increased to $240,000, and his annual base salary was increased again to $260,000 in February 2016.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15, 2016, the Company entered into a retention bonus letter agreement with Mr. Callicutt. The letter agreement provides that the Company will pay Mr. Callicutt $50,000 if he is still employed by the Company on March 1, 2017 or if he is terminated without “Cause” or resigns for “Good Reason” prior to March 1, 2017. This retention bonus was paid on March 1, 2017.</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August 11, 2017, we entered into an amendment to the Callicutt Employment Agreement with Mr. Callicutt (the “Amendment”). The Amendment was entered into to correct an error in the severance provision of the Callicutt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Callicutt Employment Agreement did not provide for any severance if Mr. Callicutt’s employment with the Company was terminated by the Company “without cause,” or by Mr. Callicutt for “good reason” after the date that was 24 months after the Commencement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Rubin, M.D.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2016,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All Other</w:t>
            </w:r>
          </w:p>
        </w:tc>
        <w:tc>
          <w:tcPr>
            <w:tcW w:w="9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66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28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3"/>
                <w:szCs w:val="13"/>
                <w:color w:val="auto"/>
              </w:rPr>
            </w:pPr>
          </w:p>
        </w:tc>
        <w:tc>
          <w:tcPr>
            <w:tcW w:w="9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3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33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2016</w:t>
            </w:r>
          </w:p>
        </w:tc>
        <w:tc>
          <w:tcPr>
            <w:tcW w:w="2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512,500</w:t>
            </w:r>
          </w:p>
        </w:tc>
        <w:tc>
          <w:tcPr>
            <w:tcW w:w="2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160,877</w:t>
            </w:r>
          </w:p>
        </w:tc>
        <w:tc>
          <w:tcPr>
            <w:tcW w:w="2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288,136</w:t>
            </w:r>
          </w:p>
        </w:tc>
        <w:tc>
          <w:tcPr>
            <w:tcW w:w="28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60,567(3)</w:t>
            </w:r>
          </w:p>
        </w:tc>
        <w:tc>
          <w:tcPr>
            <w:tcW w:w="9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500,000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210,000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373,018</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54,976(4)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485,000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213,400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1,512,150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41,502(5)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2,252,052</w:t>
            </w:r>
          </w:p>
        </w:tc>
        <w:tc>
          <w:tcPr>
            <w:tcW w:w="0" w:type="dxa"/>
            <w:vAlign w:val="bottom"/>
          </w:tcPr>
          <w:p>
            <w:pPr>
              <w:spacing w:after="0"/>
              <w:rPr>
                <w:sz w:val="1"/>
                <w:szCs w:val="1"/>
                <w:color w:val="auto"/>
              </w:rPr>
            </w:pPr>
          </w:p>
        </w:tc>
      </w:tr>
      <w:tr>
        <w:trPr>
          <w:trHeight w:val="269"/>
        </w:trPr>
        <w:tc>
          <w:tcPr>
            <w:tcW w:w="514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50,920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140,587</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48,118(6)</w:t>
            </w:r>
          </w:p>
        </w:tc>
        <w:tc>
          <w:tcPr>
            <w:tcW w:w="90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66,000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105,781</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40,362(7)</w:t>
            </w:r>
          </w:p>
        </w:tc>
        <w:tc>
          <w:tcPr>
            <w:tcW w:w="900" w:type="dxa"/>
            <w:vAlign w:val="bottom"/>
          </w:tcPr>
          <w:p>
            <w:pPr>
              <w:jc w:val="right"/>
              <w:spacing w:after="0"/>
              <w:rPr>
                <w:sz w:val="20"/>
                <w:szCs w:val="20"/>
                <w:color w:val="auto"/>
              </w:rPr>
            </w:pPr>
            <w:r>
              <w:rPr>
                <w:rFonts w:ascii="Arial" w:cs="Arial" w:eastAsia="Arial" w:hAnsi="Arial"/>
                <w:sz w:val="18"/>
                <w:szCs w:val="18"/>
                <w:color w:val="auto"/>
              </w:rPr>
              <w:t>462,143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230,000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77,625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428,819</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35,304(8)</w:t>
            </w:r>
          </w:p>
        </w:tc>
        <w:tc>
          <w:tcPr>
            <w:tcW w:w="900" w:type="dxa"/>
            <w:vAlign w:val="bottom"/>
          </w:tcPr>
          <w:p>
            <w:pPr>
              <w:jc w:val="right"/>
              <w:spacing w:after="0"/>
              <w:rPr>
                <w:sz w:val="20"/>
                <w:szCs w:val="20"/>
                <w:color w:val="auto"/>
              </w:rPr>
            </w:pPr>
            <w:r>
              <w:rPr>
                <w:rFonts w:ascii="Arial" w:cs="Arial" w:eastAsia="Arial" w:hAnsi="Arial"/>
                <w:sz w:val="18"/>
                <w:szCs w:val="18"/>
                <w:color w:val="auto"/>
              </w:rPr>
              <w:t>771,748</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54,172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140,587</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49,097(9)</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69,120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72,377</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44,419(10)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293,402</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38,812(11)</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Bonuses for 2016 were paid in February 2017. Bonuses for 2015 were paid in January 2016. Bonuses for 2014 were paid in February 2015.</w:t>
      </w:r>
    </w:p>
    <w:p>
      <w:pPr>
        <w:spacing w:after="0" w:line="34" w:lineRule="exact"/>
        <w:rPr>
          <w:rFonts w:ascii="Arial" w:cs="Arial" w:eastAsia="Arial" w:hAnsi="Arial"/>
          <w:sz w:val="17"/>
          <w:szCs w:val="17"/>
          <w:color w:val="auto"/>
        </w:rPr>
      </w:pPr>
    </w:p>
    <w:p>
      <w:pPr>
        <w:ind w:left="460" w:right="180" w:hanging="452"/>
        <w:spacing w:after="0" w:line="26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made during 2016, 2015 and 2014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2016, 2015 and 2014.</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$44,376 for health and other insurance and $10,600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$31,102 for health and other insurance and $10,400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$32,297 for health and other insurance and $8,065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$27,536 for health and other insurance and $7,768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$35,002 for health and other insurance and $9,417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$31,016 for health and other insurance and $7,796 for 401(k) plan contributions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2016</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Peter G. Traber,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9806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8065" cy="29146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Harold H. Shlevin, Ph.D.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298065"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806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4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84"/>
              </w:rPr>
              <w:t>Estimated Possible Payouts</w:t>
            </w:r>
          </w:p>
        </w:tc>
        <w:tc>
          <w:tcPr>
            <w:tcW w:w="17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3"/>
              </w:rPr>
              <w:t>Number</w:t>
            </w:r>
          </w:p>
        </w:tc>
        <w:tc>
          <w:tcPr>
            <w:tcW w:w="7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Number of</w:t>
            </w:r>
          </w:p>
        </w:tc>
        <w:tc>
          <w:tcPr>
            <w:tcW w:w="7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99"/>
              </w:rPr>
              <w:t>Exercise or</w:t>
            </w:r>
          </w:p>
        </w:tc>
        <w:tc>
          <w:tcPr>
            <w:tcW w:w="7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9"/>
              </w:rPr>
              <w:t>Date Fair</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4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170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of Shares</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Base Price</w:t>
            </w: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60"/>
              <w:spacing w:after="0" w:line="115" w:lineRule="exact"/>
              <w:rPr>
                <w:sz w:val="20"/>
                <w:szCs w:val="20"/>
                <w:color w:val="auto"/>
              </w:rPr>
            </w:pPr>
            <w:r>
              <w:rPr>
                <w:rFonts w:ascii="Arial" w:cs="Arial" w:eastAsia="Arial" w:hAnsi="Arial"/>
                <w:sz w:val="13"/>
                <w:szCs w:val="13"/>
                <w:b w:val="1"/>
                <w:bCs w:val="1"/>
                <w:color w:val="auto"/>
                <w:w w:val="89"/>
              </w:rPr>
              <w:t>Plan Awards</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Borders>
              <w:bottom w:val="single" w:sz="8" w:color="auto"/>
            </w:tcBorders>
            <w:gridSpan w:val="5"/>
          </w:tcPr>
          <w:p>
            <w:pPr>
              <w:jc w:val="center"/>
              <w:spacing w:after="0" w:line="115" w:lineRule="exact"/>
              <w:rPr>
                <w:sz w:val="20"/>
                <w:szCs w:val="20"/>
                <w:color w:val="auto"/>
              </w:rPr>
            </w:pPr>
            <w:r>
              <w:rPr>
                <w:rFonts w:ascii="Arial" w:cs="Arial" w:eastAsia="Arial" w:hAnsi="Arial"/>
                <w:sz w:val="13"/>
                <w:szCs w:val="13"/>
                <w:b w:val="1"/>
                <w:bCs w:val="1"/>
                <w:color w:val="auto"/>
                <w:w w:val="89"/>
              </w:rPr>
              <w:t>Plan Awards</w:t>
            </w:r>
          </w:p>
        </w:tc>
        <w:tc>
          <w:tcPr>
            <w:tcW w:w="120" w:type="dxa"/>
            <w:vAlign w:val="bottom"/>
          </w:tcPr>
          <w:p>
            <w:pPr>
              <w:spacing w:after="0"/>
              <w:rPr>
                <w:sz w:val="11"/>
                <w:szCs w:val="11"/>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85"/>
              </w:rPr>
              <w:t>of Stock</w:t>
            </w: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88"/>
              </w:rPr>
              <w:t>Underlying</w:t>
            </w:r>
          </w:p>
        </w:tc>
        <w:tc>
          <w:tcPr>
            <w:tcW w:w="72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89"/>
              </w:rPr>
              <w:t>of Option</w:t>
            </w:r>
          </w:p>
        </w:tc>
        <w:tc>
          <w:tcPr>
            <w:tcW w:w="76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000" w:type="dxa"/>
            <w:vAlign w:val="bottom"/>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w w:val="92"/>
              </w:rPr>
              <w:t>Grant</w:t>
            </w:r>
          </w:p>
        </w:tc>
        <w:tc>
          <w:tcPr>
            <w:tcW w:w="62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85"/>
              </w:rPr>
              <w:t>Threshold</w:t>
            </w:r>
          </w:p>
        </w:tc>
        <w:tc>
          <w:tcPr>
            <w:tcW w:w="840" w:type="dxa"/>
            <w:vAlign w:val="bottom"/>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w w:val="90"/>
              </w:rPr>
              <w:t>Target</w:t>
            </w:r>
          </w:p>
        </w:tc>
        <w:tc>
          <w:tcPr>
            <w:tcW w:w="5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Threshold</w:t>
            </w:r>
          </w:p>
        </w:tc>
        <w:tc>
          <w:tcPr>
            <w:tcW w:w="48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Target</w:t>
            </w: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3"/>
              </w:rPr>
              <w:t>Maximum</w:t>
            </w:r>
          </w:p>
        </w:tc>
        <w:tc>
          <w:tcPr>
            <w:tcW w:w="120" w:type="dxa"/>
            <w:vAlign w:val="bottom"/>
          </w:tcPr>
          <w:p>
            <w:pPr>
              <w:spacing w:after="0"/>
              <w:rPr>
                <w:sz w:val="10"/>
                <w:szCs w:val="10"/>
                <w:color w:val="auto"/>
              </w:rPr>
            </w:pPr>
          </w:p>
        </w:tc>
        <w:tc>
          <w:tcPr>
            <w:tcW w:w="6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or Units</w:t>
            </w: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5"/>
              </w:rPr>
              <w:t>Awards</w:t>
            </w:r>
          </w:p>
        </w:tc>
        <w:tc>
          <w:tcPr>
            <w:tcW w:w="76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($/Sh)</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71"/>
              </w:rPr>
              <w:t>01/20/2016(1)</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$140,293(2)</w:t>
            </w:r>
          </w:p>
        </w:tc>
        <w:tc>
          <w:tcPr>
            <w:tcW w:w="0" w:type="dxa"/>
            <w:vAlign w:val="bottom"/>
          </w:tcPr>
          <w:p>
            <w:pPr>
              <w:spacing w:after="0"/>
              <w:rPr>
                <w:sz w:val="1"/>
                <w:szCs w:val="1"/>
                <w:color w:val="auto"/>
              </w:rPr>
            </w:pPr>
          </w:p>
        </w:tc>
      </w:tr>
      <w:tr>
        <w:trPr>
          <w:trHeight w:val="142"/>
        </w:trPr>
        <w:tc>
          <w:tcPr>
            <w:tcW w:w="104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12/03/2016(1)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220,000</w:t>
            </w: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0.87</w:t>
            </w: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$147,843(2)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-89535</wp:posOffset>
            </wp:positionV>
            <wp:extent cx="494855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48555" cy="18859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$250,000(3)</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240" w:type="dxa"/>
            <w:vAlign w:val="bottom"/>
          </w:tcPr>
          <w:p>
            <w:pPr>
              <w:jc w:val="right"/>
              <w:ind w:right="2348"/>
              <w:spacing w:after="0"/>
              <w:rPr>
                <w:sz w:val="20"/>
                <w:szCs w:val="20"/>
                <w:color w:val="auto"/>
              </w:rPr>
            </w:pPr>
            <w:r>
              <w:rPr>
                <w:rFonts w:ascii="Arial" w:cs="Arial" w:eastAsia="Arial" w:hAnsi="Arial"/>
                <w:sz w:val="14"/>
                <w:szCs w:val="14"/>
                <w:color w:val="auto"/>
                <w:w w:val="91"/>
              </w:rPr>
              <w:t>01/20/2016(1)</w:t>
            </w:r>
          </w:p>
        </w:tc>
        <w:tc>
          <w:tcPr>
            <w:tcW w:w="2960" w:type="dxa"/>
            <w:vAlign w:val="bottom"/>
          </w:tcPr>
          <w:p>
            <w:pPr>
              <w:jc w:val="right"/>
              <w:spacing w:after="0"/>
              <w:rPr>
                <w:sz w:val="20"/>
                <w:szCs w:val="20"/>
                <w:color w:val="auto"/>
              </w:rPr>
            </w:pPr>
            <w:r>
              <w:rPr>
                <w:rFonts w:ascii="Arial" w:cs="Arial" w:eastAsia="Arial" w:hAnsi="Arial"/>
                <w:sz w:val="14"/>
                <w:szCs w:val="14"/>
                <w:color w:val="auto"/>
              </w:rPr>
              <w:t>38,000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39,785(2)</w:t>
            </w:r>
          </w:p>
        </w:tc>
      </w:tr>
      <w:tr>
        <w:trPr>
          <w:trHeight w:val="161"/>
        </w:trPr>
        <w:tc>
          <w:tcPr>
            <w:tcW w:w="3240" w:type="dxa"/>
            <w:vAlign w:val="bottom"/>
          </w:tcPr>
          <w:p>
            <w:pPr>
              <w:jc w:val="right"/>
              <w:ind w:right="2348"/>
              <w:spacing w:after="0"/>
              <w:rPr>
                <w:sz w:val="20"/>
                <w:szCs w:val="20"/>
                <w:color w:val="auto"/>
              </w:rPr>
            </w:pPr>
            <w:r>
              <w:rPr>
                <w:rFonts w:ascii="Arial" w:cs="Arial" w:eastAsia="Arial" w:hAnsi="Arial"/>
                <w:sz w:val="14"/>
                <w:szCs w:val="14"/>
                <w:color w:val="auto"/>
                <w:w w:val="91"/>
              </w:rPr>
              <w:t>12/03/2016(1)</w:t>
            </w:r>
          </w:p>
        </w:tc>
        <w:tc>
          <w:tcPr>
            <w:tcW w:w="2960" w:type="dxa"/>
            <w:vAlign w:val="bottom"/>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4"/>
              </w:rPr>
              <w:t>100,802(2)</w:t>
            </w:r>
          </w:p>
        </w:tc>
      </w:tr>
    </w:tbl>
    <w:p>
      <w:pPr>
        <w:ind w:left="540"/>
        <w:spacing w:after="0"/>
        <w:rPr>
          <w:sz w:val="20"/>
          <w:szCs w:val="20"/>
          <w:color w:val="auto"/>
        </w:rPr>
      </w:pPr>
      <w:r>
        <w:rPr>
          <w:rFonts w:ascii="Arial" w:cs="Arial" w:eastAsia="Arial" w:hAnsi="Arial"/>
          <w:sz w:val="14"/>
          <w:szCs w:val="14"/>
          <w:color w:val="auto"/>
        </w:rPr>
        <w:t>—$ 75,000(3)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01/20/2016(1)</w:t>
            </w:r>
          </w:p>
        </w:tc>
        <w:tc>
          <w:tcPr>
            <w:tcW w:w="480" w:type="dxa"/>
            <w:vAlign w:val="bottom"/>
            <w:shd w:val="clear" w:color="auto" w:fill="CCEEFF"/>
          </w:tcPr>
          <w:p>
            <w:pPr>
              <w:spacing w:after="0"/>
              <w:rPr>
                <w:sz w:val="15"/>
                <w:szCs w:val="15"/>
                <w:color w:val="auto"/>
              </w:rPr>
            </w:pPr>
          </w:p>
        </w:tc>
        <w:tc>
          <w:tcPr>
            <w:tcW w:w="4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39,785(2)</w:t>
            </w:r>
          </w:p>
        </w:tc>
      </w:tr>
      <w:tr>
        <w:trPr>
          <w:trHeight w:val="130"/>
        </w:trPr>
        <w:tc>
          <w:tcPr>
            <w:tcW w:w="40" w:type="dxa"/>
            <w:vAlign w:val="bottom"/>
          </w:tcPr>
          <w:p>
            <w:pPr>
              <w:spacing w:after="0"/>
              <w:rPr>
                <w:sz w:val="11"/>
                <w:szCs w:val="11"/>
                <w:color w:val="auto"/>
              </w:rPr>
            </w:pPr>
          </w:p>
        </w:tc>
        <w:tc>
          <w:tcPr>
            <w:tcW w:w="1260" w:type="dxa"/>
            <w:vAlign w:val="bottom"/>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w w:val="98"/>
              </w:rPr>
              <w:t>12/03/2016(1)</w:t>
            </w:r>
          </w:p>
        </w:tc>
        <w:tc>
          <w:tcPr>
            <w:tcW w:w="480" w:type="dxa"/>
            <w:vAlign w:val="bottom"/>
            <w:shd w:val="clear" w:color="auto" w:fill="CCEEFF"/>
          </w:tcPr>
          <w:p>
            <w:pPr>
              <w:spacing w:after="0"/>
              <w:rPr>
                <w:sz w:val="11"/>
                <w:szCs w:val="11"/>
                <w:color w:val="auto"/>
              </w:rPr>
            </w:pPr>
          </w:p>
        </w:tc>
        <w:tc>
          <w:tcPr>
            <w:tcW w:w="4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150,000</w:t>
            </w:r>
          </w:p>
        </w:tc>
        <w:tc>
          <w:tcPr>
            <w:tcW w:w="2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0.87</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100,802(2)</w:t>
            </w:r>
          </w:p>
        </w:tc>
      </w:tr>
      <w:tr>
        <w:trPr>
          <w:trHeight w:val="167"/>
        </w:trPr>
        <w:tc>
          <w:tcPr>
            <w:tcW w:w="40" w:type="dxa"/>
            <w:vAlign w:val="bottom"/>
          </w:tcPr>
          <w:p>
            <w:pPr>
              <w:spacing w:after="0"/>
              <w:rPr>
                <w:sz w:val="14"/>
                <w:szCs w:val="14"/>
                <w:color w:val="auto"/>
              </w:rPr>
            </w:pPr>
          </w:p>
        </w:tc>
        <w:tc>
          <w:tcPr>
            <w:tcW w:w="12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520" w:type="dxa"/>
            <w:vAlign w:val="bottom"/>
            <w:shd w:val="clear" w:color="auto" w:fill="CCEEFF"/>
          </w:tcPr>
          <w:p>
            <w:pPr>
              <w:jc w:val="right"/>
              <w:ind w:right="3848"/>
              <w:spacing w:after="0"/>
              <w:rPr>
                <w:sz w:val="20"/>
                <w:szCs w:val="20"/>
                <w:color w:val="auto"/>
              </w:rPr>
            </w:pPr>
            <w:r>
              <w:rPr>
                <w:rFonts w:ascii="Arial" w:cs="Arial" w:eastAsia="Arial" w:hAnsi="Arial"/>
                <w:sz w:val="14"/>
                <w:szCs w:val="14"/>
                <w:color w:val="auto"/>
                <w:w w:val="96"/>
              </w:rPr>
              <w:t>72,000(3)</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bl>
    <w:p>
      <w:pPr>
        <w:spacing w:after="0" w:line="170" w:lineRule="exact"/>
        <w:rPr>
          <w:sz w:val="20"/>
          <w:szCs w:val="20"/>
          <w:color w:val="auto"/>
        </w:rPr>
      </w:pPr>
    </w:p>
    <w:p>
      <w:pPr>
        <w:sectPr>
          <w:pgSz w:w="11900" w:h="16838" w:orient="portrait"/>
          <w:cols w:equalWidth="0" w:num="2">
            <w:col w:w="2860" w:space="720"/>
            <w:col w:w="7840"/>
          </w:cols>
          <w:pgMar w:left="240" w:top="270" w:right="239" w:bottom="1440" w:gutter="0" w:footer="0" w:header="0"/>
          <w:type w:val="continuous"/>
        </w:sectPr>
      </w:pPr>
    </w:p>
    <w:p>
      <w:pPr>
        <w:ind w:left="340" w:right="40" w:hanging="332"/>
        <w:spacing w:after="0" w:line="230"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Grants of stock options under our 2009 Incentive Compensation Plan in accordance with the Program. Grants made on January 20, 2016 were awarded based upon 2015 performance and were reported as compensation in 2015. Grants made on December 3, 2016 were awarded based upon 2016 performance.</w:t>
      </w:r>
    </w:p>
    <w:p>
      <w:pPr>
        <w:ind w:left="340" w:right="16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2016. For a description of the assumptions used to determine these amounts, see Note 7 to the Notes to the Consolidated Financial Statements in our Annual Report on Form 10-K/A for the fiscal year ended December 31, 2016.</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target amount for the 2016 annual performance bonus awards in accordance with the Program.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2016</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2016. The exercise price of the options is set at the closing price of our stock at the date prior to or as of the date of grant. Outstanding options have been approved by our Compensation Committee and our Board.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96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488"/>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1360" w:type="dxa"/>
            <w:vAlign w:val="bottom"/>
            <w:gridSpan w:val="3"/>
          </w:tcPr>
          <w:p>
            <w:pPr>
              <w:jc w:val="center"/>
              <w:ind w:right="4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That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10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23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Exercisable</w:t>
            </w:r>
          </w:p>
        </w:tc>
        <w:tc>
          <w:tcPr>
            <w:tcW w:w="240" w:type="dxa"/>
            <w:vAlign w:val="bottom"/>
          </w:tcPr>
          <w:p>
            <w:pPr>
              <w:spacing w:after="0"/>
              <w:rPr>
                <w:sz w:val="13"/>
                <w:szCs w:val="13"/>
                <w:color w:val="auto"/>
              </w:rPr>
            </w:pPr>
          </w:p>
        </w:tc>
        <w:tc>
          <w:tcPr>
            <w:tcW w:w="1360" w:type="dxa"/>
            <w:vAlign w:val="bottom"/>
            <w:gridSpan w:val="3"/>
          </w:tcPr>
          <w:p>
            <w:pPr>
              <w:jc w:val="center"/>
              <w:ind w:right="428"/>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228"/>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32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Peter G. Traber, M.D.</w:t>
            </w:r>
          </w:p>
        </w:tc>
        <w:tc>
          <w:tcPr>
            <w:tcW w:w="160" w:type="dxa"/>
            <w:vAlign w:val="bottom"/>
            <w:tcBorders>
              <w:righ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7"/>
                <w:szCs w:val="17"/>
                <w:color w:val="auto"/>
              </w:rPr>
              <w:t>833,335(1)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72"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6.96</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96"/>
              </w:rPr>
              <w:t>03/07/2021</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ind w:left="420"/>
              <w:spacing w:after="0" w:line="17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83,334(2)</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7.56</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05/26/2021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420,000(3)</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05/23/2022</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131,209(4)</w:t>
            </w:r>
          </w:p>
        </w:tc>
        <w:tc>
          <w:tcPr>
            <w:tcW w:w="1600" w:type="dxa"/>
            <w:vAlign w:val="bottom"/>
            <w:gridSpan w:val="4"/>
          </w:tcPr>
          <w:p>
            <w:pPr>
              <w:jc w:val="right"/>
              <w:ind w:right="228"/>
              <w:spacing w:after="0" w:line="185" w:lineRule="exact"/>
              <w:rPr>
                <w:sz w:val="20"/>
                <w:szCs w:val="20"/>
                <w:color w:val="auto"/>
              </w:rPr>
            </w:pPr>
            <w:r>
              <w:rPr>
                <w:rFonts w:ascii="Arial" w:cs="Arial" w:eastAsia="Arial" w:hAnsi="Arial"/>
                <w:sz w:val="17"/>
                <w:szCs w:val="17"/>
                <w:color w:val="auto"/>
              </w:rPr>
              <w:t>2,791(4)</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300"/>
              <w:spacing w:after="0" w:line="185" w:lineRule="exact"/>
              <w:rPr>
                <w:sz w:val="20"/>
                <w:szCs w:val="20"/>
                <w:color w:val="auto"/>
              </w:rPr>
            </w:pPr>
            <w:r>
              <w:rPr>
                <w:rFonts w:ascii="Arial" w:cs="Arial" w:eastAsia="Arial" w:hAnsi="Arial"/>
                <w:sz w:val="17"/>
                <w:szCs w:val="17"/>
                <w:color w:val="auto"/>
              </w:rPr>
              <w:t>13.38</w:t>
            </w:r>
          </w:p>
        </w:tc>
        <w:tc>
          <w:tcPr>
            <w:tcW w:w="840" w:type="dxa"/>
            <w:vAlign w:val="bottom"/>
          </w:tcPr>
          <w:p>
            <w:pPr>
              <w:jc w:val="right"/>
              <w:spacing w:after="0" w:line="185" w:lineRule="exact"/>
              <w:rPr>
                <w:sz w:val="20"/>
                <w:szCs w:val="20"/>
                <w:color w:val="auto"/>
              </w:rPr>
            </w:pPr>
            <w:r>
              <w:rPr>
                <w:rFonts w:ascii="Arial" w:cs="Arial" w:eastAsia="Arial" w:hAnsi="Arial"/>
                <w:sz w:val="17"/>
                <w:szCs w:val="17"/>
                <w:color w:val="auto"/>
                <w:w w:val="96"/>
              </w:rPr>
              <w:t>01/21/2024</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97,711(5)</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7"/>
                <w:szCs w:val="17"/>
                <w:color w:val="auto"/>
              </w:rPr>
              <w:t>36,289(5)</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64,212(8)</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69,788(8)</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55,000(9)</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165,000(9)</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40" w:type="dxa"/>
            <w:vAlign w:val="bottom"/>
            <w:gridSpan w:val="3"/>
          </w:tcPr>
          <w:p>
            <w:pPr>
              <w:spacing w:after="0"/>
              <w:rPr>
                <w:sz w:val="20"/>
                <w:szCs w:val="20"/>
                <w:color w:val="auto"/>
              </w:rPr>
            </w:pPr>
            <w:r>
              <w:rPr>
                <w:rFonts w:ascii="Arial" w:cs="Arial" w:eastAsia="Arial" w:hAnsi="Arial"/>
                <w:sz w:val="17"/>
                <w:szCs w:val="17"/>
                <w:color w:val="auto"/>
              </w:rPr>
              <w:t>Harold H. Shlevin, Ph.D.</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150,000(6)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2.32</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08/27/2022</w:t>
            </w:r>
          </w:p>
        </w:tc>
        <w:tc>
          <w:tcPr>
            <w:tcW w:w="30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80" w:type="dxa"/>
            <w:vAlign w:val="bottom"/>
          </w:tcPr>
          <w:p>
            <w:pPr>
              <w:ind w:left="4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37,209(4)</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791(4)</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13.38</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01/21/2024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27,711(5)</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10,289(5)</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18,212(8)</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19,788(8)</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37,500(9)</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112,500(9)</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Jack W. Callicutt</w:t>
            </w:r>
          </w:p>
        </w:tc>
        <w:tc>
          <w:tcPr>
            <w:tcW w:w="1100" w:type="dxa"/>
            <w:vAlign w:val="bottom"/>
            <w:gridSpan w:val="3"/>
            <w:shd w:val="clear" w:color="auto" w:fill="CCEEFF"/>
          </w:tcPr>
          <w:p>
            <w:pPr>
              <w:jc w:val="right"/>
              <w:ind w:right="40"/>
              <w:spacing w:after="0" w:line="185" w:lineRule="exact"/>
              <w:rPr>
                <w:sz w:val="20"/>
                <w:szCs w:val="20"/>
                <w:color w:val="auto"/>
              </w:rPr>
            </w:pPr>
            <w:r>
              <w:rPr>
                <w:rFonts w:ascii="Arial" w:cs="Arial" w:eastAsia="Arial" w:hAnsi="Arial"/>
                <w:sz w:val="17"/>
                <w:szCs w:val="17"/>
                <w:color w:val="auto"/>
              </w:rPr>
              <w:t>200,000(7)</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540"/>
              <w:spacing w:after="0" w:line="185"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4.41</w:t>
            </w: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07/01/2023</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320"/>
              <w:spacing w:after="0" w:line="18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420"/>
              <w:spacing w:after="0" w:line="185"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25,459(4)</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541(4)</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13.38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01/21/2024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18,961(5)</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7,039(5)</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18,212(8)</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19,788(8)</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37,500(9)</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112,500(9)</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-2014855</wp:posOffset>
            </wp:positionV>
            <wp:extent cx="5668645" cy="643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8645" cy="643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-256540</wp:posOffset>
            </wp:positionV>
            <wp:extent cx="566864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864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20" w:hanging="452"/>
        <w:spacing w:after="0" w:line="252"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125,000 options vested on March 7, 2011, the grant date, 104,667 options vested on each of the first and second anniversaries of the grant date, 83,333 options vested on each of the third and fourth anniversaries of the grant date and 166,667 options vested on the fifth anniversary of the grant date. The remaining 166,667 options vested upon the achievement of certain milestones. With respect to options that vest on anniversaries, exercise rights are accelerated upon achievement of certain milestones.</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100% of these options vested on May 26, 2011,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120,000 options vested on May 23, 2012, the grant date, 100,000 vested on each of the first, second and third anniversaries of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25% of the options vested on January 21, 2014,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25% of the options vested on January 29, 2015,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right="440" w:hanging="452"/>
        <w:spacing w:after="0" w:line="24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50,000 options vested on August 27, 2012, the grant date, 50,000 options vested on December 31, 2012, 75,000 vested on December 31, 2013 and 75,000 options vested on December 31, 2014. 100,000 options were exercised in 2013.</w:t>
      </w:r>
    </w:p>
    <w:p>
      <w:pPr>
        <w:spacing w:after="0" w:line="1" w:lineRule="exact"/>
        <w:rPr>
          <w:rFonts w:ascii="Arial" w:cs="Arial" w:eastAsia="Arial" w:hAnsi="Arial"/>
          <w:sz w:val="17"/>
          <w:szCs w:val="17"/>
          <w:color w:val="auto"/>
        </w:rPr>
      </w:pPr>
    </w:p>
    <w:p>
      <w:pPr>
        <w:ind w:left="460" w:right="380" w:hanging="452"/>
        <w:spacing w:after="0" w:line="257"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options were granted on July 1, 2013. 25,000 options vested on December 31, 2013, 50,000 options vested on December 31, 2014, 50,000 vested on December 31, 2015 and 75,000 options vested on December 31, 2016.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38" w:name="page39"/>
    <w:bookmarkEnd w:id="38"/>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of the options vested on January 20, 2016, the grant date, with the remainder vesting ratably on a monthly basis over a three year period.</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25% of the options vested on December 3, 2016, the grant date, 25% vest on July 1, 2017, and 50% vest on December 31, 2017.</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exercises of stock options by the NEOs during the 2016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2001 Stock Incentive Plan, change of control is defined as a change in ownership or control of the Company effected through either:</w:t>
      </w:r>
    </w:p>
    <w:p>
      <w:pPr>
        <w:spacing w:after="0" w:line="142" w:lineRule="exact"/>
        <w:rPr>
          <w:sz w:val="20"/>
          <w:szCs w:val="20"/>
          <w:color w:val="auto"/>
        </w:rPr>
      </w:pPr>
    </w:p>
    <w:p>
      <w:pPr>
        <w:ind w:left="900" w:right="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92" w:lineRule="exact"/>
        <w:rPr>
          <w:rFonts w:ascii="Arial" w:cs="Arial" w:eastAsia="Arial" w:hAnsi="Arial"/>
          <w:sz w:val="18"/>
          <w:szCs w:val="18"/>
          <w:color w:val="auto"/>
        </w:rPr>
      </w:pPr>
    </w:p>
    <w:p>
      <w:pPr>
        <w:ind w:left="900" w:right="280" w:hanging="446"/>
        <w:spacing w:after="0" w:line="27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any period of 36 consecutive months or less, there is a change in the composition of the Board of Directors such that a majority of the directors ceases, by reason of one or more proxy contests for 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Incentive Compensation Plan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jc w:val="both"/>
        <w:ind w:left="900" w:right="1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900" w:right="80" w:hanging="446"/>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May 6, 2016, the Company entered into an amended and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 (the “Code”)), (B) any bonus for the year prior to termination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0" w:name="page41"/>
    <w:bookmarkEnd w:id="40"/>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 agreement also contains provisions binding Dr. Traber with respect to (A) protection of the Company’s confidential information; (B) requirements to disclose and assign inventions or other intellectual property to the Company; (C) non-solicitation of the Company’s executives, or persons with whom the Company has a business relationship such as investors, suppliers and customers; and (D) advance review and approval of all writings he proposes to publish.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 PhD</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w:t>
      </w:r>
    </w:p>
    <w:p>
      <w:pPr>
        <w:jc w:val="both"/>
        <w:ind w:right="160" w:firstLine="8"/>
        <w:spacing w:after="0" w:line="254"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9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Callicutt’s employment agreement, as amended, provides that, if his employment is terminated by the Company “without cause,” or by</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6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agreement provides that during its term Mr. Callicutt shall not engage in any business competitive with the Company. Following termination of employment, Mr. Callicutt shall not, for 18 months (i) solicit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1" w:name="page42"/>
    <w:bookmarkEnd w:id="41"/>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employees of the Company or (ii) render services to any “competing business” (as defined in the agreement). The agreement also contains provisions binding on Mr. Callicutt with respect to protection of our confidential information.</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4"/>
              </w:rPr>
              <w:t>Benefit/Plan/Program</w:t>
            </w:r>
          </w:p>
        </w:tc>
        <w:tc>
          <w:tcPr>
            <w:tcW w:w="530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Peter 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Harold H.</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Jack W.</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Traber, M.D.</w:t>
            </w:r>
          </w:p>
        </w:tc>
        <w:tc>
          <w:tcPr>
            <w:tcW w:w="260" w:type="dxa"/>
            <w:vAlign w:val="bottom"/>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Shlevin, Ph.D.</w:t>
            </w: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Callicutt</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18,150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12,375</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673,377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310,920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314,172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673,377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310,920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314,172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691,527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323,295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326,547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1"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Amounts represent the potential value of unvested stock options held by the NEOs under the 2009 Incentive Compensation Plan and the 2001 Stock Incentive Plan that would have vested upon a change of control or upon termination of employment by reason of death or disability on December 31, 2016, based on a price of $0.98 per share, the closing price of our common stock on December 31, 2016.</w:t>
      </w:r>
    </w:p>
    <w:p>
      <w:pPr>
        <w:ind w:left="460" w:right="9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2016.</w:t>
      </w:r>
    </w:p>
    <w:p>
      <w:pPr>
        <w:ind w:left="4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60" w:right="1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2016.</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2017. We expect that a representative from Cherry Bekaert LLP will be present at the 2017 Annual Meeting, and accordingly, the representative will be given the opportunity to make a statement and respond to any questions.</w:t>
      </w:r>
    </w:p>
    <w:p>
      <w:pPr>
        <w:spacing w:after="0" w:line="181" w:lineRule="exact"/>
        <w:rPr>
          <w:sz w:val="20"/>
          <w:szCs w:val="20"/>
          <w:color w:val="auto"/>
        </w:rPr>
      </w:pPr>
    </w:p>
    <w:p>
      <w:pPr>
        <w:ind w:right="1080" w:firstLine="456"/>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10"/>
        </w:trPr>
        <w:tc>
          <w:tcPr>
            <w:tcW w:w="9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$ 119,000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16,000</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22,000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w:t>
            </w: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8"/>
                <w:szCs w:val="18"/>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$ 157,000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$ 130,000</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4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2016 and 2015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Reports on Form 10-K for fiscal years then ended, and review of financial statements included in our Quarterly Reports on Form 10-Q for the quarter ended September 30, 2015 and for each fiscal quarter during the 2016 fiscal year. McGladrey LLP performed the reviews of our financial statements included in our Quarterly Reports on Form 10-Q for the quarters ended March 31, 2015 and June 30, 2015. Fees paid to McGladrey LLP for the first two quarters of 2015 were $28,000 and are not included in the table.</w:t>
      </w:r>
    </w:p>
    <w:p>
      <w:pPr>
        <w:spacing w:after="0" w:line="3" w:lineRule="exact"/>
        <w:rPr>
          <w:rFonts w:ascii="Arial" w:cs="Arial" w:eastAsia="Arial" w:hAnsi="Arial"/>
          <w:sz w:val="18"/>
          <w:szCs w:val="18"/>
          <w:color w:val="auto"/>
        </w:rPr>
      </w:pPr>
    </w:p>
    <w:p>
      <w:pPr>
        <w:ind w:left="460" w:right="180" w:hanging="452"/>
        <w:spacing w:after="0" w:line="30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5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3" w:name="page44"/>
    <w:bookmarkEnd w:id="4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240" w:top="274" w:right="8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ARTICLES OF INCORPORATION INCREASING THE NUMBER OF COMMON VOTING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FROM 50,000,000 TO 100,000,000</w:t>
      </w:r>
    </w:p>
    <w:p>
      <w:pPr>
        <w:spacing w:after="0" w:line="2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Our Board has adopted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50,000,000 to 100,000,000. A form of Certificate of Amendment reflecting this proposed amendment is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2017 Annual Meeting, we intend to file the Certificate of Amendment as soon as practicable following the 2017 Annual Meeting.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Proposed Amendment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and directors, to make stock-based acquisitions and for other general corporate purposes.</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Approval of the proposed amendment to our Restated Articles of Incorporation requires a majority of all votes entitled to be cast on the matter.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abstentions and broker non-votes will have the same effect as a vote “against”.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0" w:right="259" w:bottom="1440" w:gutter="0" w:footer="0" w:header="0"/>
        </w:sectPr>
      </w:pPr>
    </w:p>
    <w:bookmarkStart w:id="45" w:name="page46"/>
    <w:bookmarkEnd w:id="45"/>
    <w:p>
      <w:pPr>
        <w:ind w:firstLine="456"/>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RECOMMENDS A VOTE “FOR” THE APPROVAL OF THE PROPOSAL TO ADOPT AND APPROVE AN AMENDMENT TO OUR RESTATED ARTICLES OF INCORPORATION INCREASING THE NUMBER OF COMMON VOTING SHARES FROM 50,000,000 TO 100,000,000.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APPROVE AN AMENDMENT TO OUR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 TO RESERVE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ADDITIONAL 1,000,000 SHARES FOR ISSUANCE UNDER THE PLAN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October 9, 2017, upon recommendation of the Compensation Committee, the Board approved, subject to stockholder approval, an amendment to the Company’s Amended and Restated 2009 Incentive Compensation Plan (the “Plan”), to reserve an additional 1,000,000 shares for issuance under the Plan. Otherwise, the Plan remains unchanged. The Plan, as proposed to be amended, is attached hereto as </w:t>
      </w:r>
      <w:r>
        <w:rPr>
          <w:rFonts w:ascii="Arial" w:cs="Arial" w:eastAsia="Arial" w:hAnsi="Arial"/>
          <w:sz w:val="18"/>
          <w:szCs w:val="18"/>
          <w:b w:val="1"/>
          <w:bCs w:val="1"/>
          <w:color w:val="auto"/>
        </w:rPr>
        <w:t>Appendix B</w:t>
      </w:r>
      <w:r>
        <w:rPr>
          <w:rFonts w:ascii="Arial" w:cs="Arial" w:eastAsia="Arial" w:hAnsi="Arial"/>
          <w:sz w:val="18"/>
          <w:szCs w:val="18"/>
          <w:color w:val="auto"/>
        </w:rPr>
        <w:t>, and we urge stockholders to review the Plan carefully.</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applicable NASDAQ rules, the Company is required to obtain stockholder approval of the proposed amendment to the Plan. Stockholder approval of the Plan is also required (i) to comply with certain exclusions from the limitations of Section 162(m) of the Internal Revenue Code of 1986, which we refer to as the Code, as described below, and (ii) to comply with the incentive stock options rules under Section 422 of the Code. On October [XX], 2017, the closing price of our common stock as reported by NASDAQ was $[XXX].</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are currently authorized to issue up to 4,733,334 shares of common stock under the Plan, of which 166 remain available for issuance as of October 16, 2017. If approved by the Company’s stockholders, the amendment to the Plan would authorize an additional 1,000,000 for issuance under the Plan. The material terms of the Plan are as follows: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February 12, 2009, our Board of Directors adopted the 2009 Incentive Compensation Plan, and our stockholders subsequently approved the Plan at the Company’s 2009 annual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purpose of the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amended. This summary is qualified in its entirety by reference to the complete text of the Plan, as amended. Stockholders are urged to read the actual text of the Plan, as proposed to be amended,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Shares Available for Awards; Annual Per-Person Limitations. </w:t>
      </w:r>
      <w:r>
        <w:rPr>
          <w:rFonts w:ascii="Arial" w:cs="Arial" w:eastAsia="Arial" w:hAnsi="Arial"/>
          <w:sz w:val="18"/>
          <w:szCs w:val="18"/>
          <w:color w:val="auto"/>
        </w:rPr>
        <w:t>Under the Plan, as amended, the total number of shares of common stock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reserved and available for delivery under the Plan (the “awards”) at any time during the term of the Plan shall be equal to 5,733,334 shares of common stock (increased from 4,733,334 under the current Plan). The number of shares in the Plan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7" w:name="page48"/>
    <w:bookmarkEnd w:id="47"/>
    <w:p>
      <w:pPr>
        <w:ind w:right="10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a leave of absence may still be considered an employee of our Company or a related entity for purposes of eligibility for participation in the Plan. As of October 16, 2017, the Company had seven employees (including officers) and ten members of the Board eligible to receive awards under the Plan.</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to be administered by the Compensation Committee, provided, however, that except as otherwise expressly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The Compensation Committee is authorized to grant stock options, including both incentive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8" w:name="page49"/>
    <w:bookmarkEnd w:id="48"/>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Restricted and Deferred Stock. </w:t>
      </w:r>
      <w:r>
        <w:rPr>
          <w:rFonts w:ascii="Arial" w:cs="Arial" w:eastAsia="Arial" w:hAnsi="Arial"/>
          <w:sz w:val="18"/>
          <w:szCs w:val="18"/>
          <w:color w:val="auto"/>
        </w:rPr>
        <w:t>The Compensation Committee is authorized to grant restricted stock and deferred stock. Restricted stock is a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Compensation Committee is authorized to grant dividend equivalents conferring on participants the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without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bonus or to grant shares of common stock or other awards in lieu of Company obligations to pay cash under the Plan or other plans or compensatory arrangements, subject to such terms as the Compensation Committee may specify.</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and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7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and to the extent that the Compensation Committee determines that these provisions of the Plan are to be applicable to any performance award, one or more of the following business criteria for our Company, on a consolidated basis, and/or for related entities, or for business or geographical units of our Company and/or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entity (except with respect to the total stockholder return and earnings per share criteria), shall be used by the Compensation Committee in establishing performance goals for performance awards under the Plan: (1) earnings per share; (2) revenues or margins; (3) cash flow; (4) operating margin;</w:t>
      </w:r>
    </w:p>
    <w:p>
      <w:pPr>
        <w:ind w:right="20" w:firstLine="8"/>
        <w:spacing w:after="0" w:line="285"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return on assets, net assets, investment, capital, operating revenue or equity; (6) economic value added; (7) direct contribution; (8) income; net income; 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6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Other Terms of Awards. </w:t>
      </w:r>
      <w:r>
        <w:rPr>
          <w:rFonts w:ascii="Arial" w:cs="Arial" w:eastAsia="Arial" w:hAnsi="Arial"/>
          <w:sz w:val="17"/>
          <w:szCs w:val="17"/>
          <w:color w:val="auto"/>
        </w:rPr>
        <w:t>Awards may be settled in the form of cash, shares of common stock, other awards or other property, in the discretion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Acceleration of Vesting; Change in Control. </w:t>
      </w:r>
      <w:r>
        <w:rPr>
          <w:rFonts w:ascii="Arial" w:cs="Arial" w:eastAsia="Arial" w:hAnsi="Arial"/>
          <w:sz w:val="18"/>
          <w:szCs w:val="18"/>
          <w:color w:val="auto"/>
        </w:rPr>
        <w:t>The Compensation Committee may, in its discretion, accelerate the exercisability, the lapsing of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expiration of deferral or vesting periods of any award, and such accelerated exercisability, lapse, expiration and, vesting shall occur automatically in the case of a “change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0" w:name="page51"/>
    <w:bookmarkEnd w:id="50"/>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control” of our Company (including the cash settlement of stock appreciation rights which may be exercisable in the event of a change in control), if so provided in the award agreement or otherwise determined by the Compensation Committee,. In addition, the Compensation Committee may provide in an award agreement that the performance goals relating to any performance award will be deemed to have been met upon the occurrence of any “change in control.” For purposes of the Plan, unless otherwise specified in an award agreement, a change in control means the occurrence of any of the following:</w:t>
      </w:r>
    </w:p>
    <w:p>
      <w:pPr>
        <w:spacing w:after="0" w:line="46" w:lineRule="exact"/>
        <w:rPr>
          <w:sz w:val="20"/>
          <w:szCs w:val="20"/>
          <w:color w:val="auto"/>
        </w:rPr>
      </w:pPr>
    </w:p>
    <w:p>
      <w:pPr>
        <w:ind w:left="460" w:right="140" w:firstLine="4"/>
        <w:spacing w:after="0" w:line="284" w:lineRule="auto"/>
        <w:tabs>
          <w:tab w:leader="none" w:pos="6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w:t>
      </w:r>
    </w:p>
    <w:p>
      <w:pPr>
        <w:spacing w:after="0" w:line="4" w:lineRule="exact"/>
        <w:rPr>
          <w:rFonts w:ascii="Arial" w:cs="Arial" w:eastAsia="Arial" w:hAnsi="Arial"/>
          <w:sz w:val="16"/>
          <w:szCs w:val="16"/>
          <w:color w:val="auto"/>
        </w:rPr>
      </w:pPr>
    </w:p>
    <w:p>
      <w:pPr>
        <w:ind w:left="460" w:firstLine="4"/>
        <w:spacing w:after="0" w:line="261"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76" w:lineRule="exact"/>
        <w:rPr>
          <w:sz w:val="20"/>
          <w:szCs w:val="20"/>
          <w:color w:val="auto"/>
        </w:rPr>
      </w:pPr>
    </w:p>
    <w:p>
      <w:pPr>
        <w:ind w:left="460" w:right="80" w:firstLine="4"/>
        <w:spacing w:after="0" w:line="255" w:lineRule="auto"/>
        <w:tabs>
          <w:tab w:leader="none" w:pos="7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81" w:lineRule="exact"/>
        <w:rPr>
          <w:rFonts w:ascii="Arial" w:cs="Arial" w:eastAsia="Arial" w:hAnsi="Arial"/>
          <w:sz w:val="18"/>
          <w:szCs w:val="18"/>
          <w:color w:val="auto"/>
        </w:rPr>
      </w:pPr>
    </w:p>
    <w:p>
      <w:pPr>
        <w:ind w:left="460" w:right="20" w:firstLine="4"/>
        <w:spacing w:after="0" w:line="285" w:lineRule="auto"/>
        <w:tabs>
          <w:tab w:leader="none" w:pos="7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69" w:lineRule="exact"/>
        <w:rPr>
          <w:rFonts w:ascii="Arial" w:cs="Arial" w:eastAsia="Arial" w:hAnsi="Arial"/>
          <w:sz w:val="16"/>
          <w:szCs w:val="16"/>
          <w:color w:val="auto"/>
        </w:rPr>
      </w:pPr>
    </w:p>
    <w:p>
      <w:pPr>
        <w:ind w:left="760" w:hanging="29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by our stockholders of a complete liquidation or dissolution of our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1" w:name="page52"/>
    <w:bookmarkEnd w:id="51"/>
    <w:p>
      <w:pPr>
        <w:ind w:right="6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 and Termination. </w:t>
      </w:r>
      <w:r>
        <w:rPr>
          <w:rFonts w:ascii="Arial" w:cs="Arial" w:eastAsia="Arial" w:hAnsi="Arial"/>
          <w:sz w:val="16"/>
          <w:szCs w:val="16"/>
          <w:color w:val="auto"/>
        </w:rPr>
        <w:t>Our Board may amend, alter, suspend, discontinue or terminate the Plan or the Compensation Committee’s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 (a) 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IRS Circular 230 Notice </w:t>
      </w:r>
      <w:r>
        <w:rPr>
          <w:rFonts w:ascii="Arial" w:cs="Arial" w:eastAsia="Arial" w:hAnsi="Arial"/>
          <w:sz w:val="16"/>
          <w:szCs w:val="16"/>
          <w:color w:val="auto"/>
        </w:rPr>
        <w:t>To ensure compliance with requirements imposed by the Internal Revenue Service, you are hereby notified that any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tax matters set forth in this Summary was written in connection with the promotion or marketing (within the meaning of IRS Circular 230) of awards made under the Plan, and was not intended or written to be used, and cannot be used, by any taxpayer for the purpose of avoiding any tax-related penalties under federal law. Each recipient of an award under the Plan should seek advice based on his or her particular circumstances from an independent tax advisor.</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Plan is not qualified under the provisions of Code Section 401(a) and is not subject to any of the provisions of the Employee Retirement Income Security Act of 1974.</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On exercise of a nonqualified stock option granted under the Plan an optionee will recognize ordinary income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if any, of the fair market value on the date of exercise of the shares of stock acquired due to the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Plan provides for the grant of stock options that qualify as “incentive stock options” as defined in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between the amount realized on a sale or other taxable disposition of that share and the holder’s tax basis in that share will be long-term capital gain or loss.</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Generally, the recipient of a stock award will recognize ordinary compensation income at the time the stock is received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if 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of the fair market value of the stock on the date the award is granted over any amount paid by the recipient in exchange for the stock, if any.</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3" w:name="page54"/>
    <w:bookmarkEnd w:id="53"/>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stock appreciation rights (“SARs”) separate from any other award (which we refer to as “Stand-Alone SARs”) or in tandem with options (which we refer to as “Tandem SARs”), under the Plan. Generally, the recipient of a Stand-Alone SAR will not recognize any taxable income at the time the Stand-Alone SAR is granted.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8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 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Limitation on Company Deductions</w:t>
      </w:r>
      <w:r>
        <w:rPr>
          <w:rFonts w:ascii="Arial" w:cs="Arial" w:eastAsia="Arial" w:hAnsi="Arial"/>
          <w:sz w:val="17"/>
          <w:szCs w:val="17"/>
          <w:color w:val="auto"/>
        </w:rPr>
        <w:t>. No federal income tax deduction is allowed for the Company for any compensation paid to a “covered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in any taxable year of the Company to the extent that his or her compensation exceeds $1,000,000. For this purpose, “covered employees” are generally the chief executive officer of the Company and the three other most highly compensated officers of the Company other than the principal financial officer for the taxable year, and the term “compensation” generally includes amounts includable in gross income as a result of the exercise of stock options or SARs, payments pursuant to performance awards or other-based awards, or the receipt of restricted or deferred stock. This deduction limitation, however, does not apply to compensation that is (1) commission-based compensation, (2) performance-based compensation, (3) compensation which would not be includable in an employee’s gross income, and (4) compensation payable under a written binding contract in existence on February 17, 1993, and not materially modified after that date. The Compensation Committee intends to administer the Plan in a manner that maximizes the Company’s tax deductions under Code Section 162(m).</w:t>
      </w:r>
    </w:p>
    <w:p>
      <w:pPr>
        <w:spacing w:after="0" w:line="18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Code Section 409A. </w:t>
      </w:r>
      <w:r>
        <w:rPr>
          <w:rFonts w:ascii="Arial" w:cs="Arial" w:eastAsia="Arial" w:hAnsi="Arial"/>
          <w:sz w:val="18"/>
          <w:szCs w:val="18"/>
          <w:color w:val="auto"/>
        </w:rPr>
        <w:t>Section 409A of the Code imposes certain requirements applicable to “nonqualified deferred compensation plans,” including rules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timing of deferral elections and elections with regard to the form and timing of benefit distributions, prohibitions against the acceleration of the timing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4" w:name="page55"/>
    <w:bookmarkEnd w:id="5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and the times when distributions may be made, as well as rules that generally prohibit the funding of nonqualified deferred compensation plans in offshore trusts or upon the occurrence of a change in the employer’s financial health. If a nonqualified deferred compensation plan subject to Code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Code Section 409A requirements, including, without limitation, discounted stock options, deferred stock and SARs that are not payable in shares of our Company stock. It is our intention that any award agreement that will govern awards subject to Code Section 409A will comply with these rules.</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Importance of Consulting Tax Adviser. </w:t>
      </w:r>
      <w:r>
        <w:rPr>
          <w:rFonts w:ascii="Arial" w:cs="Arial" w:eastAsia="Arial" w:hAnsi="Arial"/>
          <w:sz w:val="17"/>
          <w:szCs w:val="17"/>
          <w:color w:val="auto"/>
        </w:rPr>
        <w:t>The information set forth above is a summary only and does not purport to be complete.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amendment to the Plan. Specifically, the amended Plan would add shares that are eligible for grant under the Plan, and directors, including members of the Compensation Committee, could be recipients of awards with respect to these additional shares. The Board believes that approval of the amendment to the Plan will advance the interests of the Company and its shareholders by encouraging employees and directors to make significant contributions to the long-term success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Grants Under the Plan</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Because of the discretionary nature of any future awards under the Plan, the amount of such awards is not determinable at this time with respect to our directors, executive officers, including the named executive officers, and the company’s other employees. Option awards in fiscal year 2016 under the Plan, which were the only form of award granted under the Plan during fiscal year 2016,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46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Value</w:t>
            </w:r>
            <w:r>
              <w:rPr>
                <w:rFonts w:ascii="Arial" w:cs="Arial" w:eastAsia="Arial" w:hAnsi="Arial"/>
                <w:sz w:val="12"/>
                <w:szCs w:val="12"/>
                <w:b w:val="1"/>
                <w:bCs w:val="1"/>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58"/>
        </w:trPr>
        <w:tc>
          <w:tcPr>
            <w:tcW w:w="67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 Chief Executive Officer &amp; President</w:t>
            </w: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288,136</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354,000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Harold H. Shlevin, Ph.D., Chief Operating Officer</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140,587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 Chief Financial Officer</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140,587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Current executive officers as a group</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569,310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730,000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non-employee directors as a group</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229,652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332,250</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Employees other than executive officers as a group</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275,634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4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grant date fair value of option awards based upon the Black Scholes valuation model made in 2016. For a description of the assumptions used to determine these amounts, see Note 7 to the Notes to the Consolidated Financial Statements in our Annual Report on Form 10-K/A for the fiscal year ended December 31,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5" w:name="page56"/>
    <w:bookmarkEnd w:id="55"/>
    <w:p>
      <w:pPr>
        <w:ind w:right="1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regarding options and other grants in fiscal year 2016 to certain executive officers of the Company under the Plan is set forth in the table above under the heading “Grants of Plan Based Awards in 2016,” and information regarding outstanding options and grants under the Plan is set forth in the table above under the heading “Outstanding Equity Awards at Fiscal-Year End December 31, 2016.” Information regarding grants under the Plan in fiscal year 2016 to our non-employee directors is set forth in the table above under the heading “Director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affirmative vote of a majority of the votes cast, either for, against or abstain, by the holders of the shares of common stock voting is required to approve this proposal. Accordingly, abstentions and broker non-votes will have no effect. Additionally, under the Series B Designation Certificate,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84"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APPROVAL OF THE PROPOSED AMENDMENT TO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RESTATED 2009 INCENTIVE COMPENSATION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6" w:name="page57"/>
    <w:bookmarkEnd w:id="56"/>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5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51510" cy="668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spacing w:after="0" w:line="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Carson City, Nevada 89701-4201</w:t>
      </w:r>
    </w:p>
    <w:p>
      <w:pPr>
        <w:spacing w:after="0" w:line="9" w:lineRule="exact"/>
        <w:rPr>
          <w:sz w:val="20"/>
          <w:szCs w:val="20"/>
          <w:color w:val="auto"/>
        </w:rPr>
      </w:pPr>
    </w:p>
    <w:p>
      <w:pPr>
        <w:ind w:left="2640" w:right="6980" w:firstLine="2"/>
        <w:spacing w:after="0" w:line="323" w:lineRule="auto"/>
        <w:tabs>
          <w:tab w:leader="none" w:pos="30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948555" cy="754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48555" cy="7543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660"/>
        <w:spacing w:after="0"/>
        <w:rPr>
          <w:sz w:val="20"/>
          <w:szCs w:val="20"/>
          <w:color w:val="auto"/>
        </w:rPr>
      </w:pPr>
      <w:r>
        <w:rPr>
          <w:rFonts w:ascii="Arial" w:cs="Arial" w:eastAsia="Arial" w:hAnsi="Arial"/>
          <w:sz w:val="32"/>
          <w:szCs w:val="32"/>
          <w:b w:val="1"/>
          <w:bCs w:val="1"/>
          <w:color w:val="auto"/>
        </w:rPr>
        <w:t>Certificate of Amendment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(PURSUANT TO NRS 78.385 AND 78.390)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5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Galectin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3943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144" w:lineRule="exact"/>
        <w:rPr>
          <w:sz w:val="20"/>
          <w:szCs w:val="20"/>
          <w:color w:val="auto"/>
        </w:rPr>
      </w:pPr>
    </w:p>
    <w:p>
      <w:pPr>
        <w:ind w:left="220" w:right="180"/>
        <w:spacing w:after="0" w:line="259"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100,000,000 shares, which shall be common voting shares having a par value of $0.001 per share, and 20,000,000 undesignated shares having a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54875" cy="848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460" w:firstLine="8"/>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-12065</wp:posOffset>
            </wp:positionV>
            <wp:extent cx="13893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9380" cy="15430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600" w:type="dxa"/>
            <w:vAlign w:val="bottom"/>
          </w:tcPr>
          <w:p>
            <w:pPr>
              <w:ind w:left="20"/>
              <w:spacing w:after="0"/>
              <w:rPr>
                <w:sz w:val="20"/>
                <w:szCs w:val="20"/>
                <w:color w:val="auto"/>
              </w:rPr>
            </w:pPr>
            <w:r>
              <w:rPr>
                <w:rFonts w:ascii="Arial" w:cs="Arial" w:eastAsia="Arial" w:hAnsi="Arial"/>
                <w:sz w:val="18"/>
                <w:szCs w:val="18"/>
                <w:color w:val="auto"/>
              </w:rPr>
              <w:t>Effective date and time of filing: (optional)</w:t>
            </w:r>
          </w:p>
        </w:tc>
        <w:tc>
          <w:tcPr>
            <w:tcW w:w="204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Date:</w:t>
            </w:r>
          </w:p>
        </w:tc>
        <w:tc>
          <w:tcPr>
            <w:tcW w:w="1800" w:type="dxa"/>
            <w:vAlign w:val="bottom"/>
            <w:tcBorders>
              <w:top w:val="single" w:sz="8" w:color="auto"/>
              <w:bottom w:val="single" w:sz="8" w:color="auto"/>
              <w:right w:val="single" w:sz="8" w:color="auto"/>
            </w:tcBorders>
          </w:tcPr>
          <w:p>
            <w:pPr>
              <w:spacing w:after="0"/>
              <w:rPr>
                <w:sz w:val="19"/>
                <w:szCs w:val="19"/>
                <w:color w:val="auto"/>
              </w:rPr>
            </w:pPr>
          </w:p>
        </w:tc>
        <w:tc>
          <w:tcPr>
            <w:tcW w:w="1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Time:</w:t>
            </w:r>
          </w:p>
        </w:tc>
        <w:tc>
          <w:tcPr>
            <w:tcW w:w="1800" w:type="dxa"/>
            <w:vAlign w:val="bottom"/>
            <w:tcBorders>
              <w:top w:val="single" w:sz="8" w:color="auto"/>
              <w:bottom w:val="single" w:sz="8" w:color="auto"/>
              <w:right w:val="single" w:sz="8" w:color="auto"/>
            </w:tcBorders>
          </w:tcPr>
          <w:p>
            <w:pPr>
              <w:spacing w:after="0"/>
              <w:rPr>
                <w:sz w:val="19"/>
                <w:szCs w:val="19"/>
                <w:color w:val="auto"/>
              </w:rPr>
            </w:pPr>
          </w:p>
        </w:tc>
      </w:tr>
      <w:tr>
        <w:trPr>
          <w:trHeight w:val="176"/>
        </w:trPr>
        <w:tc>
          <w:tcPr>
            <w:tcW w:w="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ind w:left="1240"/>
              <w:spacing w:after="0"/>
              <w:rPr>
                <w:sz w:val="20"/>
                <w:szCs w:val="20"/>
                <w:color w:val="auto"/>
              </w:rPr>
            </w:pPr>
            <w:r>
              <w:rPr>
                <w:rFonts w:ascii="Arial" w:cs="Arial" w:eastAsia="Arial" w:hAnsi="Arial"/>
                <w:sz w:val="14"/>
                <w:szCs w:val="14"/>
                <w:color w:val="auto"/>
                <w:w w:val="89"/>
              </w:rPr>
              <w:t>(must not</w:t>
            </w:r>
          </w:p>
        </w:tc>
        <w:tc>
          <w:tcPr>
            <w:tcW w:w="1040" w:type="dxa"/>
            <w:vAlign w:val="bottom"/>
          </w:tcPr>
          <w:p>
            <w:pPr>
              <w:ind w:left="20"/>
              <w:spacing w:after="0"/>
              <w:rPr>
                <w:sz w:val="20"/>
                <w:szCs w:val="20"/>
                <w:color w:val="auto"/>
              </w:rPr>
            </w:pPr>
            <w:r>
              <w:rPr>
                <w:rFonts w:ascii="Arial" w:cs="Arial" w:eastAsia="Arial" w:hAnsi="Arial"/>
                <w:sz w:val="14"/>
                <w:szCs w:val="14"/>
                <w:color w:val="auto"/>
              </w:rPr>
              <w:t>be later than 90</w:t>
            </w:r>
          </w:p>
        </w:tc>
        <w:tc>
          <w:tcPr>
            <w:tcW w:w="1800" w:type="dxa"/>
            <w:vAlign w:val="bottom"/>
          </w:tcPr>
          <w:p>
            <w:pPr>
              <w:spacing w:after="0"/>
              <w:rPr>
                <w:sz w:val="20"/>
                <w:szCs w:val="20"/>
                <w:color w:val="auto"/>
              </w:rPr>
            </w:pPr>
            <w:r>
              <w:rPr>
                <w:rFonts w:ascii="Arial" w:cs="Arial" w:eastAsia="Arial" w:hAnsi="Arial"/>
                <w:sz w:val="14"/>
                <w:szCs w:val="14"/>
                <w:color w:val="auto"/>
                <w:w w:val="89"/>
              </w:rPr>
              <w:t>days after the certificate is filed)</w:t>
            </w:r>
          </w:p>
        </w:tc>
      </w:tr>
      <w:tr>
        <w:trPr>
          <w:trHeight w:val="290"/>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600" w:type="dxa"/>
            <w:vAlign w:val="bottom"/>
          </w:tcPr>
          <w:p>
            <w:pPr>
              <w:ind w:left="20"/>
              <w:spacing w:after="0"/>
              <w:rPr>
                <w:sz w:val="20"/>
                <w:szCs w:val="20"/>
                <w:color w:val="auto"/>
              </w:rPr>
            </w:pPr>
            <w:r>
              <w:rPr>
                <w:rFonts w:ascii="Arial" w:cs="Arial" w:eastAsia="Arial" w:hAnsi="Arial"/>
                <w:sz w:val="18"/>
                <w:szCs w:val="18"/>
                <w:color w:val="auto"/>
              </w:rPr>
              <w:t>Signature: (required)</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107" w:lineRule="exact"/>
        <w:rPr>
          <w:sz w:val="20"/>
          <w:szCs w:val="20"/>
          <w:color w:val="auto"/>
        </w:rPr>
      </w:pPr>
    </w:p>
    <w:p>
      <w:pPr>
        <w:ind w:right="20" w:firstLine="8"/>
        <w:spacing w:after="0" w:line="238" w:lineRule="auto"/>
        <w:tabs>
          <w:tab w:leader="none" w:pos="108"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Failure to Include any of the above information and submit with the proper fees may cause this filing to be rejected.</w:t>
      </w:r>
    </w:p>
    <w:p>
      <w:pPr>
        <w:sectPr>
          <w:pgSz w:w="11900" w:h="16838" w:orient="portrait"/>
          <w:cols w:equalWidth="0" w:num="1">
            <w:col w:w="11440"/>
          </w:cols>
          <w:pgMar w:left="240" w:top="270" w:right="21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Nevada Secretary of State Amend Profit-After</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Revised:1-5-15</w:t>
      </w:r>
    </w:p>
    <w:p>
      <w:pPr>
        <w:spacing w:after="0" w:line="142" w:lineRule="exact"/>
        <w:rPr>
          <w:sz w:val="20"/>
          <w:szCs w:val="20"/>
          <w:color w:val="auto"/>
        </w:rPr>
      </w:pPr>
    </w:p>
    <w:p>
      <w:pPr>
        <w:sectPr>
          <w:pgSz w:w="11900" w:h="16838" w:orient="portrait"/>
          <w:cols w:equalWidth="0" w:num="2">
            <w:col w:w="8020" w:space="720"/>
            <w:col w:w="2700"/>
          </w:cols>
          <w:pgMar w:left="240" w:top="270" w:right="21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40"/>
          </w:cols>
          <w:pgMar w:left="240" w:top="270" w:right="21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PROPOSAL NO.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29" w:lineRule="exact"/>
        <w:rPr>
          <w:sz w:val="20"/>
          <w:szCs w:val="20"/>
          <w:color w:val="auto"/>
        </w:rPr>
      </w:pPr>
    </w:p>
    <w:p>
      <w:pPr>
        <w:ind w:right="60" w:firstLine="464"/>
        <w:spacing w:after="0" w:line="273" w:lineRule="auto"/>
        <w:tabs>
          <w:tab w:leader="none" w:pos="636"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GALECTIN THERAPEUTICS, INC. AMENDED AND RESTATED 2009 INCENTIVE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78" w:lineRule="exact"/>
        <w:rPr>
          <w:rFonts w:ascii="Arial" w:cs="Arial" w:eastAsia="Arial" w:hAnsi="Arial"/>
          <w:sz w:val="17"/>
          <w:szCs w:val="17"/>
          <w:color w:val="auto"/>
        </w:rPr>
      </w:pPr>
    </w:p>
    <w:p>
      <w:pPr>
        <w:ind w:right="240" w:firstLine="464"/>
        <w:spacing w:after="0" w:line="277"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elsewhere herein.</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1" w:lineRule="exact"/>
        <w:rPr>
          <w:rFonts w:ascii="Arial" w:cs="Arial" w:eastAsia="Arial" w:hAnsi="Arial"/>
          <w:sz w:val="18"/>
          <w:szCs w:val="18"/>
          <w:color w:val="auto"/>
        </w:rPr>
      </w:pPr>
    </w:p>
    <w:p>
      <w:pPr>
        <w:ind w:right="820" w:firstLine="921"/>
        <w:spacing w:after="0" w:line="277" w:lineRule="auto"/>
        <w:tabs>
          <w:tab w:leader="none" w:pos="11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right="180" w:firstLine="921"/>
        <w:spacing w:after="0" w:line="257" w:lineRule="auto"/>
        <w:tabs>
          <w:tab w:leader="none" w:pos="11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88" w:lineRule="exact"/>
        <w:rPr>
          <w:rFonts w:ascii="Arial" w:cs="Arial" w:eastAsia="Arial" w:hAnsi="Arial"/>
          <w:sz w:val="18"/>
          <w:szCs w:val="18"/>
          <w:color w:val="auto"/>
        </w:rPr>
      </w:pPr>
    </w:p>
    <w:p>
      <w:pPr>
        <w:ind w:right="220" w:firstLine="921"/>
        <w:spacing w:after="0" w:line="277" w:lineRule="auto"/>
        <w:tabs>
          <w:tab w:leader="none" w:pos="11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40" w:firstLine="921"/>
        <w:spacing w:after="0" w:line="254" w:lineRule="auto"/>
        <w:tabs>
          <w:tab w:leader="none" w:pos="11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58" w:name="page59"/>
    <w:bookmarkEnd w:id="58"/>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47" w:lineRule="exact"/>
        <w:rPr>
          <w:sz w:val="20"/>
          <w:szCs w:val="20"/>
          <w:color w:val="auto"/>
        </w:rPr>
      </w:pPr>
    </w:p>
    <w:p>
      <w:pPr>
        <w:ind w:left="1180" w:hanging="25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60" w:firstLine="921"/>
        <w:spacing w:after="0" w:line="255"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89" w:lineRule="exact"/>
        <w:rPr>
          <w:sz w:val="20"/>
          <w:szCs w:val="20"/>
          <w:color w:val="auto"/>
        </w:rPr>
      </w:pPr>
    </w:p>
    <w:p>
      <w:pPr>
        <w:ind w:right="100" w:firstLine="921"/>
        <w:spacing w:after="0" w:line="342" w:lineRule="auto"/>
        <w:tabs>
          <w:tab w:leader="none" w:pos="10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j)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24" w:lineRule="exact"/>
        <w:rPr>
          <w:sz w:val="20"/>
          <w:szCs w:val="20"/>
          <w:color w:val="auto"/>
        </w:rPr>
      </w:pPr>
    </w:p>
    <w:p>
      <w:pPr>
        <w:ind w:right="180" w:firstLine="921"/>
        <w:spacing w:after="0" w:line="291" w:lineRule="auto"/>
        <w:tabs>
          <w:tab w:leader="none" w:pos="11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60" w:firstLine="8"/>
        <w:spacing w:after="0" w:line="254"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89" w:lineRule="exact"/>
        <w:rPr>
          <w:rFonts w:ascii="Arial" w:cs="Arial" w:eastAsia="Arial" w:hAnsi="Arial"/>
          <w:sz w:val="18"/>
          <w:szCs w:val="18"/>
          <w:color w:val="auto"/>
        </w:rPr>
      </w:pPr>
    </w:p>
    <w:p>
      <w:pPr>
        <w:ind w:right="120" w:firstLine="921"/>
        <w:spacing w:after="0" w:line="302" w:lineRule="auto"/>
        <w:tabs>
          <w:tab w:leader="none" w:pos="1128"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54" w:lineRule="exact"/>
        <w:rPr>
          <w:rFonts w:ascii="Arial" w:cs="Arial" w:eastAsia="Arial" w:hAnsi="Arial"/>
          <w:sz w:val="16"/>
          <w:szCs w:val="16"/>
          <w:color w:val="auto"/>
        </w:rPr>
      </w:pPr>
    </w:p>
    <w:p>
      <w:pPr>
        <w:ind w:right="880" w:firstLine="921"/>
        <w:spacing w:after="0" w:line="277" w:lineRule="auto"/>
        <w:tabs>
          <w:tab w:leader="none" w:pos="12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340" w:firstLine="921"/>
        <w:spacing w:after="0" w:line="277" w:lineRule="auto"/>
        <w:tabs>
          <w:tab w:leader="none" w:pos="11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59" w:name="page60"/>
    <w:bookmarkEnd w:id="59"/>
    <w:p>
      <w:pPr>
        <w:ind w:right="480" w:firstLine="921"/>
        <w:spacing w:after="0" w:line="277" w:lineRule="auto"/>
        <w:tabs>
          <w:tab w:leader="none" w:pos="1168"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225" w:lineRule="exact"/>
        <w:rPr>
          <w:rFonts w:ascii="Arial" w:cs="Arial" w:eastAsia="Arial" w:hAnsi="Arial"/>
          <w:sz w:val="18"/>
          <w:szCs w:val="18"/>
          <w:color w:val="auto"/>
        </w:rPr>
      </w:pPr>
    </w:p>
    <w:p>
      <w:pPr>
        <w:ind w:firstLine="921"/>
        <w:spacing w:after="0" w:line="257"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88" w:lineRule="exact"/>
        <w:rPr>
          <w:rFonts w:ascii="Arial" w:cs="Arial" w:eastAsia="Arial" w:hAnsi="Arial"/>
          <w:sz w:val="18"/>
          <w:szCs w:val="18"/>
          <w:color w:val="auto"/>
        </w:rPr>
      </w:pPr>
    </w:p>
    <w:p>
      <w:pPr>
        <w:ind w:right="40" w:firstLine="921"/>
        <w:spacing w:after="0" w:line="277" w:lineRule="auto"/>
        <w:tabs>
          <w:tab w:leader="none" w:pos="11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70" w:lineRule="exact"/>
        <w:rPr>
          <w:rFonts w:ascii="Arial" w:cs="Arial" w:eastAsia="Arial" w:hAnsi="Arial"/>
          <w:sz w:val="18"/>
          <w:szCs w:val="18"/>
          <w:color w:val="auto"/>
        </w:rPr>
      </w:pPr>
    </w:p>
    <w:p>
      <w:pPr>
        <w:ind w:right="580" w:firstLine="921"/>
        <w:spacing w:after="0" w:line="277" w:lineRule="auto"/>
        <w:tabs>
          <w:tab w:leader="none" w:pos="11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100" w:firstLine="921"/>
        <w:spacing w:after="0" w:line="276" w:lineRule="auto"/>
        <w:tabs>
          <w:tab w:leader="none" w:pos="11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72" w:lineRule="exact"/>
        <w:rPr>
          <w:rFonts w:ascii="Arial" w:cs="Arial" w:eastAsia="Arial" w:hAnsi="Arial"/>
          <w:sz w:val="17"/>
          <w:szCs w:val="17"/>
          <w:color w:val="auto"/>
        </w:rPr>
      </w:pPr>
    </w:p>
    <w:p>
      <w:pPr>
        <w:ind w:right="20" w:firstLine="921"/>
        <w:spacing w:after="0" w:line="284" w:lineRule="auto"/>
        <w:tabs>
          <w:tab w:leader="none" w:pos="1208"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2" w:lineRule="exact"/>
        <w:rPr>
          <w:rFonts w:ascii="Arial" w:cs="Arial" w:eastAsia="Arial" w:hAnsi="Arial"/>
          <w:sz w:val="16"/>
          <w:szCs w:val="16"/>
          <w:color w:val="auto"/>
        </w:rPr>
      </w:pPr>
    </w:p>
    <w:p>
      <w:pPr>
        <w:ind w:right="80" w:firstLine="8"/>
        <w:spacing w:after="0" w:line="253"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when referring to either the Board or members of the Committee, shall have the same meaning as used in the rules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Listing Market.</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60" w:name="page61"/>
    <w:bookmarkEnd w:id="60"/>
    <w:p>
      <w:pPr>
        <w:ind w:right="340" w:firstLine="921"/>
        <w:spacing w:after="0" w:line="308" w:lineRule="auto"/>
        <w:tabs>
          <w:tab w:leader="none" w:pos="1237"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“Listing Market” </w:t>
      </w:r>
      <w:r>
        <w:rPr>
          <w:rFonts w:ascii="Arial" w:cs="Arial" w:eastAsia="Arial" w:hAnsi="Arial"/>
          <w:sz w:val="17"/>
          <w:szCs w:val="17"/>
          <w:color w:val="auto"/>
        </w:rPr>
        <w:t>means the OTC Bulletin Board or any other national securities exchange on which any securities of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listed for trading, and if not listed for trading, by the rules of the Nasdaq Market.</w:t>
      </w:r>
    </w:p>
    <w:p>
      <w:pPr>
        <w:spacing w:after="0" w:line="146" w:lineRule="exact"/>
        <w:rPr>
          <w:rFonts w:ascii="Arial" w:cs="Arial" w:eastAsia="Arial" w:hAnsi="Arial"/>
          <w:sz w:val="17"/>
          <w:szCs w:val="17"/>
          <w:color w:val="auto"/>
        </w:rPr>
      </w:pPr>
    </w:p>
    <w:p>
      <w:pPr>
        <w:ind w:right="260" w:firstLine="921"/>
        <w:spacing w:after="0" w:line="277" w:lineRule="auto"/>
        <w:tabs>
          <w:tab w:leader="none" w:pos="1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1260" w:hanging="339"/>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225" w:lineRule="exact"/>
        <w:rPr>
          <w:rFonts w:ascii="Arial" w:cs="Arial" w:eastAsia="Arial" w:hAnsi="Arial"/>
          <w:sz w:val="18"/>
          <w:szCs w:val="18"/>
          <w:color w:val="auto"/>
        </w:rPr>
      </w:pPr>
    </w:p>
    <w:p>
      <w:pPr>
        <w:ind w:right="400" w:firstLine="921"/>
        <w:spacing w:after="0" w:line="308" w:lineRule="auto"/>
        <w:tabs>
          <w:tab w:leader="none" w:pos="1238"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 person who has been granted an Award under the Plan which remains outstanding, including a person who is no longer an Eligible Person.</w:t>
      </w:r>
    </w:p>
    <w:p>
      <w:pPr>
        <w:spacing w:after="0" w:line="146" w:lineRule="exact"/>
        <w:rPr>
          <w:rFonts w:ascii="Arial" w:cs="Arial" w:eastAsia="Arial" w:hAnsi="Arial"/>
          <w:sz w:val="17"/>
          <w:szCs w:val="17"/>
          <w:color w:val="auto"/>
        </w:rPr>
      </w:pPr>
    </w:p>
    <w:p>
      <w:pPr>
        <w:ind w:left="1200" w:hanging="279"/>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any Award of Performance Shares or Performance Units granted pursuant to Section 6(h) hereof.</w:t>
      </w:r>
    </w:p>
    <w:p>
      <w:pPr>
        <w:spacing w:after="0" w:line="236" w:lineRule="exact"/>
        <w:rPr>
          <w:rFonts w:ascii="Arial" w:cs="Arial" w:eastAsia="Arial" w:hAnsi="Arial"/>
          <w:sz w:val="17"/>
          <w:szCs w:val="17"/>
          <w:color w:val="auto"/>
        </w:rPr>
      </w:pPr>
    </w:p>
    <w:p>
      <w:pPr>
        <w:ind w:right="540" w:firstLine="921"/>
        <w:spacing w:after="0" w:line="308" w:lineRule="auto"/>
        <w:tabs>
          <w:tab w:leader="none" w:pos="12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right="140" w:firstLine="921"/>
        <w:spacing w:after="0" w:line="259" w:lineRule="auto"/>
        <w:tabs>
          <w:tab w:leader="none" w:pos="1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921"/>
        <w:spacing w:after="0" w:line="259" w:lineRule="auto"/>
        <w:tabs>
          <w:tab w:leader="none" w:pos="11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80" w:firstLine="921"/>
        <w:spacing w:after="0" w:line="277" w:lineRule="auto"/>
        <w:tabs>
          <w:tab w:leader="none" w:pos="11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right="120" w:firstLine="921"/>
        <w:spacing w:after="0" w:line="277" w:lineRule="auto"/>
        <w:tabs>
          <w:tab w:leader="none" w:pos="1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70" w:lineRule="exact"/>
        <w:rPr>
          <w:rFonts w:ascii="Arial" w:cs="Arial" w:eastAsia="Arial" w:hAnsi="Arial"/>
          <w:sz w:val="18"/>
          <w:szCs w:val="18"/>
          <w:color w:val="auto"/>
        </w:rPr>
      </w:pPr>
    </w:p>
    <w:p>
      <w:pPr>
        <w:ind w:right="100" w:firstLine="921"/>
        <w:spacing w:after="0" w:line="277" w:lineRule="auto"/>
        <w:tabs>
          <w:tab w:leader="none" w:pos="1178"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transferability, risk of forfeiture and other restrictions, if any, as the Committee may impose.</w:t>
      </w:r>
    </w:p>
    <w:p>
      <w:pPr>
        <w:spacing w:after="0" w:line="170" w:lineRule="exact"/>
        <w:rPr>
          <w:rFonts w:ascii="Arial" w:cs="Arial" w:eastAsia="Arial" w:hAnsi="Arial"/>
          <w:sz w:val="18"/>
          <w:szCs w:val="18"/>
          <w:color w:val="auto"/>
        </w:rPr>
      </w:pPr>
    </w:p>
    <w:p>
      <w:pPr>
        <w:ind w:right="80" w:firstLine="921"/>
        <w:spacing w:after="0" w:line="259"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86" w:lineRule="exact"/>
        <w:rPr>
          <w:rFonts w:ascii="Arial" w:cs="Arial" w:eastAsia="Arial" w:hAnsi="Arial"/>
          <w:sz w:val="18"/>
          <w:szCs w:val="18"/>
          <w:color w:val="auto"/>
        </w:rPr>
      </w:pPr>
    </w:p>
    <w:p>
      <w:pPr>
        <w:ind w:left="1260" w:hanging="339"/>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274" w:right="299" w:bottom="1440" w:gutter="0" w:footer="0" w:header="0"/>
        </w:sectPr>
      </w:pPr>
    </w:p>
    <w:bookmarkStart w:id="61" w:name="page62"/>
    <w:bookmarkEnd w:id="61"/>
    <w:p>
      <w:pPr>
        <w:ind w:left="-40" w:right="280" w:firstLine="921"/>
        <w:spacing w:after="0" w:line="277" w:lineRule="auto"/>
        <w:tabs>
          <w:tab w:leader="none" w:pos="1218"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left="-40" w:firstLine="921"/>
        <w:spacing w:after="0" w:line="277" w:lineRule="auto"/>
        <w:tabs>
          <w:tab w:leader="none" w:pos="12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70" w:lineRule="exact"/>
        <w:rPr>
          <w:rFonts w:ascii="Arial" w:cs="Arial" w:eastAsia="Arial" w:hAnsi="Arial"/>
          <w:sz w:val="18"/>
          <w:szCs w:val="18"/>
          <w:color w:val="auto"/>
        </w:rPr>
      </w:pPr>
    </w:p>
    <w:p>
      <w:pPr>
        <w:ind w:left="1220" w:hanging="339"/>
        <w:spacing w:after="0"/>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225" w:lineRule="exact"/>
        <w:rPr>
          <w:rFonts w:ascii="Arial" w:cs="Arial" w:eastAsia="Arial" w:hAnsi="Arial"/>
          <w:sz w:val="18"/>
          <w:szCs w:val="18"/>
          <w:color w:val="auto"/>
        </w:rPr>
      </w:pPr>
    </w:p>
    <w:p>
      <w:pPr>
        <w:ind w:left="-40" w:right="160" w:firstLine="921"/>
        <w:spacing w:after="0" w:line="259" w:lineRule="auto"/>
        <w:tabs>
          <w:tab w:leader="none" w:pos="11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ind w:left="-40" w:right="120" w:firstLine="921"/>
        <w:spacing w:after="0" w:line="286" w:lineRule="auto"/>
        <w:tabs>
          <w:tab w:leader="none" w:pos="1178" w:val="left"/>
        </w:tabs>
        <w:numPr>
          <w:ilvl w:val="1"/>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65" w:lineRule="exact"/>
        <w:rPr>
          <w:rFonts w:ascii="Arial" w:cs="Arial" w:eastAsia="Arial" w:hAnsi="Arial"/>
          <w:sz w:val="17"/>
          <w:szCs w:val="17"/>
          <w:color w:val="auto"/>
        </w:rPr>
      </w:pPr>
    </w:p>
    <w:p>
      <w:pPr>
        <w:ind w:left="600" w:hanging="176"/>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40" w:right="20" w:firstLine="921"/>
        <w:spacing w:after="0" w:line="288" w:lineRule="auto"/>
        <w:tabs>
          <w:tab w:leader="none" w:pos="1117"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69" w:lineRule="exact"/>
        <w:rPr>
          <w:rFonts w:ascii="Arial" w:cs="Arial" w:eastAsia="Arial" w:hAnsi="Arial"/>
          <w:sz w:val="16"/>
          <w:szCs w:val="16"/>
          <w:color w:val="auto"/>
        </w:rPr>
      </w:pPr>
    </w:p>
    <w:p>
      <w:pPr>
        <w:ind w:left="-40" w:right="20" w:firstLine="921"/>
        <w:spacing w:after="0" w:line="287" w:lineRule="auto"/>
        <w:tabs>
          <w:tab w:leader="none" w:pos="1128"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80" w:top="274" w:right="259" w:bottom="1440" w:gutter="0" w:footer="0" w:header="0"/>
        </w:sectPr>
      </w:pPr>
    </w:p>
    <w:bookmarkStart w:id="62" w:name="page63"/>
    <w:bookmarkEnd w:id="62"/>
    <w:p>
      <w:pPr>
        <w:ind w:firstLine="921"/>
        <w:spacing w:after="0" w:line="276" w:lineRule="auto"/>
        <w:tabs>
          <w:tab w:leader="none" w:pos="1157"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Arial" w:cs="Arial" w:eastAsia="Arial" w:hAnsi="Arial"/>
          <w:sz w:val="17"/>
          <w:szCs w:val="17"/>
          <w:color w:val="auto"/>
        </w:rPr>
        <w:t>. The Committee and the Board, and each member thereof, shall be entitled to, in good faith, rely or act upon any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2" w:lineRule="exact"/>
        <w:rPr>
          <w:rFonts w:ascii="Arial" w:cs="Arial" w:eastAsia="Arial" w:hAnsi="Arial"/>
          <w:sz w:val="17"/>
          <w:szCs w:val="17"/>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64" w:lineRule="auto"/>
        <w:tabs>
          <w:tab w:leader="none" w:pos="1157"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5,733,334. Any Shares delivered under the Plan may consist, in whole or in part, of authorized and unissued shares or treasury shares.</w:t>
      </w:r>
    </w:p>
    <w:p>
      <w:pPr>
        <w:spacing w:after="0" w:line="181" w:lineRule="exact"/>
        <w:rPr>
          <w:rFonts w:ascii="Arial" w:cs="Arial" w:eastAsia="Arial" w:hAnsi="Arial"/>
          <w:sz w:val="18"/>
          <w:szCs w:val="18"/>
          <w:color w:val="auto"/>
        </w:rPr>
      </w:pPr>
    </w:p>
    <w:p>
      <w:pPr>
        <w:ind w:right="40" w:firstLine="921"/>
        <w:spacing w:after="0" w:line="257" w:lineRule="auto"/>
        <w:tabs>
          <w:tab w:leader="none" w:pos="1168"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492"/>
        <w:spacing w:after="0" w:line="259" w:lineRule="auto"/>
        <w:tabs>
          <w:tab w:leader="none" w:pos="1698"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4(c)(iv) below.</w:t>
      </w:r>
    </w:p>
    <w:p>
      <w:pPr>
        <w:spacing w:after="0" w:line="186" w:lineRule="exact"/>
        <w:rPr>
          <w:rFonts w:ascii="Arial" w:cs="Arial" w:eastAsia="Arial" w:hAnsi="Arial"/>
          <w:sz w:val="18"/>
          <w:szCs w:val="18"/>
          <w:color w:val="auto"/>
        </w:rPr>
      </w:pPr>
    </w:p>
    <w:p>
      <w:pPr>
        <w:ind w:right="420" w:firstLine="1492"/>
        <w:spacing w:after="0" w:line="302" w:lineRule="auto"/>
        <w:tabs>
          <w:tab w:leader="none" w:pos="1748" w:val="left"/>
        </w:tabs>
        <w:numPr>
          <w:ilvl w:val="2"/>
          <w:numId w:val="59"/>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54" w:lineRule="exact"/>
        <w:rPr>
          <w:rFonts w:ascii="Arial" w:cs="Arial" w:eastAsia="Arial" w:hAnsi="Arial"/>
          <w:sz w:val="16"/>
          <w:szCs w:val="16"/>
          <w:color w:val="auto"/>
        </w:rPr>
      </w:pPr>
    </w:p>
    <w:p>
      <w:pPr>
        <w:ind w:firstLine="1492"/>
        <w:spacing w:after="0" w:line="272" w:lineRule="auto"/>
        <w:tabs>
          <w:tab w:leader="none" w:pos="1798" w:val="left"/>
        </w:tabs>
        <w:numPr>
          <w:ilvl w:val="2"/>
          <w:numId w:val="59"/>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77" w:lineRule="exact"/>
        <w:rPr>
          <w:rFonts w:ascii="Arial" w:cs="Arial" w:eastAsia="Arial" w:hAnsi="Arial"/>
          <w:sz w:val="17"/>
          <w:szCs w:val="17"/>
          <w:color w:val="auto"/>
        </w:rPr>
      </w:pPr>
    </w:p>
    <w:p>
      <w:pPr>
        <w:ind w:left="1800" w:hanging="308"/>
        <w:spacing w:after="0"/>
        <w:tabs>
          <w:tab w:leader="none" w:pos="18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225" w:lineRule="exact"/>
        <w:rPr>
          <w:rFonts w:ascii="Arial" w:cs="Arial" w:eastAsia="Arial" w:hAnsi="Arial"/>
          <w:sz w:val="18"/>
          <w:szCs w:val="18"/>
          <w:color w:val="auto"/>
        </w:rPr>
      </w:pPr>
    </w:p>
    <w:p>
      <w:pPr>
        <w:ind w:right="480" w:firstLine="1492"/>
        <w:spacing w:after="0" w:line="264" w:lineRule="auto"/>
        <w:tabs>
          <w:tab w:leader="none" w:pos="1738"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5,533,334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74" w:right="239" w:bottom="1440" w:gutter="0" w:footer="0" w:header="0"/>
        </w:sectPr>
      </w:pPr>
    </w:p>
    <w:bookmarkStart w:id="63" w:name="page64"/>
    <w:bookmarkEnd w:id="63"/>
    <w:p>
      <w:pPr>
        <w:ind w:left="-20" w:right="100" w:firstLine="464"/>
        <w:spacing w:after="0" w:line="297" w:lineRule="auto"/>
        <w:tabs>
          <w:tab w:leader="none" w:pos="616"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21"/>
        <w:spacing w:after="0" w:line="254" w:lineRule="auto"/>
        <w:tabs>
          <w:tab w:leader="none" w:pos="1137"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6. In addition, the Committee may impose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92" w:lineRule="exact"/>
        <w:rPr>
          <w:rFonts w:ascii="Arial" w:cs="Arial" w:eastAsia="Arial" w:hAnsi="Arial"/>
          <w:sz w:val="18"/>
          <w:szCs w:val="18"/>
          <w:color w:val="auto"/>
        </w:rPr>
      </w:pPr>
    </w:p>
    <w:p>
      <w:pPr>
        <w:ind w:left="1160" w:hanging="259"/>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225" w:lineRule="exact"/>
        <w:rPr>
          <w:rFonts w:ascii="Arial" w:cs="Arial" w:eastAsia="Arial" w:hAnsi="Arial"/>
          <w:sz w:val="18"/>
          <w:szCs w:val="18"/>
          <w:color w:val="auto"/>
        </w:rPr>
      </w:pPr>
    </w:p>
    <w:p>
      <w:pPr>
        <w:ind w:left="-20" w:right="220" w:firstLine="1492"/>
        <w:spacing w:after="0" w:line="291" w:lineRule="auto"/>
        <w:tabs>
          <w:tab w:leader="none" w:pos="1678" w:val="left"/>
        </w:tabs>
        <w:numPr>
          <w:ilvl w:val="2"/>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67" w:lineRule="exact"/>
        <w:rPr>
          <w:rFonts w:ascii="Arial" w:cs="Arial" w:eastAsia="Arial" w:hAnsi="Arial"/>
          <w:sz w:val="16"/>
          <w:szCs w:val="16"/>
          <w:color w:val="auto"/>
        </w:rPr>
      </w:pPr>
    </w:p>
    <w:p>
      <w:pPr>
        <w:ind w:left="-20" w:firstLine="1492"/>
        <w:spacing w:after="0" w:line="290" w:lineRule="auto"/>
        <w:tabs>
          <w:tab w:leader="none" w:pos="1728" w:val="left"/>
        </w:tabs>
        <w:numPr>
          <w:ilvl w:val="2"/>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66" w:lineRule="exact"/>
        <w:rPr>
          <w:rFonts w:ascii="Arial" w:cs="Arial" w:eastAsia="Arial" w:hAnsi="Arial"/>
          <w:sz w:val="16"/>
          <w:szCs w:val="16"/>
          <w:color w:val="auto"/>
        </w:rPr>
      </w:pPr>
    </w:p>
    <w:p>
      <w:pPr>
        <w:ind w:left="-20" w:right="280" w:firstLine="1492"/>
        <w:spacing w:after="0" w:line="312" w:lineRule="auto"/>
        <w:tabs>
          <w:tab w:leader="none" w:pos="1778" w:val="left"/>
        </w:tabs>
        <w:numPr>
          <w:ilvl w:val="2"/>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60" w:top="274" w:right="259" w:bottom="1440" w:gutter="0" w:footer="0" w:header="0"/>
        </w:sectPr>
      </w:pPr>
    </w:p>
    <w:bookmarkStart w:id="64" w:name="page65"/>
    <w:bookmarkEnd w:id="64"/>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57" w:lineRule="exact"/>
        <w:rPr>
          <w:sz w:val="20"/>
          <w:szCs w:val="20"/>
          <w:color w:val="auto"/>
        </w:rPr>
      </w:pPr>
    </w:p>
    <w:p>
      <w:pPr>
        <w:ind w:right="180" w:firstLine="1948"/>
        <w:spacing w:after="0" w:line="276" w:lineRule="auto"/>
        <w:tabs>
          <w:tab w:leader="none" w:pos="2235"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72" w:lineRule="exact"/>
        <w:rPr>
          <w:rFonts w:ascii="Arial" w:cs="Arial" w:eastAsia="Arial" w:hAnsi="Arial"/>
          <w:sz w:val="17"/>
          <w:szCs w:val="17"/>
          <w:color w:val="auto"/>
        </w:rPr>
      </w:pPr>
    </w:p>
    <w:p>
      <w:pPr>
        <w:ind w:right="20" w:firstLine="1948"/>
        <w:spacing w:after="0" w:line="279" w:lineRule="auto"/>
        <w:tabs>
          <w:tab w:leader="none" w:pos="2225"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71" w:lineRule="exact"/>
        <w:rPr>
          <w:rFonts w:ascii="Arial" w:cs="Arial" w:eastAsia="Arial" w:hAnsi="Arial"/>
          <w:sz w:val="17"/>
          <w:szCs w:val="17"/>
          <w:color w:val="auto"/>
        </w:rPr>
      </w:pPr>
    </w:p>
    <w:p>
      <w:pPr>
        <w:ind w:right="40" w:firstLine="921"/>
        <w:spacing w:after="0" w:line="259" w:lineRule="auto"/>
        <w:tabs>
          <w:tab w:leader="none" w:pos="1157"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78" w:lineRule="exact"/>
        <w:rPr>
          <w:rFonts w:ascii="Arial" w:cs="Arial" w:eastAsia="Arial" w:hAnsi="Arial"/>
          <w:sz w:val="18"/>
          <w:szCs w:val="18"/>
          <w:color w:val="auto"/>
        </w:rPr>
      </w:pPr>
    </w:p>
    <w:p>
      <w:pPr>
        <w:jc w:val="both"/>
        <w:ind w:right="180" w:firstLine="1492"/>
        <w:spacing w:after="0" w:line="302" w:lineRule="auto"/>
        <w:tabs>
          <w:tab w:leader="none" w:pos="1698"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54" w:lineRule="exact"/>
        <w:rPr>
          <w:rFonts w:ascii="Arial" w:cs="Arial" w:eastAsia="Arial" w:hAnsi="Arial"/>
          <w:sz w:val="16"/>
          <w:szCs w:val="16"/>
          <w:color w:val="auto"/>
        </w:rPr>
      </w:pPr>
    </w:p>
    <w:p>
      <w:pPr>
        <w:ind w:firstLine="1492"/>
        <w:spacing w:after="0" w:line="273" w:lineRule="auto"/>
        <w:tabs>
          <w:tab w:leader="none" w:pos="1748"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Other Terms</w:t>
      </w:r>
      <w:r>
        <w:rPr>
          <w:rFonts w:ascii="Arial" w:cs="Arial" w:eastAsia="Arial" w:hAnsi="Arial"/>
          <w:sz w:val="17"/>
          <w:szCs w:val="17"/>
          <w:color w:val="auto"/>
        </w:rPr>
        <w:t>. The Committee shall determine at the date of grant or thereafter, the time or times at which and the circumstances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78" w:lineRule="exact"/>
        <w:rPr>
          <w:rFonts w:ascii="Arial" w:cs="Arial" w:eastAsia="Arial" w:hAnsi="Arial"/>
          <w:sz w:val="17"/>
          <w:szCs w:val="17"/>
          <w:color w:val="auto"/>
        </w:rPr>
      </w:pPr>
    </w:p>
    <w:p>
      <w:pPr>
        <w:ind w:firstLine="1492"/>
        <w:spacing w:after="0" w:line="270" w:lineRule="auto"/>
        <w:tabs>
          <w:tab w:leader="none" w:pos="1798"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 related Option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74" w:right="239" w:bottom="1440" w:gutter="0" w:footer="0" w:header="0"/>
        </w:sectPr>
      </w:pPr>
    </w:p>
    <w:bookmarkStart w:id="65" w:name="page66"/>
    <w:bookmarkEnd w:id="6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ind w:firstLine="1492"/>
        <w:spacing w:after="0" w:line="270" w:lineRule="auto"/>
        <w:tabs>
          <w:tab w:leader="none" w:pos="1698"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 forfeiture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77" w:lineRule="exact"/>
        <w:rPr>
          <w:rFonts w:ascii="Arial" w:cs="Arial" w:eastAsia="Arial" w:hAnsi="Arial"/>
          <w:sz w:val="17"/>
          <w:szCs w:val="17"/>
          <w:color w:val="auto"/>
        </w:rPr>
      </w:pPr>
    </w:p>
    <w:p>
      <w:pPr>
        <w:ind w:right="40" w:firstLine="1492"/>
        <w:spacing w:after="0" w:line="255" w:lineRule="auto"/>
        <w:tabs>
          <w:tab w:leader="none" w:pos="1748"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93" w:lineRule="exact"/>
        <w:rPr>
          <w:rFonts w:ascii="Arial" w:cs="Arial" w:eastAsia="Arial" w:hAnsi="Arial"/>
          <w:sz w:val="18"/>
          <w:szCs w:val="18"/>
          <w:color w:val="auto"/>
        </w:rPr>
      </w:pPr>
    </w:p>
    <w:p>
      <w:pPr>
        <w:jc w:val="both"/>
        <w:ind w:right="60" w:firstLine="1492"/>
        <w:spacing w:after="0" w:line="279" w:lineRule="auto"/>
        <w:tabs>
          <w:tab w:leader="none" w:pos="1798"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Certificates for Stock</w:t>
      </w:r>
      <w:r>
        <w:rPr>
          <w:rFonts w:ascii="Arial" w:cs="Arial" w:eastAsia="Arial" w:hAnsi="Arial"/>
          <w:sz w:val="17"/>
          <w:szCs w:val="17"/>
          <w:color w:val="auto"/>
        </w:rPr>
        <w:t>. Restricted Stock granted under the Plan may be evidenced in such manner as the Committee shall determine.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71" w:lineRule="exact"/>
        <w:rPr>
          <w:rFonts w:ascii="Arial" w:cs="Arial" w:eastAsia="Arial" w:hAnsi="Arial"/>
          <w:sz w:val="17"/>
          <w:szCs w:val="17"/>
          <w:color w:val="auto"/>
        </w:rPr>
      </w:pPr>
    </w:p>
    <w:p>
      <w:pPr>
        <w:ind w:right="100" w:firstLine="1492"/>
        <w:spacing w:after="0" w:line="257" w:lineRule="auto"/>
        <w:tabs>
          <w:tab w:leader="none" w:pos="1788"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Deferred Stock Award</w:t>
      </w:r>
      <w:r>
        <w:rPr>
          <w:rFonts w:ascii="Arial" w:cs="Arial" w:eastAsia="Arial" w:hAnsi="Arial"/>
          <w:sz w:val="17"/>
          <w:szCs w:val="17"/>
          <w:color w:val="auto"/>
        </w:rPr>
        <w:t>. The Committee is authorized to grant Deferred Stock Awards to any Eligible Person on the following terms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conditions:</w:t>
      </w:r>
    </w:p>
    <w:p>
      <w:pPr>
        <w:spacing w:after="0" w:line="210" w:lineRule="exact"/>
        <w:rPr>
          <w:rFonts w:ascii="Arial" w:cs="Arial" w:eastAsia="Arial" w:hAnsi="Arial"/>
          <w:sz w:val="17"/>
          <w:szCs w:val="17"/>
          <w:color w:val="auto"/>
        </w:rPr>
      </w:pPr>
    </w:p>
    <w:p>
      <w:pPr>
        <w:ind w:right="40" w:firstLine="1492"/>
        <w:spacing w:after="0" w:line="297" w:lineRule="auto"/>
        <w:tabs>
          <w:tab w:leader="none" w:pos="1698"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74" w:right="25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81" w:lineRule="exact"/>
        <w:rPr>
          <w:sz w:val="20"/>
          <w:szCs w:val="20"/>
          <w:color w:val="auto"/>
        </w:rPr>
      </w:pPr>
    </w:p>
    <w:p>
      <w:pPr>
        <w:ind w:right="160" w:firstLine="1492"/>
        <w:spacing w:after="0" w:line="255" w:lineRule="auto"/>
        <w:tabs>
          <w:tab w:leader="none" w:pos="1748"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89" w:lineRule="exact"/>
        <w:rPr>
          <w:rFonts w:ascii="Arial" w:cs="Arial" w:eastAsia="Arial" w:hAnsi="Arial"/>
          <w:sz w:val="18"/>
          <w:szCs w:val="18"/>
          <w:color w:val="auto"/>
        </w:rPr>
      </w:pPr>
    </w:p>
    <w:p>
      <w:pPr>
        <w:ind w:right="40" w:firstLine="1492"/>
        <w:spacing w:after="0" w:line="254" w:lineRule="auto"/>
        <w:tabs>
          <w:tab w:leader="none" w:pos="1798"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Unless otherwise determined by the Committee at the date of grant, any Dividend Equivalents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92" w:lineRule="exact"/>
        <w:rPr>
          <w:rFonts w:ascii="Arial" w:cs="Arial" w:eastAsia="Arial" w:hAnsi="Arial"/>
          <w:sz w:val="18"/>
          <w:szCs w:val="18"/>
          <w:color w:val="auto"/>
        </w:rPr>
      </w:pPr>
    </w:p>
    <w:p>
      <w:pPr>
        <w:ind w:right="40" w:firstLine="921"/>
        <w:spacing w:after="0" w:line="276" w:lineRule="auto"/>
        <w:tabs>
          <w:tab w:leader="none" w:pos="1138"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Bonus Stock and Awards in Lieu of Obligations</w:t>
      </w:r>
      <w:r>
        <w:rPr>
          <w:rFonts w:ascii="Arial" w:cs="Arial" w:eastAsia="Arial" w:hAnsi="Arial"/>
          <w:sz w:val="17"/>
          <w:szCs w:val="17"/>
          <w:color w:val="auto"/>
        </w:rPr>
        <w:t>. The Committee is authorized to grant Shares to any Eligible Persons as a bonus, or to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72" w:lineRule="exact"/>
        <w:rPr>
          <w:rFonts w:ascii="Arial" w:cs="Arial" w:eastAsia="Arial" w:hAnsi="Arial"/>
          <w:sz w:val="17"/>
          <w:szCs w:val="17"/>
          <w:color w:val="auto"/>
        </w:rPr>
      </w:pPr>
    </w:p>
    <w:p>
      <w:pPr>
        <w:ind w:right="100" w:firstLine="921"/>
        <w:spacing w:after="0" w:line="255" w:lineRule="auto"/>
        <w:tabs>
          <w:tab w:leader="none" w:pos="1168"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93" w:lineRule="exact"/>
        <w:rPr>
          <w:rFonts w:ascii="Arial" w:cs="Arial" w:eastAsia="Arial" w:hAnsi="Arial"/>
          <w:sz w:val="18"/>
          <w:szCs w:val="18"/>
          <w:color w:val="auto"/>
        </w:rPr>
      </w:pPr>
    </w:p>
    <w:p>
      <w:pPr>
        <w:ind w:right="100" w:firstLine="921"/>
        <w:spacing w:after="0" w:line="293"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274" w:right="279" w:bottom="1440" w:gutter="0" w:footer="0" w:header="0"/>
        </w:sectPr>
      </w:pPr>
    </w:p>
    <w:bookmarkStart w:id="67" w:name="page68"/>
    <w:bookmarkEnd w:id="6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88" w:lineRule="exact"/>
        <w:rPr>
          <w:sz w:val="20"/>
          <w:szCs w:val="20"/>
          <w:color w:val="auto"/>
        </w:rPr>
      </w:pPr>
    </w:p>
    <w:p>
      <w:pPr>
        <w:ind w:right="20" w:firstLine="921"/>
        <w:spacing w:after="0" w:line="253" w:lineRule="auto"/>
        <w:tabs>
          <w:tab w:leader="none" w:pos="1128"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Committee is authorized, subject to limitations under applicable law, to grant to any Eligible Person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97" w:lineRule="exact"/>
        <w:rPr>
          <w:rFonts w:ascii="Arial" w:cs="Arial" w:eastAsia="Arial" w:hAnsi="Arial"/>
          <w:sz w:val="18"/>
          <w:szCs w:val="18"/>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87" w:lineRule="auto"/>
        <w:tabs>
          <w:tab w:leader="none" w:pos="1157"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72" w:lineRule="exact"/>
        <w:rPr>
          <w:rFonts w:ascii="Arial" w:cs="Arial" w:eastAsia="Arial" w:hAnsi="Arial"/>
          <w:sz w:val="16"/>
          <w:szCs w:val="16"/>
          <w:color w:val="auto"/>
        </w:rPr>
      </w:pPr>
    </w:p>
    <w:p>
      <w:pPr>
        <w:jc w:val="both"/>
        <w:ind w:firstLine="921"/>
        <w:spacing w:after="0" w:line="264" w:lineRule="auto"/>
        <w:tabs>
          <w:tab w:leader="none" w:pos="1168"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ind w:right="60" w:firstLine="921"/>
        <w:spacing w:after="0" w:line="272" w:lineRule="auto"/>
        <w:tabs>
          <w:tab w:leader="none" w:pos="1157"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 Agreement, payments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74" w:right="239" w:bottom="1440" w:gutter="0" w:footer="0" w:header="0"/>
        </w:sectPr>
      </w:pPr>
    </w:p>
    <w:bookmarkStart w:id="68" w:name="page69"/>
    <w:bookmarkEnd w:id="6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179" w:lineRule="exact"/>
        <w:rPr>
          <w:sz w:val="20"/>
          <w:szCs w:val="20"/>
          <w:color w:val="auto"/>
        </w:rPr>
      </w:pPr>
    </w:p>
    <w:p>
      <w:pPr>
        <w:ind w:right="40" w:firstLine="921"/>
        <w:spacing w:after="0" w:line="276" w:lineRule="auto"/>
        <w:tabs>
          <w:tab w:leader="none" w:pos="1168"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Exemptions from Section 16(b) Liability</w:t>
      </w:r>
      <w:r>
        <w:rPr>
          <w:rFonts w:ascii="Arial" w:cs="Arial" w:eastAsia="Arial" w:hAnsi="Arial"/>
          <w:sz w:val="17"/>
          <w:szCs w:val="17"/>
          <w:color w:val="auto"/>
        </w:rPr>
        <w:t>. : If the It is the intent of the Company that the grant of any Awards to or other transaction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72" w:lineRule="exact"/>
        <w:rPr>
          <w:rFonts w:ascii="Arial" w:cs="Arial" w:eastAsia="Arial" w:hAnsi="Arial"/>
          <w:sz w:val="17"/>
          <w:szCs w:val="17"/>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302" w:lineRule="auto"/>
        <w:tabs>
          <w:tab w:leader="none" w:pos="1698"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54" w:lineRule="exact"/>
        <w:rPr>
          <w:rFonts w:ascii="Arial" w:cs="Arial" w:eastAsia="Arial" w:hAnsi="Arial"/>
          <w:sz w:val="16"/>
          <w:szCs w:val="16"/>
          <w:color w:val="auto"/>
        </w:rPr>
      </w:pPr>
    </w:p>
    <w:p>
      <w:pPr>
        <w:ind w:right="60" w:firstLine="1492"/>
        <w:spacing w:after="0" w:line="308" w:lineRule="auto"/>
        <w:tabs>
          <w:tab w:leader="none" w:pos="1748"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38" w:lineRule="exact"/>
        <w:rPr>
          <w:rFonts w:ascii="Arial" w:cs="Arial" w:eastAsia="Arial" w:hAnsi="Arial"/>
          <w:sz w:val="17"/>
          <w:szCs w:val="17"/>
          <w:color w:val="auto"/>
        </w:rPr>
      </w:pPr>
    </w:p>
    <w:p>
      <w:pPr>
        <w:ind w:right="80" w:firstLine="1948"/>
        <w:spacing w:after="0" w:line="279" w:lineRule="auto"/>
        <w:tabs>
          <w:tab w:leader="none" w:pos="2235" w:val="left"/>
        </w:tabs>
        <w:numPr>
          <w:ilvl w:val="2"/>
          <w:numId w:val="69"/>
        </w:numPr>
        <w:rPr>
          <w:rFonts w:ascii="Arial" w:cs="Arial" w:eastAsia="Arial" w:hAnsi="Arial"/>
          <w:sz w:val="17"/>
          <w:szCs w:val="17"/>
          <w:color w:val="auto"/>
        </w:rPr>
      </w:pPr>
      <w:r>
        <w:rPr>
          <w:rFonts w:ascii="Arial" w:cs="Arial" w:eastAsia="Arial" w:hAnsi="Arial"/>
          <w:sz w:val="17"/>
          <w:szCs w:val="17"/>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“unforeseeble emergency”;</w:t>
      </w:r>
    </w:p>
    <w:p>
      <w:pPr>
        <w:spacing w:after="0" w:line="171" w:lineRule="exact"/>
        <w:rPr>
          <w:rFonts w:ascii="Arial" w:cs="Arial" w:eastAsia="Arial" w:hAnsi="Arial"/>
          <w:sz w:val="17"/>
          <w:szCs w:val="17"/>
          <w:color w:val="auto"/>
        </w:rPr>
      </w:pPr>
    </w:p>
    <w:p>
      <w:pPr>
        <w:ind w:right="240" w:firstLine="1948"/>
        <w:spacing w:after="0" w:line="277" w:lineRule="auto"/>
        <w:tabs>
          <w:tab w:leader="none" w:pos="2225"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70" w:lineRule="exact"/>
        <w:rPr>
          <w:rFonts w:ascii="Arial" w:cs="Arial" w:eastAsia="Arial" w:hAnsi="Arial"/>
          <w:sz w:val="18"/>
          <w:szCs w:val="18"/>
          <w:color w:val="auto"/>
        </w:rPr>
      </w:pPr>
    </w:p>
    <w:p>
      <w:pPr>
        <w:ind w:right="800" w:firstLine="1948"/>
        <w:spacing w:after="0" w:line="277" w:lineRule="auto"/>
        <w:tabs>
          <w:tab w:leader="none" w:pos="2225"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0" w:lineRule="exact"/>
        <w:rPr>
          <w:rFonts w:ascii="Arial" w:cs="Arial" w:eastAsia="Arial" w:hAnsi="Arial"/>
          <w:sz w:val="18"/>
          <w:szCs w:val="18"/>
          <w:color w:val="auto"/>
        </w:rPr>
      </w:pPr>
    </w:p>
    <w:p>
      <w:pPr>
        <w:ind w:right="40" w:firstLine="1948"/>
        <w:spacing w:after="0" w:line="342" w:lineRule="auto"/>
        <w:tabs>
          <w:tab w:leader="none" w:pos="2235" w:val="left"/>
        </w:tabs>
        <w:numPr>
          <w:ilvl w:val="2"/>
          <w:numId w:val="69"/>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74" w:right="239" w:bottom="1440" w:gutter="0" w:footer="0" w:header="0"/>
        </w:sectPr>
      </w:pPr>
    </w:p>
    <w:bookmarkStart w:id="69" w:name="page70"/>
    <w:bookmarkEnd w:id="69"/>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173" w:lineRule="exact"/>
        <w:rPr>
          <w:sz w:val="20"/>
          <w:szCs w:val="20"/>
          <w:color w:val="auto"/>
        </w:rPr>
      </w:pPr>
    </w:p>
    <w:p>
      <w:pPr>
        <w:ind w:right="80" w:firstLine="1492"/>
        <w:spacing w:after="0" w:line="257" w:lineRule="auto"/>
        <w:tabs>
          <w:tab w:leader="none" w:pos="1798" w:val="left"/>
        </w:tabs>
        <w:numPr>
          <w:ilvl w:val="3"/>
          <w:numId w:val="70"/>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21"/>
        <w:spacing w:after="0" w:line="264" w:lineRule="auto"/>
        <w:tabs>
          <w:tab w:leader="none" w:pos="1157" w:val="left"/>
        </w:tabs>
        <w:numPr>
          <w:ilvl w:val="2"/>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81" w:lineRule="exact"/>
        <w:rPr>
          <w:rFonts w:ascii="Arial" w:cs="Arial" w:eastAsia="Arial" w:hAnsi="Arial"/>
          <w:sz w:val="18"/>
          <w:szCs w:val="18"/>
          <w:color w:val="auto"/>
        </w:rPr>
      </w:pPr>
    </w:p>
    <w:p>
      <w:pPr>
        <w:ind w:firstLine="921"/>
        <w:spacing w:after="0" w:line="284" w:lineRule="auto"/>
        <w:tabs>
          <w:tab w:leader="none" w:pos="1168" w:val="left"/>
        </w:tabs>
        <w:numPr>
          <w:ilvl w:val="2"/>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w:t>
      </w:r>
    </w:p>
    <w:p>
      <w:pPr>
        <w:spacing w:after="0" w:line="2" w:lineRule="exact"/>
        <w:rPr>
          <w:rFonts w:ascii="Arial" w:cs="Arial" w:eastAsia="Arial" w:hAnsi="Arial"/>
          <w:sz w:val="16"/>
          <w:szCs w:val="16"/>
          <w:color w:val="auto"/>
        </w:rPr>
      </w:pPr>
    </w:p>
    <w:p>
      <w:pPr>
        <w:ind w:right="40" w:firstLine="8"/>
        <w:spacing w:after="0" w:line="267" w:lineRule="auto"/>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74" w:right="259" w:bottom="1440" w:gutter="0" w:footer="0" w:header="0"/>
        </w:sectPr>
      </w:pPr>
    </w:p>
    <w:bookmarkStart w:id="70" w:name="page71"/>
    <w:bookmarkEnd w:id="70"/>
    <w:p>
      <w:pPr>
        <w:jc w:val="both"/>
        <w:ind w:right="140" w:firstLine="921"/>
        <w:spacing w:after="0" w:line="279" w:lineRule="auto"/>
        <w:tabs>
          <w:tab w:leader="none" w:pos="1157" w:val="left"/>
        </w:tabs>
        <w:numPr>
          <w:ilvl w:val="1"/>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Period; Timing For Establishing Performance Goals</w:t>
      </w:r>
      <w:r>
        <w:rPr>
          <w:rFonts w:ascii="Arial" w:cs="Arial" w:eastAsia="Arial" w:hAnsi="Arial"/>
          <w:sz w:val="17"/>
          <w:szCs w:val="17"/>
          <w:color w:val="auto"/>
        </w:rPr>
        <w:t>. Achievement of performance goals in respect of Performance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71" w:lineRule="exact"/>
        <w:rPr>
          <w:rFonts w:ascii="Arial" w:cs="Arial" w:eastAsia="Arial" w:hAnsi="Arial"/>
          <w:sz w:val="17"/>
          <w:szCs w:val="17"/>
          <w:color w:val="auto"/>
        </w:rPr>
      </w:pPr>
    </w:p>
    <w:p>
      <w:pPr>
        <w:ind w:right="140" w:firstLine="921"/>
        <w:spacing w:after="0" w:line="259" w:lineRule="auto"/>
        <w:tabs>
          <w:tab w:leader="none" w:pos="1168"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86" w:lineRule="exact"/>
        <w:rPr>
          <w:rFonts w:ascii="Arial" w:cs="Arial" w:eastAsia="Arial" w:hAnsi="Arial"/>
          <w:sz w:val="18"/>
          <w:szCs w:val="18"/>
          <w:color w:val="auto"/>
        </w:rPr>
      </w:pPr>
    </w:p>
    <w:p>
      <w:pPr>
        <w:ind w:right="140" w:firstLine="921"/>
        <w:spacing w:after="0" w:line="259" w:lineRule="auto"/>
        <w:tabs>
          <w:tab w:leader="none" w:pos="1157"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8 unless the Committee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21"/>
        <w:spacing w:after="0" w:line="286" w:lineRule="auto"/>
        <w:tabs>
          <w:tab w:leader="none" w:pos="1157"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 of “Change in Control.” </w:t>
      </w:r>
      <w:r>
        <w:rPr>
          <w:rFonts w:ascii="Arial" w:cs="Arial" w:eastAsia="Arial" w:hAnsi="Arial"/>
          <w:sz w:val="17"/>
          <w:szCs w:val="17"/>
          <w:color w:val="auto"/>
        </w:rPr>
        <w:t>If and only to the extent provided in any employment or other agreement between the Participant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57" w:lineRule="exact"/>
        <w:rPr>
          <w:rFonts w:ascii="Arial" w:cs="Arial" w:eastAsia="Arial" w:hAnsi="Arial"/>
          <w:sz w:val="17"/>
          <w:szCs w:val="17"/>
          <w:color w:val="auto"/>
        </w:rPr>
      </w:pPr>
    </w:p>
    <w:p>
      <w:pPr>
        <w:ind w:right="60" w:firstLine="1492"/>
        <w:spacing w:after="0" w:line="277" w:lineRule="auto"/>
        <w:tabs>
          <w:tab w:leader="none" w:pos="1698"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70" w:lineRule="exact"/>
        <w:rPr>
          <w:rFonts w:ascii="Arial" w:cs="Arial" w:eastAsia="Arial" w:hAnsi="Arial"/>
          <w:sz w:val="18"/>
          <w:szCs w:val="18"/>
          <w:color w:val="auto"/>
        </w:rPr>
      </w:pPr>
    </w:p>
    <w:p>
      <w:pPr>
        <w:ind w:firstLine="1492"/>
        <w:spacing w:after="0" w:line="312" w:lineRule="auto"/>
        <w:tabs>
          <w:tab w:leader="none" w:pos="1748" w:val="left"/>
        </w:tabs>
        <w:numPr>
          <w:ilvl w:val="2"/>
          <w:numId w:val="74"/>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46" w:lineRule="exact"/>
        <w:rPr>
          <w:rFonts w:ascii="Arial" w:cs="Arial" w:eastAsia="Arial" w:hAnsi="Arial"/>
          <w:sz w:val="16"/>
          <w:szCs w:val="16"/>
          <w:color w:val="auto"/>
        </w:rPr>
      </w:pPr>
    </w:p>
    <w:p>
      <w:pPr>
        <w:ind w:right="140" w:firstLine="1492"/>
        <w:spacing w:after="0" w:line="308" w:lineRule="auto"/>
        <w:tabs>
          <w:tab w:leader="none" w:pos="1798" w:val="left"/>
        </w:tabs>
        <w:numPr>
          <w:ilvl w:val="2"/>
          <w:numId w:val="74"/>
        </w:numPr>
        <w:rPr>
          <w:rFonts w:ascii="Arial" w:cs="Arial" w:eastAsia="Arial" w:hAnsi="Arial"/>
          <w:sz w:val="17"/>
          <w:szCs w:val="17"/>
          <w:color w:val="auto"/>
        </w:rPr>
      </w:pPr>
      <w:r>
        <w:rPr>
          <w:rFonts w:ascii="Arial" w:cs="Arial" w:eastAsia="Arial" w:hAnsi="Arial"/>
          <w:sz w:val="17"/>
          <w:szCs w:val="17"/>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46" w:lineRule="exact"/>
        <w:rPr>
          <w:rFonts w:ascii="Arial" w:cs="Arial" w:eastAsia="Arial" w:hAnsi="Arial"/>
          <w:sz w:val="17"/>
          <w:szCs w:val="17"/>
          <w:color w:val="auto"/>
        </w:rPr>
      </w:pPr>
    </w:p>
    <w:p>
      <w:pPr>
        <w:ind w:right="120" w:firstLine="921"/>
        <w:spacing w:after="0" w:line="277" w:lineRule="auto"/>
        <w:tabs>
          <w:tab w:leader="none" w:pos="1168"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agreement between the Participant and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Related Entity, or in an Award Agreement, a “Change in Control” shall mean the occurrence of any of the following:</w:t>
      </w:r>
    </w:p>
    <w:p>
      <w:pPr>
        <w:spacing w:after="0" w:line="62" w:lineRule="exact"/>
        <w:rPr>
          <w:rFonts w:ascii="Arial" w:cs="Arial" w:eastAsia="Arial" w:hAnsi="Arial"/>
          <w:sz w:val="18"/>
          <w:szCs w:val="18"/>
          <w:color w:val="auto"/>
        </w:rPr>
      </w:pPr>
    </w:p>
    <w:p>
      <w:pPr>
        <w:ind w:right="140" w:firstLine="1492"/>
        <w:spacing w:after="0" w:line="288" w:lineRule="auto"/>
        <w:tabs>
          <w:tab w:leader="none" w:pos="1698"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w:t>
      </w:r>
    </w:p>
    <w:p>
      <w:pPr>
        <w:ind w:right="100"/>
        <w:spacing w:after="0" w:line="281" w:lineRule="auto"/>
        <w:rPr>
          <w:sz w:val="20"/>
          <w:szCs w:val="20"/>
          <w:color w:val="auto"/>
        </w:rPr>
      </w:pPr>
      <w:r>
        <w:rPr>
          <w:rFonts w:ascii="Arial" w:cs="Arial" w:eastAsia="Arial" w:hAnsi="Arial"/>
          <w:sz w:val="16"/>
          <w:szCs w:val="16"/>
          <w:color w:val="auto"/>
        </w:rPr>
        <w:t>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w:t>
      </w:r>
    </w:p>
    <w:p>
      <w:pPr>
        <w:spacing w:after="0" w:line="1"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acquisition by the Company; (x) any acquisition by any Person that as of the Effective Date owns Beneficial Ownership of a Controlling Interest;</w:t>
      </w:r>
    </w:p>
    <w:p>
      <w:pPr>
        <w:spacing w:after="0" w:line="32" w:lineRule="exact"/>
        <w:rPr>
          <w:rFonts w:ascii="Arial" w:cs="Arial" w:eastAsia="Arial" w:hAnsi="Arial"/>
          <w:sz w:val="16"/>
          <w:szCs w:val="16"/>
          <w:color w:val="auto"/>
        </w:rPr>
      </w:pPr>
    </w:p>
    <w:p>
      <w:pPr>
        <w:ind w:right="140" w:firstLine="8"/>
        <w:spacing w:after="0" w:line="261"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60"/>
          </w:cols>
          <w:pgMar w:left="240" w:top="274" w:right="299" w:bottom="1440" w:gutter="0" w:footer="0" w:header="0"/>
        </w:sectPr>
      </w:pPr>
    </w:p>
    <w:bookmarkStart w:id="71" w:name="page72"/>
    <w:bookmarkEnd w:id="71"/>
    <w:p>
      <w:pPr>
        <w:ind w:left="-20" w:right="80" w:firstLine="1492"/>
        <w:spacing w:after="0" w:line="255" w:lineRule="auto"/>
        <w:tabs>
          <w:tab w:leader="none" w:pos="1728" w:val="left"/>
        </w:tabs>
        <w:numPr>
          <w:ilvl w:val="2"/>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20" w:firstLine="1492"/>
        <w:spacing w:after="0" w:line="285" w:lineRule="auto"/>
        <w:tabs>
          <w:tab w:leader="none" w:pos="1778" w:val="left"/>
        </w:tabs>
        <w:numPr>
          <w:ilvl w:val="2"/>
          <w:numId w:val="77"/>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Arial" w:cs="Arial" w:eastAsia="Arial" w:hAnsi="Arial"/>
          <w:sz w:val="16"/>
          <w:szCs w:val="16"/>
          <w:color w:val="auto"/>
        </w:rPr>
      </w:pPr>
    </w:p>
    <w:p>
      <w:pPr>
        <w:ind w:left="1780" w:hanging="308"/>
        <w:spacing w:after="0"/>
        <w:tabs>
          <w:tab w:leader="none" w:pos="17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921"/>
        <w:spacing w:after="0" w:line="293" w:lineRule="auto"/>
        <w:tabs>
          <w:tab w:leader="none" w:pos="11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64" w:lineRule="exact"/>
        <w:rPr>
          <w:rFonts w:ascii="Arial" w:cs="Arial" w:eastAsia="Arial" w:hAnsi="Arial"/>
          <w:sz w:val="16"/>
          <w:szCs w:val="16"/>
          <w:color w:val="auto"/>
        </w:rPr>
      </w:pPr>
    </w:p>
    <w:p>
      <w:pPr>
        <w:ind w:left="-20" w:right="220" w:firstLine="921"/>
        <w:spacing w:after="0" w:line="264" w:lineRule="auto"/>
        <w:tabs>
          <w:tab w:leader="none" w:pos="1148"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encumbered or subject to any lien, obligation or liability of such Participant to any party, or assigned or transferred by such Participant otherwise than by will or the laws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80"/>
          </w:cols>
          <w:pgMar w:left="260" w:top="274" w:right="259" w:bottom="1440" w:gutter="0" w:footer="0" w:header="0"/>
        </w:sectPr>
      </w:pPr>
    </w:p>
    <w:bookmarkStart w:id="72" w:name="page73"/>
    <w:bookmarkEnd w:id="7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9" w:lineRule="exact"/>
        <w:rPr>
          <w:sz w:val="20"/>
          <w:szCs w:val="20"/>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253" w:lineRule="auto"/>
        <w:tabs>
          <w:tab w:leader="none" w:pos="1698"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Awards</w:t>
      </w:r>
      <w:r>
        <w:rPr>
          <w:rFonts w:ascii="Arial" w:cs="Arial" w:eastAsia="Arial" w:hAnsi="Arial"/>
          <w:sz w:val="18"/>
          <w:szCs w:val="18"/>
          <w:color w:val="auto"/>
        </w:rPr>
        <w:t>. In the event that any extraordinary dividend or other distribution (whether in the form of cash,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97" w:lineRule="exact"/>
        <w:rPr>
          <w:rFonts w:ascii="Arial" w:cs="Arial" w:eastAsia="Arial" w:hAnsi="Arial"/>
          <w:sz w:val="18"/>
          <w:szCs w:val="18"/>
          <w:color w:val="auto"/>
        </w:rPr>
      </w:pPr>
    </w:p>
    <w:p>
      <w:pPr>
        <w:ind w:firstLine="1492"/>
        <w:spacing w:after="0" w:line="268" w:lineRule="auto"/>
        <w:tabs>
          <w:tab w:leader="none" w:pos="1748" w:val="left"/>
        </w:tabs>
        <w:numPr>
          <w:ilvl w:val="1"/>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in Case of Certain Transactions</w:t>
      </w:r>
      <w:r>
        <w:rPr>
          <w:rFonts w:ascii="Arial" w:cs="Arial" w:eastAsia="Arial" w:hAnsi="Arial"/>
          <w:sz w:val="17"/>
          <w:szCs w:val="17"/>
          <w:color w:val="auto"/>
        </w:rPr>
        <w:t>. In the event of any merger, consolidation or other reorganization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7" w:lineRule="exact"/>
        <w:rPr>
          <w:rFonts w:ascii="Arial" w:cs="Arial" w:eastAsia="Arial" w:hAnsi="Arial"/>
          <w:sz w:val="17"/>
          <w:szCs w:val="17"/>
          <w:color w:val="auto"/>
        </w:rPr>
      </w:pPr>
    </w:p>
    <w:p>
      <w:pPr>
        <w:ind w:right="40" w:firstLine="1492"/>
        <w:spacing w:after="0" w:line="257" w:lineRule="auto"/>
        <w:tabs>
          <w:tab w:leader="none" w:pos="1798"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 be exercised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274" w:right="239" w:bottom="1440" w:gutter="0" w:footer="0" w:header="0"/>
        </w:sectPr>
      </w:pPr>
    </w:p>
    <w:bookmarkStart w:id="73" w:name="page74"/>
    <w:bookmarkEnd w:id="7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166" w:lineRule="exact"/>
        <w:rPr>
          <w:sz w:val="20"/>
          <w:szCs w:val="20"/>
          <w:color w:val="auto"/>
        </w:rPr>
      </w:pPr>
    </w:p>
    <w:p>
      <w:pPr>
        <w:ind w:firstLine="921"/>
        <w:spacing w:after="0" w:line="273" w:lineRule="auto"/>
        <w:tabs>
          <w:tab w:leader="none" w:pos="1168"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Taxes</w:t>
      </w:r>
      <w:r>
        <w:rPr>
          <w:rFonts w:ascii="Arial" w:cs="Arial" w:eastAsia="Arial" w:hAnsi="Arial"/>
          <w:sz w:val="17"/>
          <w:szCs w:val="17"/>
          <w:color w:val="auto"/>
        </w:rPr>
        <w:t>. The Company and any Related Entity are authorized to withhold from any Award granted, any payment relating to an Award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78" w:lineRule="exact"/>
        <w:rPr>
          <w:rFonts w:ascii="Arial" w:cs="Arial" w:eastAsia="Arial" w:hAnsi="Arial"/>
          <w:sz w:val="17"/>
          <w:szCs w:val="17"/>
          <w:color w:val="auto"/>
        </w:rPr>
      </w:pPr>
    </w:p>
    <w:p>
      <w:pPr>
        <w:ind w:firstLine="921"/>
        <w:spacing w:after="0" w:line="288" w:lineRule="auto"/>
        <w:tabs>
          <w:tab w:leader="none" w:pos="1157"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69" w:lineRule="exact"/>
        <w:rPr>
          <w:rFonts w:ascii="Arial" w:cs="Arial" w:eastAsia="Arial" w:hAnsi="Arial"/>
          <w:sz w:val="16"/>
          <w:szCs w:val="16"/>
          <w:color w:val="auto"/>
        </w:rPr>
      </w:pPr>
    </w:p>
    <w:p>
      <w:pPr>
        <w:ind w:left="1140" w:hanging="219"/>
        <w:spacing w:after="0"/>
        <w:tabs>
          <w:tab w:leader="none" w:pos="1140"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46" w:lineRule="exact"/>
        <w:rPr>
          <w:rFonts w:ascii="Arial" w:cs="Arial" w:eastAsia="Arial" w:hAnsi="Arial"/>
          <w:sz w:val="16"/>
          <w:szCs w:val="16"/>
          <w:color w:val="auto"/>
        </w:rPr>
      </w:pPr>
    </w:p>
    <w:p>
      <w:pPr>
        <w:ind w:firstLine="8"/>
        <w:spacing w:after="0" w:line="267" w:lineRule="auto"/>
        <w:tabs>
          <w:tab w:leader="none" w:pos="215" w:val="left"/>
        </w:tabs>
        <w:numPr>
          <w:ilvl w:val="0"/>
          <w:numId w:val="81"/>
        </w:numPr>
        <w:rPr>
          <w:rFonts w:ascii="Arial" w:cs="Arial" w:eastAsia="Arial" w:hAnsi="Arial"/>
          <w:sz w:val="17"/>
          <w:szCs w:val="17"/>
          <w:color w:val="auto"/>
        </w:rPr>
      </w:pPr>
      <w:r>
        <w:rPr>
          <w:rFonts w:ascii="Arial" w:cs="Arial" w:eastAsia="Arial" w:hAnsi="Arial"/>
          <w:sz w:val="17"/>
          <w:szCs w:val="17"/>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00"/>
          </w:cols>
          <w:pgMar w:left="240" w:top="274" w:right="259" w:bottom="1440" w:gutter="0" w:footer="0" w:header="0"/>
        </w:sectPr>
      </w:pPr>
    </w:p>
    <w:bookmarkStart w:id="74" w:name="page75"/>
    <w:bookmarkEnd w:id="74"/>
    <w:p>
      <w:pPr>
        <w:ind w:left="-20" w:right="60" w:firstLine="921"/>
        <w:spacing w:after="0" w:line="291" w:lineRule="auto"/>
        <w:tabs>
          <w:tab w:leader="none" w:pos="114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Unfunded Status of Awards; Creation of Trusts</w:t>
      </w:r>
      <w:r>
        <w:rPr>
          <w:rFonts w:ascii="Arial" w:cs="Arial" w:eastAsia="Arial" w:hAnsi="Arial"/>
          <w:sz w:val="16"/>
          <w:szCs w:val="16"/>
          <w:color w:val="auto"/>
        </w:rPr>
        <w:t>. 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7" w:lineRule="exact"/>
        <w:rPr>
          <w:rFonts w:ascii="Arial" w:cs="Arial" w:eastAsia="Arial" w:hAnsi="Arial"/>
          <w:sz w:val="16"/>
          <w:szCs w:val="16"/>
          <w:color w:val="auto"/>
        </w:rPr>
      </w:pPr>
    </w:p>
    <w:p>
      <w:pPr>
        <w:ind w:left="-20" w:firstLine="921"/>
        <w:spacing w:after="0" w:line="286" w:lineRule="auto"/>
        <w:tabs>
          <w:tab w:leader="none" w:pos="1148"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 Company for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ind w:left="-20" w:firstLine="921"/>
        <w:spacing w:after="0" w:line="302" w:lineRule="auto"/>
        <w:tabs>
          <w:tab w:leader="none" w:pos="110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Payments in the Event of Forfeitures; Fractional Shares</w:t>
      </w:r>
      <w:r>
        <w:rPr>
          <w:rFonts w:ascii="Arial" w:cs="Arial" w:eastAsia="Arial" w:hAnsi="Arial"/>
          <w:sz w:val="16"/>
          <w:szCs w:val="16"/>
          <w:color w:val="auto"/>
        </w:rPr>
        <w:t>. Unless otherwise determined by the Committee, in the event of a forfeiture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54" w:lineRule="exact"/>
        <w:rPr>
          <w:rFonts w:ascii="Arial" w:cs="Arial" w:eastAsia="Arial" w:hAnsi="Arial"/>
          <w:sz w:val="16"/>
          <w:szCs w:val="16"/>
          <w:color w:val="auto"/>
        </w:rPr>
      </w:pPr>
    </w:p>
    <w:p>
      <w:pPr>
        <w:ind w:left="-20" w:firstLine="921"/>
        <w:spacing w:after="0" w:line="264"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 Agreement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in accordance with the laws of the Commonwealth of Massachusetts without giving effect to principles of conflict of laws, and applicable federal law.</w:t>
      </w:r>
    </w:p>
    <w:p>
      <w:pPr>
        <w:spacing w:after="0" w:line="181" w:lineRule="exact"/>
        <w:rPr>
          <w:rFonts w:ascii="Arial" w:cs="Arial" w:eastAsia="Arial" w:hAnsi="Arial"/>
          <w:sz w:val="18"/>
          <w:szCs w:val="18"/>
          <w:color w:val="auto"/>
        </w:rPr>
      </w:pPr>
    </w:p>
    <w:p>
      <w:pPr>
        <w:ind w:left="-20" w:right="260" w:firstLine="921"/>
        <w:spacing w:after="0" w:line="286" w:lineRule="auto"/>
        <w:tabs>
          <w:tab w:leader="none" w:pos="1148"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 necessary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left="-20" w:right="40" w:firstLine="921"/>
        <w:spacing w:after="0" w:line="271" w:lineRule="auto"/>
        <w:tabs>
          <w:tab w:leader="none" w:pos="1108"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 Date,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sectPr>
      <w:pgSz w:w="11900" w:h="16838" w:orient="portrait"/>
      <w:cols w:equalWidth="0" w:num="1">
        <w:col w:w="11380"/>
      </w:cols>
      <w:pgMar w:left="26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lvl w:ilvl="1">
      <w:lvlJc w:val="left"/>
      <w:lvlText w:val="(%2)"/>
      <w:numFmt w:val="decimal"/>
      <w:start w:val="1"/>
    </w:lvl>
  </w:abstractNum>
  <w:abstractNum w:abstractNumId="4">
    <w:nsid w:val="1D4ED43B"/>
    <w:multiLevelType w:val="hybridMultilevel"/>
    <w:lvl w:ilvl="0">
      <w:lvlJc w:val="left"/>
      <w:lvlText w:val="(%1)"/>
      <w:numFmt w:val="decimal"/>
      <w:start w:val="3"/>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2"/>
    </w:lvl>
  </w:abstractNum>
  <w:abstractNum w:abstractNumId="15">
    <w:nsid w:val="684A481A"/>
    <w:multiLevelType w:val="hybridMultilevel"/>
    <w:lvl w:ilvl="0">
      <w:lvlJc w:val="left"/>
      <w:lvlText w:val="(%1)"/>
      <w:numFmt w:val="decimal"/>
      <w:start w:val="3"/>
    </w:lvl>
  </w:abstractNum>
  <w:abstractNum w:abstractNumId="16">
    <w:nsid w:val="579478FE"/>
    <w:multiLevelType w:val="hybridMultilevel"/>
    <w:lvl w:ilvl="0">
      <w:lvlJc w:val="left"/>
      <w:lvlText w:val="(%1)"/>
      <w:numFmt w:val="decimal"/>
      <w:start w:val="9"/>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lowerRoman"/>
      <w:start w:val="2"/>
    </w:lvl>
  </w:abstractNum>
  <w:abstractNum w:abstractNumId="19">
    <w:nsid w:val="1BA026FA"/>
    <w:multiLevelType w:val="hybridMultilevel"/>
    <w:lvl w:ilvl="0">
      <w:lvlJc w:val="left"/>
      <w:lvlText w:val="(%1)"/>
      <w:numFmt w:val="lowerRoman"/>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2"/>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emdash "/>
      <w:numFmt w:val="bullet"/>
      <w:start w:val="1"/>
    </w:lvl>
  </w:abstractNum>
  <w:abstractNum w:abstractNumId="30">
    <w:nsid w:val="39386575"/>
    <w:multiLevelType w:val="hybridMultilevel"/>
    <w:lvl w:ilvl="0">
      <w:lvlJc w:val="left"/>
      <w:lvlText w:val="\emdash "/>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8"/>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lowerRoman"/>
      <w:start w:val="3"/>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5"/>
    </w:lvl>
  </w:abstractNum>
  <w:abstractNum w:abstractNumId="40">
    <w:nsid w:val="3F6AB60F"/>
    <w:multiLevelType w:val="hybridMultilevel"/>
    <w:lvl w:ilvl="0">
      <w:lvlJc w:val="left"/>
      <w:lvlText w:val="(%1)"/>
      <w:numFmt w:val="lowerLetter"/>
      <w:start w:val="9"/>
    </w:lvl>
  </w:abstractNum>
  <w:abstractNum w:abstractNumId="41">
    <w:nsid w:val="61574095"/>
    <w:multiLevelType w:val="hybridMultilevel"/>
    <w:lvl w:ilvl="0">
      <w:lvlJc w:val="left"/>
      <w:lvlText w:val="(%1)"/>
      <w:numFmt w:val="lowerLetter"/>
      <w:start w:val="25"/>
    </w:lvl>
  </w:abstractNum>
  <w:abstractNum w:abstractNumId="42">
    <w:nsid w:val="7E0C57B1"/>
    <w:multiLevelType w:val="hybridMultilevel"/>
    <w:lvl w:ilvl="0">
      <w:lvlJc w:val="left"/>
      <w:lvlText w:val="(%1)"/>
      <w:numFmt w:val="lowerRoman"/>
      <w:start w:val="2"/>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775"/>
    </w:lvl>
  </w:abstractNum>
  <w:abstractNum w:abstractNumId="45">
    <w:nsid w:val="310C50B3"/>
    <w:multiLevelType w:val="hybridMultilevel"/>
    <w:lvl w:ilvl="0">
      <w:lvlJc w:val="left"/>
      <w:lvlText w:val="%1."/>
      <w:numFmt w:val="decimal"/>
      <w:start w:val="3"/>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decimal"/>
      <w:start w:val="1"/>
    </w:lvl>
    <w:lvl w:ilvl="1">
      <w:lvlJc w:val="left"/>
      <w:lvlText w:val="(%2)"/>
      <w:numFmt w:val="lowerLetter"/>
      <w:start w:val="1"/>
    </w:lvl>
  </w:abstractNum>
  <w:abstractNum w:abstractNumId="48">
    <w:nsid w:val="25A70BF7"/>
    <w:multiLevelType w:val="hybridMultilevel"/>
    <w:lvl w:ilvl="0">
      <w:lvlJc w:val="left"/>
      <w:lvlText w:val="(%1)"/>
      <w:numFmt w:val="lowerLetter"/>
      <w:start w:val="7"/>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lowerLetter"/>
      <w:start w:val="1"/>
    </w:lvl>
    <w:lvl w:ilvl="1">
      <w:lvlJc w:val="left"/>
      <w:lvlText w:val="(%2)"/>
      <w:numFmt w:val="lowerLetter"/>
      <w:start w:val="11"/>
    </w:lvl>
  </w:abstractNum>
  <w:abstractNum w:abstractNumId="51">
    <w:nsid w:val="1F48EAA1"/>
    <w:multiLevelType w:val="hybridMultilevel"/>
    <w:lvl w:ilvl="0">
      <w:lvlJc w:val="left"/>
      <w:lvlText w:val="(%1)"/>
      <w:numFmt w:val="lowerLetter"/>
      <w:start w:val="35"/>
    </w:lvl>
    <w:lvl w:ilvl="1">
      <w:lvlJc w:val="left"/>
      <w:lvlText w:val="(%2)"/>
      <w:numFmt w:val="lowerLetter"/>
      <w:start w:val="12"/>
    </w:lvl>
  </w:abstractNum>
  <w:abstractNum w:abstractNumId="52">
    <w:nsid w:val="1381823A"/>
    <w:multiLevelType w:val="hybridMultilevel"/>
    <w:lvl w:ilvl="0">
      <w:lvlJc w:val="left"/>
      <w:lvlText w:val="%1"/>
      <w:numFmt w:val="lowerLetter"/>
      <w:start w:val="1"/>
    </w:lvl>
    <w:lvl w:ilvl="1">
      <w:lvlJc w:val="left"/>
      <w:lvlText w:val="(%2)"/>
      <w:numFmt w:val="lowerLetter"/>
      <w:start w:val="17"/>
    </w:lvl>
  </w:abstractNum>
  <w:abstractNum w:abstractNumId="53">
    <w:nsid w:val="5DB70AE5"/>
    <w:multiLevelType w:val="hybridMultilevel"/>
    <w:lvl w:ilvl="0">
      <w:lvlJc w:val="left"/>
      <w:lvlText w:val="(%1)"/>
      <w:numFmt w:val="lowerLetter"/>
      <w:start w:val="35"/>
    </w:lvl>
    <w:lvl w:ilvl="1">
      <w:lvlJc w:val="left"/>
      <w:lvlText w:val="(%2)"/>
      <w:numFmt w:val="lowerLetter"/>
      <w:start w:val="24"/>
    </w:lvl>
  </w:abstractNum>
  <w:abstractNum w:abstractNumId="54">
    <w:nsid w:val="100F8FCA"/>
    <w:multiLevelType w:val="hybridMultilevel"/>
    <w:lvl w:ilvl="0">
      <w:lvlJc w:val="left"/>
      <w:lvlText w:val="(%1)"/>
      <w:numFmt w:val="lowerLetter"/>
      <w:start w:val="27"/>
    </w:lvl>
  </w:abstractNum>
  <w:abstractNum w:abstractNumId="55">
    <w:nsid w:val="6590700B"/>
    <w:multiLevelType w:val="hybridMultilevel"/>
    <w:lvl w:ilvl="0">
      <w:lvlJc w:val="left"/>
      <w:lvlText w:val="%1"/>
      <w:numFmt w:val="decimal"/>
      <w:start w:val="1"/>
    </w:lvl>
    <w:lvl w:ilvl="1">
      <w:lvlJc w:val="left"/>
      <w:lvlText w:val="(%2)"/>
      <w:numFmt w:val="lowerLetter"/>
      <w:start w:val="41"/>
    </w:lvl>
  </w:abstractNum>
  <w:abstractNum w:abstractNumId="56">
    <w:nsid w:val="15014ACB"/>
    <w:multiLevelType w:val="hybridMultilevel"/>
    <w:lvl w:ilvl="0">
      <w:lvlJc w:val="left"/>
      <w:lvlText w:val="%1."/>
      <w:numFmt w:val="decimal"/>
      <w:start w:val="3"/>
    </w:lvl>
    <w:lvl w:ilvl="1">
      <w:lvlJc w:val="left"/>
      <w:lvlText w:val="(%2)"/>
      <w:numFmt w:val="lowerLetter"/>
      <w:start w:val="1"/>
    </w:lvl>
  </w:abstractNum>
  <w:abstractNum w:abstractNumId="57">
    <w:nsid w:val="5F5E7F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
    <w:nsid w:val="799D02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6B947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
    <w:nsid w:val="42C296B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2">
    <w:nsid w:val="168E121F"/>
    <w:multiLevelType w:val="hybridMultilevel"/>
    <w:lvl w:ilvl="0">
      <w:lvlJc w:val="left"/>
      <w:lvlText w:val="%1"/>
      <w:numFmt w:val="lowerLetter"/>
      <w:start w:val="1"/>
    </w:lvl>
    <w:lvl w:ilvl="1">
      <w:lvlJc w:val="left"/>
      <w:lvlText w:val="(%2)"/>
      <w:numFmt w:val="lowerRoman"/>
      <w:start w:val="1"/>
    </w:lvl>
  </w:abstractNum>
  <w:abstractNum w:abstractNumId="63">
    <w:nsid w:val="1EBA5D23"/>
    <w:multiLevelType w:val="hybridMultilevel"/>
    <w:lvl w:ilvl="0">
      <w:lvlJc w:val="left"/>
      <w:lvlText w:val="(%1)"/>
      <w:numFmt w:val="lowerLetter"/>
      <w:start w:val="5"/>
    </w:lvl>
    <w:lvl w:ilvl="1">
      <w:lvlJc w:val="left"/>
      <w:lvlText w:val="(%2)"/>
      <w:numFmt w:val="lowerRoman"/>
      <w:start w:val="1"/>
    </w:lvl>
  </w:abstractNum>
  <w:abstractNum w:abstractNumId="64">
    <w:nsid w:val="661E3F1E"/>
    <w:multiLevelType w:val="hybridMultilevel"/>
    <w:lvl w:ilvl="0">
      <w:lvlJc w:val="left"/>
      <w:lvlText w:val="%1"/>
      <w:numFmt w:val="lowerLetter"/>
      <w:start w:val="1"/>
    </w:lvl>
    <w:lvl w:ilvl="1">
      <w:lvlJc w:val="left"/>
      <w:lvlText w:val="(%2)"/>
      <w:numFmt w:val="lowerRoman"/>
      <w:start w:val="2"/>
    </w:lvl>
  </w:abstractNum>
  <w:abstractNum w:abstractNumId="65">
    <w:nsid w:val="5DC79EA8"/>
    <w:multiLevelType w:val="hybridMultilevel"/>
    <w:lvl w:ilvl="0">
      <w:lvlJc w:val="left"/>
      <w:lvlText w:val="(%1)"/>
      <w:numFmt w:val="lowerLetter"/>
      <w:start w:val="6"/>
    </w:lvl>
    <w:lvl w:ilvl="1">
      <w:lvlJc w:val="left"/>
      <w:lvlText w:val="%2"/>
      <w:numFmt w:val="lowerRoman"/>
      <w:start w:val="1"/>
    </w:lvl>
  </w:abstractNum>
  <w:abstractNum w:abstractNumId="66">
    <w:nsid w:val="540A471C"/>
    <w:multiLevelType w:val="hybridMultilevel"/>
    <w:lvl w:ilvl="0">
      <w:lvlJc w:val="left"/>
      <w:lvlText w:val="%1"/>
      <w:numFmt w:val="decimal"/>
      <w:start w:val="1"/>
    </w:lvl>
    <w:lvl w:ilvl="1">
      <w:lvlJc w:val="left"/>
      <w:lvlText w:val="(%2)"/>
      <w:numFmt w:val="lowerLetter"/>
      <w:start w:val="9"/>
    </w:lvl>
  </w:abstractNum>
  <w:abstractNum w:abstractNumId="67">
    <w:nsid w:val="7BD3EE7B"/>
    <w:multiLevelType w:val="hybridMultilevel"/>
    <w:lvl w:ilvl="0">
      <w:lvlJc w:val="left"/>
      <w:lvlText w:val="%1."/>
      <w:numFmt w:val="decimal"/>
      <w:start w:val="7"/>
    </w:lvl>
    <w:lvl w:ilvl="1">
      <w:lvlJc w:val="left"/>
      <w:lvlText w:val="(%2)"/>
      <w:numFmt w:val="lowerLetter"/>
      <w:start w:val="1"/>
    </w:lvl>
  </w:abstractNum>
  <w:abstractNum w:abstractNumId="68">
    <w:nsid w:val="51D9C56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9">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70">
    <w:nsid w:val="BF72B14"/>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71">
    <w:nsid w:val="11447B7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2">
    <w:nsid w:val="42963E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A0382C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4">
    <w:nsid w:val="8F2B15E"/>
    <w:multiLevelType w:val="hybridMultilevel"/>
    <w:lvl w:ilvl="0">
      <w:lvlJc w:val="left"/>
      <w:lvlText w:val="(%1)"/>
      <w:numFmt w:val="lowerLetter"/>
      <w:start w:val="23"/>
    </w:lvl>
  </w:abstractNum>
  <w:abstractNum w:abstractNumId="75">
    <w:nsid w:val="1A32234B"/>
    <w:multiLevelType w:val="hybridMultilevel"/>
    <w:lvl w:ilvl="0">
      <w:lvlJc w:val="left"/>
      <w:lvlText w:val="(%1)"/>
      <w:numFmt w:val="lowerLetter"/>
      <w:start w:val="25"/>
    </w:lvl>
  </w:abstractNum>
  <w:abstractNum w:abstractNumId="76">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7">
    <w:nsid w:val="68EB2F6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8">
    <w:nsid w:val="4962813B"/>
    <w:multiLevelType w:val="hybridMultilevel"/>
    <w:lvl w:ilvl="0">
      <w:lvlJc w:val="left"/>
      <w:lvlText w:val="(%1)"/>
      <w:numFmt w:val="lowerLetter"/>
      <w:start w:val="3"/>
    </w:lvl>
    <w:lvl w:ilvl="1">
      <w:lvlJc w:val="left"/>
      <w:lvlText w:val="(%2)"/>
      <w:numFmt w:val="lowerRoman"/>
      <w:start w:val="1"/>
    </w:lvl>
  </w:abstractNum>
  <w:abstractNum w:abstractNumId="79">
    <w:nsid w:val="60B6DF70"/>
    <w:multiLevelType w:val="hybridMultilevel"/>
    <w:lvl w:ilvl="0">
      <w:lvlJc w:val="left"/>
      <w:lvlText w:val="%1"/>
      <w:numFmt w:val="lowerLetter"/>
      <w:start w:val="1"/>
    </w:lvl>
    <w:lvl w:ilvl="1">
      <w:lvlJc w:val="left"/>
      <w:lvlText w:val="(%2)"/>
      <w:numFmt w:val="lowerLetter"/>
      <w:start w:val="4"/>
    </w:lvl>
  </w:abstractNum>
  <w:abstractNum w:abstractNumId="80">
    <w:nsid w:val="6A5EE64"/>
    <w:multiLevelType w:val="hybridMultilevel"/>
    <w:lvl w:ilvl="0">
      <w:lvlJc w:val="left"/>
      <w:lvlText w:val="(%1)"/>
      <w:numFmt w:val="lowerLetter"/>
      <w:start w:val="9"/>
    </w:lvl>
    <w:lvl w:ilvl="1">
      <w:lvlJc w:val="left"/>
      <w:lvlText w:val="%2"/>
      <w:numFmt w:val="lowerLetter"/>
      <w:start w:val="1"/>
    </w:lvl>
  </w:abstractNum>
  <w:abstractNum w:abstractNumId="81">
    <w:nsid w:val="1433062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2019-12-06T15:52:51Z</dcterms:created>
  <dcterms:modified xsi:type="dcterms:W3CDTF">2019-12-06T15:52:51Z</dcterms:modified>
</cp:coreProperties>
</file>