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36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Nevada</w:t>
            </w:r>
          </w:p>
        </w:tc>
        <w:tc>
          <w:tcPr>
            <w:tcW w:w="5020" w:type="dxa"/>
            <w:vAlign w:val="bottom"/>
          </w:tcPr>
          <w:p>
            <w:pPr>
              <w:jc w:val="right"/>
              <w:ind w:right="850"/>
              <w:spacing w:after="0"/>
              <w:rPr>
                <w:sz w:val="20"/>
                <w:szCs w:val="20"/>
                <w:color w:val="auto"/>
              </w:rPr>
            </w:pPr>
            <w:r>
              <w:rPr>
                <w:rFonts w:ascii="Arial" w:cs="Arial" w:eastAsia="Arial" w:hAnsi="Arial"/>
                <w:sz w:val="18"/>
                <w:szCs w:val="18"/>
                <w:b w:val="1"/>
                <w:bCs w:val="1"/>
                <w:color w:val="auto"/>
              </w:rPr>
              <w:t>04-3562325</w:t>
            </w:r>
          </w:p>
        </w:tc>
      </w:tr>
      <w:tr>
        <w:trPr>
          <w:trHeight w:val="234"/>
        </w:trPr>
        <w:tc>
          <w:tcPr>
            <w:tcW w:w="36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5020" w:type="dxa"/>
            <w:vAlign w:val="bottom"/>
          </w:tcPr>
          <w:p>
            <w:pPr>
              <w:jc w:val="center"/>
              <w:ind w:left="21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36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4960 Peachtree Industrial Blvd.,</w:t>
            </w:r>
          </w:p>
        </w:tc>
        <w:tc>
          <w:tcPr>
            <w:tcW w:w="5020" w:type="dxa"/>
            <w:vAlign w:val="bottom"/>
          </w:tcPr>
          <w:p>
            <w:pPr>
              <w:spacing w:after="0"/>
              <w:rPr>
                <w:sz w:val="24"/>
                <w:szCs w:val="24"/>
                <w:color w:val="auto"/>
              </w:rPr>
            </w:pPr>
          </w:p>
        </w:tc>
      </w:tr>
      <w:tr>
        <w:trPr>
          <w:trHeight w:val="216"/>
        </w:trPr>
        <w:tc>
          <w:tcPr>
            <w:tcW w:w="36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Suite 240, Norcross, GA</w:t>
            </w:r>
          </w:p>
        </w:tc>
        <w:tc>
          <w:tcPr>
            <w:tcW w:w="5020" w:type="dxa"/>
            <w:vAlign w:val="bottom"/>
          </w:tcPr>
          <w:p>
            <w:pPr>
              <w:jc w:val="right"/>
              <w:ind w:right="1050"/>
              <w:spacing w:after="0"/>
              <w:rPr>
                <w:sz w:val="20"/>
                <w:szCs w:val="20"/>
                <w:color w:val="auto"/>
              </w:rPr>
            </w:pPr>
            <w:r>
              <w:rPr>
                <w:rFonts w:ascii="Arial" w:cs="Arial" w:eastAsia="Arial" w:hAnsi="Arial"/>
                <w:sz w:val="18"/>
                <w:szCs w:val="18"/>
                <w:b w:val="1"/>
                <w:bCs w:val="1"/>
                <w:color w:val="auto"/>
              </w:rPr>
              <w:t>30071</w:t>
            </w:r>
          </w:p>
        </w:tc>
      </w:tr>
      <w:tr>
        <w:trPr>
          <w:trHeight w:val="234"/>
        </w:trPr>
        <w:tc>
          <w:tcPr>
            <w:tcW w:w="36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5020" w:type="dxa"/>
            <w:vAlign w:val="bottom"/>
          </w:tcPr>
          <w:p>
            <w:pPr>
              <w:jc w:val="center"/>
              <w:ind w:left="2190"/>
              <w:spacing w:after="0"/>
              <w:rPr>
                <w:sz w:val="20"/>
                <w:szCs w:val="20"/>
                <w:color w:val="auto"/>
              </w:rPr>
            </w:pPr>
            <w:r>
              <w:rPr>
                <w:rFonts w:ascii="Arial" w:cs="Arial" w:eastAsia="Arial" w:hAnsi="Arial"/>
                <w:sz w:val="18"/>
                <w:szCs w:val="18"/>
                <w:b w:val="1"/>
                <w:bCs w:val="1"/>
                <w:color w:val="auto"/>
                <w:w w:val="92"/>
              </w:rPr>
              <w:t>(Zip Code)</w:t>
            </w:r>
          </w:p>
        </w:tc>
      </w:tr>
      <w:tr>
        <w:trPr>
          <w:trHeight w:val="432"/>
        </w:trPr>
        <w:tc>
          <w:tcPr>
            <w:tcW w:w="3680" w:type="dxa"/>
            <w:vAlign w:val="bottom"/>
          </w:tcPr>
          <w:p>
            <w:pPr>
              <w:spacing w:after="0"/>
              <w:rPr>
                <w:sz w:val="24"/>
                <w:szCs w:val="24"/>
                <w:color w:val="auto"/>
              </w:rPr>
            </w:pPr>
          </w:p>
        </w:tc>
        <w:tc>
          <w:tcPr>
            <w:tcW w:w="5020" w:type="dxa"/>
            <w:vAlign w:val="bottom"/>
          </w:tcPr>
          <w:p>
            <w:pPr>
              <w:jc w:val="right"/>
              <w:ind w:right="3510"/>
              <w:spacing w:after="0"/>
              <w:rPr>
                <w:sz w:val="20"/>
                <w:szCs w:val="20"/>
                <w:color w:val="auto"/>
              </w:rPr>
            </w:pPr>
            <w:r>
              <w:rPr>
                <w:rFonts w:ascii="Arial" w:cs="Arial" w:eastAsia="Arial" w:hAnsi="Arial"/>
                <w:sz w:val="18"/>
                <w:szCs w:val="18"/>
                <w:b w:val="1"/>
                <w:bCs w:val="1"/>
                <w:color w:val="auto"/>
              </w:rPr>
              <w:t>(678) 620 -3186</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28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Trading</w:t>
            </w:r>
          </w:p>
        </w:tc>
        <w:tc>
          <w:tcPr>
            <w:tcW w:w="4060" w:type="dxa"/>
            <w:vAlign w:val="bottom"/>
          </w:tcPr>
          <w:p>
            <w:pPr>
              <w:jc w:val="center"/>
              <w:ind w:left="230"/>
              <w:spacing w:after="0"/>
              <w:rPr>
                <w:sz w:val="20"/>
                <w:szCs w:val="20"/>
                <w:color w:val="auto"/>
              </w:rPr>
            </w:pPr>
            <w:r>
              <w:rPr>
                <w:rFonts w:ascii="Arial" w:cs="Arial" w:eastAsia="Arial" w:hAnsi="Arial"/>
                <w:sz w:val="18"/>
                <w:szCs w:val="18"/>
                <w:b w:val="1"/>
                <w:bCs w:val="1"/>
                <w:color w:val="auto"/>
                <w:w w:val="86"/>
              </w:rPr>
              <w:t>Name of each exchange</w:t>
            </w:r>
          </w:p>
        </w:tc>
      </w:tr>
      <w:tr>
        <w:trPr>
          <w:trHeight w:val="241"/>
        </w:trPr>
        <w:tc>
          <w:tcPr>
            <w:tcW w:w="3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Title of each class</w:t>
            </w:r>
          </w:p>
        </w:tc>
        <w:tc>
          <w:tcPr>
            <w:tcW w:w="32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Symbol(s)</w:t>
            </w:r>
          </w:p>
        </w:tc>
        <w:tc>
          <w:tcPr>
            <w:tcW w:w="40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39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Common Stock</w:t>
            </w:r>
          </w:p>
        </w:tc>
        <w:tc>
          <w:tcPr>
            <w:tcW w:w="3280" w:type="dxa"/>
            <w:vAlign w:val="bottom"/>
          </w:tcPr>
          <w:p>
            <w:pPr>
              <w:jc w:val="center"/>
              <w:ind w:left="90"/>
              <w:spacing w:after="0"/>
              <w:rPr>
                <w:sz w:val="20"/>
                <w:szCs w:val="20"/>
                <w:color w:val="auto"/>
              </w:rPr>
            </w:pPr>
            <w:r>
              <w:rPr>
                <w:rFonts w:ascii="Arial" w:cs="Arial" w:eastAsia="Arial" w:hAnsi="Arial"/>
                <w:sz w:val="18"/>
                <w:szCs w:val="18"/>
                <w:b w:val="1"/>
                <w:bCs w:val="1"/>
                <w:color w:val="auto"/>
              </w:rPr>
              <w:t>GALT</w:t>
            </w:r>
          </w:p>
        </w:tc>
        <w:tc>
          <w:tcPr>
            <w:tcW w:w="40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The Nasdaq Stock Market</w:t>
            </w:r>
          </w:p>
        </w:tc>
      </w:tr>
    </w:tbl>
    <w:p>
      <w:pPr>
        <w:spacing w:after="0" w:line="183"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6" w:lineRule="exact"/>
        <w:rPr>
          <w:sz w:val="24"/>
          <w:szCs w:val="24"/>
          <w:color w:val="auto"/>
        </w:rPr>
      </w:pPr>
    </w:p>
    <w:p>
      <w:pPr>
        <w:ind w:right="36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6"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80"/>
              <w:spacing w:after="0"/>
              <w:rPr>
                <w:sz w:val="20"/>
                <w:szCs w:val="20"/>
                <w:color w:val="auto"/>
              </w:rPr>
            </w:pPr>
            <w:r>
              <w:rPr>
                <w:rFonts w:ascii="Arial" w:cs="Arial" w:eastAsia="Arial" w:hAnsi="Arial"/>
                <w:sz w:val="18"/>
                <w:szCs w:val="18"/>
                <w:color w:val="auto"/>
                <w:w w:val="96"/>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Arial" w:cs="Arial" w:eastAsia="Arial" w:hAnsi="Arial"/>
                <w:sz w:val="18"/>
                <w:szCs w:val="18"/>
                <w:color w:val="auto"/>
                <w:w w:val="98"/>
              </w:rPr>
              <w:t>Emerging growth company</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74"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ab/>
        <w:t xml:space="preserve">☒ </w:t>
      </w:r>
      <w:r>
        <w:rPr>
          <w:rFonts w:ascii="Arial" w:cs="Arial" w:eastAsia="Arial" w:hAnsi="Arial"/>
          <w:sz w:val="18"/>
          <w:szCs w:val="18"/>
          <w:color w:val="auto"/>
        </w:rPr>
        <w:t>No</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November 8, 2023 was 61,848,657.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100" w:type="dxa"/>
            <w:vAlign w:val="bottom"/>
            <w:gridSpan w:val="10"/>
          </w:tcPr>
          <w:p>
            <w:pPr>
              <w:jc w:val="center"/>
              <w:ind w:right="2320"/>
              <w:spacing w:after="0"/>
              <w:rPr>
                <w:sz w:val="20"/>
                <w:szCs w:val="20"/>
                <w:color w:val="auto"/>
              </w:rPr>
            </w:pPr>
            <w:r>
              <w:rPr>
                <w:rFonts w:ascii="Arial" w:cs="Arial" w:eastAsia="Arial" w:hAnsi="Arial"/>
                <w:sz w:val="18"/>
                <w:szCs w:val="18"/>
                <w:color w:val="auto"/>
                <w:w w:val="98"/>
              </w:rPr>
              <w:t>PART I — FINANCIAL INFORMATION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PAGE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rPr>
                <w:sz w:val="20"/>
                <w:szCs w:val="20"/>
                <w:color w:val="auto"/>
              </w:rPr>
            </w:pPr>
            <w:r>
              <w:rPr>
                <w:rFonts w:ascii="Arial" w:cs="Arial" w:eastAsia="Arial" w:hAnsi="Arial"/>
                <w:sz w:val="18"/>
                <w:szCs w:val="18"/>
                <w:color w:val="auto"/>
              </w:rPr>
              <w:t>Unaudited Condensed Consolidated Financial Statements (unaudited)</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2023, and December 31, 2022</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7"/>
              </w:rPr>
              <w:t>Condensed Consolidated Statements of Operations for the Three and Nine Months Ended September 30, 2023 and 2022</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Cash Flows for the Nine Months Ended September 30, 2023 and 2022</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920" w:type="dxa"/>
            <w:vAlign w:val="bottom"/>
            <w:shd w:val="clear" w:color="auto" w:fill="CCEEFF"/>
          </w:tcPr>
          <w:p>
            <w:pPr>
              <w:spacing w:after="0"/>
              <w:rPr>
                <w:sz w:val="15"/>
                <w:szCs w:val="15"/>
                <w:color w:val="auto"/>
              </w:rPr>
            </w:pP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2"/>
              </w:rPr>
              <w:t>Condensed Consolidated Statements of Changes in Redeemable Convertible Preferred Stock and Stockholders’ Equity (Deficit)</w:t>
            </w:r>
          </w:p>
        </w:tc>
        <w:tc>
          <w:tcPr>
            <w:tcW w:w="900" w:type="dxa"/>
            <w:vAlign w:val="bottom"/>
            <w:shd w:val="clear" w:color="auto" w:fill="CCEEFF"/>
          </w:tcPr>
          <w:p>
            <w:pPr>
              <w:spacing w:after="0"/>
              <w:rPr>
                <w:sz w:val="15"/>
                <w:szCs w:val="15"/>
                <w:color w:val="auto"/>
              </w:rPr>
            </w:pP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9200" w:type="dxa"/>
            <w:vAlign w:val="bottom"/>
            <w:tcBorders>
              <w:top w:val="single" w:sz="8" w:color="0000EE"/>
            </w:tcBorders>
            <w:gridSpan w:val="16"/>
            <w:shd w:val="clear" w:color="auto" w:fill="CCEEFF"/>
          </w:tcPr>
          <w:p>
            <w:pPr>
              <w:spacing w:after="0" w:line="196" w:lineRule="exact"/>
              <w:rPr>
                <w:sz w:val="20"/>
                <w:szCs w:val="20"/>
                <w:color w:val="auto"/>
              </w:rPr>
            </w:pPr>
            <w:r>
              <w:rPr>
                <w:rFonts w:ascii="Arial" w:cs="Arial" w:eastAsia="Arial" w:hAnsi="Arial"/>
                <w:sz w:val="18"/>
                <w:szCs w:val="18"/>
                <w:color w:val="0000EE"/>
              </w:rPr>
              <w:t>for the Three and Nine Months Ended September 30, 2023 and 2022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6</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9</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100" w:type="dxa"/>
            <w:vAlign w:val="bottom"/>
            <w:gridSpan w:val="10"/>
            <w:shd w:val="clear" w:color="auto" w:fill="CCEEFF"/>
          </w:tcPr>
          <w:p>
            <w:pPr>
              <w:jc w:val="center"/>
              <w:ind w:right="2320"/>
              <w:spacing w:after="0"/>
              <w:rPr>
                <w:sz w:val="20"/>
                <w:szCs w:val="20"/>
                <w:color w:val="auto"/>
              </w:rPr>
            </w:pPr>
            <w:r>
              <w:rPr>
                <w:rFonts w:ascii="Arial" w:cs="Arial" w:eastAsia="Arial" w:hAnsi="Arial"/>
                <w:sz w:val="18"/>
                <w:szCs w:val="18"/>
                <w:color w:val="auto"/>
                <w:w w:val="96"/>
              </w:rPr>
              <w:t>PART II — OTHER INFORMATION</w:t>
            </w:r>
          </w:p>
        </w:tc>
        <w:tc>
          <w:tcPr>
            <w:tcW w:w="9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398"/>
        </w:trPr>
        <w:tc>
          <w:tcPr>
            <w:tcW w:w="9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GALECTIN THERAPEUTICS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22,163</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Borders>
              <w:top w:val="single" w:sz="8" w:color="CCEEFF"/>
            </w:tcBorders>
            <w:gridSpan w:val="2"/>
          </w:tcPr>
          <w:p>
            <w:pPr>
              <w:spacing w:after="0" w:line="198" w:lineRule="exact"/>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Accrued dividends payable</w:t>
            </w: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Convertible notes payable and accrued interest, net of discounts – related party (Note 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30,666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29,964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 (Note 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Borrowing and accrued interest under convertible line of credit, net of debt discount – related party (Note 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30,474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73,036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53,479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5"/>
              </w:rPr>
              <w:t>Series C super dividend redeemable convertible preferred stock; 1,000 shares authorized, 176 shares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w w:val="97"/>
              </w:rPr>
              <w:t>outstanding at September 30, 2023 and December 31, 2022, redemption value: $8,203,000, liquidation value: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$1,760,000 at September 30, 2023</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8360" w:type="dxa"/>
            <w:vAlign w:val="bottom"/>
          </w:tcPr>
          <w:p>
            <w:pPr>
              <w:ind w:left="20"/>
              <w:spacing w:after="0" w:line="201" w:lineRule="exact"/>
              <w:rPr>
                <w:sz w:val="20"/>
                <w:szCs w:val="20"/>
                <w:color w:val="auto"/>
              </w:rPr>
            </w:pPr>
            <w:r>
              <w:rPr>
                <w:rFonts w:ascii="Arial" w:cs="Arial" w:eastAsia="Arial" w:hAnsi="Arial"/>
                <w:sz w:val="18"/>
                <w:szCs w:val="18"/>
                <w:color w:val="auto"/>
                <w:w w:val="90"/>
              </w:rPr>
              <w:t>Undesignated stock, $0.01 par value; 20,000,000 shares authorized, 20,000,000 designated at September 30, 2023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and December 31, 2022, respectively</w:t>
            </w:r>
          </w:p>
        </w:tc>
        <w:tc>
          <w:tcPr>
            <w:tcW w:w="2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Series A 12% convertible preferred stock; 1,742,500 shares authorized, 1,260,000 issued and outstanding at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2023 and December 31, 2022, liquidation value $1,260,000 at September 30, 2023</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8360" w:type="dxa"/>
            <w:vAlign w:val="bottom"/>
          </w:tcPr>
          <w:p>
            <w:pPr>
              <w:ind w:left="20"/>
              <w:spacing w:after="0" w:line="201" w:lineRule="exact"/>
              <w:rPr>
                <w:sz w:val="20"/>
                <w:szCs w:val="20"/>
                <w:color w:val="auto"/>
              </w:rPr>
            </w:pPr>
            <w:r>
              <w:rPr>
                <w:rFonts w:ascii="Arial" w:cs="Arial" w:eastAsia="Arial" w:hAnsi="Arial"/>
                <w:sz w:val="18"/>
                <w:szCs w:val="18"/>
                <w:color w:val="auto"/>
                <w:w w:val="91"/>
              </w:rPr>
              <w:t>Common stock, $0.001 par value; 150,000,000 shares authorized at September 30, 2023 and December 31, 2022,</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w w:val="90"/>
              </w:rPr>
              <w:t>61,848,657 and 59,426,005 issued and outstanding at September 30, 2023 and December 31, 2022, 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275,081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(344,312)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(309,567)</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(52,596)</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22,163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(in thousands,</w:t>
            </w:r>
          </w:p>
        </w:tc>
        <w:tc>
          <w:tcPr>
            <w:tcW w:w="20" w:type="dxa"/>
            <w:vAlign w:val="bottom"/>
          </w:tcPr>
          <w:p>
            <w:pPr>
              <w:spacing w:after="0"/>
              <w:rPr>
                <w:sz w:val="17"/>
                <w:szCs w:val="17"/>
                <w:color w:val="auto"/>
              </w:rPr>
            </w:pPr>
          </w:p>
        </w:tc>
        <w:tc>
          <w:tcPr>
            <w:tcW w:w="136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89"/>
              </w:rPr>
              <w:t>except per share</w:t>
            </w:r>
          </w:p>
        </w:tc>
        <w:tc>
          <w:tcPr>
            <w:tcW w:w="220" w:type="dxa"/>
            <w:vAlign w:val="bottom"/>
          </w:tcPr>
          <w:p>
            <w:pPr>
              <w:spacing w:after="0"/>
              <w:rPr>
                <w:sz w:val="17"/>
                <w:szCs w:val="17"/>
                <w:color w:val="auto"/>
              </w:rPr>
            </w:pPr>
          </w:p>
        </w:tc>
        <w:tc>
          <w:tcPr>
            <w:tcW w:w="11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(in thousands,</w:t>
            </w:r>
          </w:p>
        </w:tc>
        <w:tc>
          <w:tcPr>
            <w:tcW w:w="134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89"/>
              </w:rPr>
              <w:t>except 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138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2"/>
              </w:rPr>
              <w:t>data)</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data)</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23,902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22,730</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1,524</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4,609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loss</w:t>
            </w:r>
          </w:p>
        </w:tc>
        <w:tc>
          <w:tcPr>
            <w:tcW w:w="240" w:type="dxa"/>
            <w:vAlign w:val="bottom"/>
          </w:tcPr>
          <w:p>
            <w:pPr>
              <w:spacing w:after="0"/>
              <w:rPr>
                <w:sz w:val="19"/>
                <w:szCs w:val="19"/>
                <w:color w:val="auto"/>
              </w:rPr>
            </w:pP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rPr>
              <w:t>(9,166)</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(8,122)</w:t>
            </w:r>
          </w:p>
        </w:tc>
        <w:tc>
          <w:tcPr>
            <w:tcW w:w="24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(28,511)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(27,719)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(835)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derivative</w:t>
            </w:r>
          </w:p>
        </w:tc>
        <w:tc>
          <w:tcPr>
            <w:tcW w:w="240" w:type="dxa"/>
            <w:vAlign w:val="bottom"/>
          </w:tcPr>
          <w:p>
            <w:pPr>
              <w:spacing w:after="0"/>
              <w:rPr>
                <w:sz w:val="19"/>
                <w:szCs w:val="19"/>
                <w:color w:val="auto"/>
              </w:rPr>
            </w:pP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rPr>
              <w:t>(489)</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rPr>
              <w:t>(10,428)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(31,069)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(28,142)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Warrant modification</w:t>
            </w:r>
          </w:p>
        </w:tc>
        <w:tc>
          <w:tcPr>
            <w:tcW w:w="240" w:type="dxa"/>
            <w:vAlign w:val="bottom"/>
          </w:tcPr>
          <w:p>
            <w:pPr>
              <w:spacing w:after="0"/>
              <w:rPr>
                <w:sz w:val="19"/>
                <w:szCs w:val="19"/>
                <w:color w:val="auto"/>
              </w:rPr>
            </w:pP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rPr>
              <w:t>(3,619)</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(3,619)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rPr>
              <w:t>(0.24)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(0.58)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59,704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59,396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59,590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GALECTIN THERAPEUTICS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(31,069)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(28,142)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Amortization of right to use lease asset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Accrued interest on convertible debt - related party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from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exercise of common stock purchase warrants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Net proceeds from convertible line of credit – related party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from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(23,817)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20,362</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15,831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Payment of preferred stock dividends in common stock</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Reclassification of accrued bonus to additional paid 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Common stock purchase warrants issued in connection with related party line of credit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 modification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Noncash right to use lease asset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Series C Super</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Dividend Redeemable</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Convertible</w:t>
            </w:r>
          </w:p>
        </w:tc>
      </w:tr>
      <w:tr>
        <w:trPr>
          <w:trHeight w:val="241"/>
        </w:trPr>
        <w:tc>
          <w:tcPr>
            <w:tcW w:w="8680" w:type="dxa"/>
            <w:vAlign w:val="bottom"/>
          </w:tcPr>
          <w:p>
            <w:pPr>
              <w:spacing w:after="0"/>
              <w:rPr>
                <w:sz w:val="20"/>
                <w:szCs w:val="20"/>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Preferred Stock</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Balance at September 30, 2022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Balance at September 30, 2023</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1,723</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September 30, 2023 and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4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1"/>
              </w:rPr>
              <w:t>Series A 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4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2"/>
              </w:rPr>
              <w:t>Convertible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8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Preferred Stock</w:t>
            </w:r>
          </w:p>
        </w:tc>
        <w:tc>
          <w:tcPr>
            <w:tcW w:w="1580" w:type="dxa"/>
            <w:vAlign w:val="bottom"/>
            <w:gridSpan w:val="3"/>
          </w:tcPr>
          <w:p>
            <w:pPr>
              <w:jc w:val="right"/>
              <w:ind w:right="4"/>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42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Additional</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16"/>
        </w:trPr>
        <w:tc>
          <w:tcPr>
            <w:tcW w:w="422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b w:val="1"/>
                <w:bCs w:val="1"/>
                <w:color w:val="auto"/>
              </w:rPr>
              <w:t>of</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of</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Paid-In</w:t>
            </w:r>
          </w:p>
        </w:tc>
        <w:tc>
          <w:tcPr>
            <w:tcW w:w="1000" w:type="dxa"/>
            <w:vAlign w:val="bottom"/>
            <w:gridSpan w:val="3"/>
          </w:tcPr>
          <w:p>
            <w:pPr>
              <w:jc w:val="right"/>
              <w:ind w:right="141"/>
              <w:spacing w:after="0"/>
              <w:rPr>
                <w:sz w:val="20"/>
                <w:szCs w:val="20"/>
                <w:color w:val="auto"/>
              </w:rPr>
            </w:pPr>
            <w:r>
              <w:rPr>
                <w:rFonts w:ascii="Arial" w:cs="Arial" w:eastAsia="Arial" w:hAnsi="Arial"/>
                <w:sz w:val="18"/>
                <w:szCs w:val="18"/>
                <w:b w:val="1"/>
                <w:bCs w:val="1"/>
                <w:color w:val="auto"/>
                <w:w w:val="99"/>
              </w:rPr>
              <w:t>Retained</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r>
      <w:tr>
        <w:trPr>
          <w:trHeight w:val="241"/>
        </w:trPr>
        <w:tc>
          <w:tcPr>
            <w:tcW w:w="4220" w:type="dxa"/>
            <w:vAlign w:val="bottom"/>
          </w:tcPr>
          <w:p>
            <w:pPr>
              <w:spacing w:after="0"/>
              <w:rPr>
                <w:sz w:val="20"/>
                <w:szCs w:val="20"/>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20"/>
                <w:szCs w:val="20"/>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(Deficit)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1,302,500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527</w:t>
            </w:r>
          </w:p>
        </w:tc>
        <w:tc>
          <w:tcPr>
            <w:tcW w:w="1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59,395,805</w:t>
            </w:r>
          </w:p>
        </w:tc>
        <w:tc>
          <w:tcPr>
            <w:tcW w:w="1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272,772</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(290,287)</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(16,946)</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12,600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17,600</w:t>
            </w: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rPr>
              <w:t>Issuance of common stock purchase warrants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from related party line of credit</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738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(8,597)</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(8,597)</w:t>
            </w:r>
          </w:p>
        </w:tc>
      </w:tr>
      <w:tr>
        <w:trPr>
          <w:trHeight w:val="223"/>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8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1,260,000</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510</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59,426,005</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274,241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(298,868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(24,058)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at June 30, 2023</w:t>
            </w: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1,260,000</w:t>
            </w:r>
          </w:p>
        </w:tc>
        <w:tc>
          <w:tcPr>
            <w:tcW w:w="540" w:type="dxa"/>
            <w:vAlign w:val="bottom"/>
            <w:gridSpan w:val="2"/>
          </w:tcPr>
          <w:p>
            <w:pPr>
              <w:jc w:val="right"/>
              <w:ind w:right="323"/>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b w:val="1"/>
                <w:bCs w:val="1"/>
                <w:color w:val="auto"/>
              </w:rPr>
              <w:t>510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59,582,253</w:t>
            </w:r>
          </w:p>
        </w:tc>
        <w:tc>
          <w:tcPr>
            <w:tcW w:w="520" w:type="dxa"/>
            <w:vAlign w:val="bottom"/>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276,852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8"/>
              </w:rPr>
              <w:t>(330,271)</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(52,850)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12,600</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17,600</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9"/>
              </w:rPr>
              <w:t>Issuance of common stock from exercise of warrants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2,236,204</w:t>
            </w:r>
          </w:p>
        </w:tc>
        <w:tc>
          <w:tcPr>
            <w:tcW w:w="5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10,033</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Warrant modification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3,619</w:t>
            </w:r>
          </w:p>
        </w:tc>
        <w:tc>
          <w:tcPr>
            <w:tcW w:w="14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(3,619)</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(10,428)</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(10,428)</w:t>
            </w: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2023</w:t>
            </w:r>
          </w:p>
        </w:tc>
        <w:tc>
          <w:tcPr>
            <w:tcW w:w="8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1,260,000</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510</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61,848,657</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291,145</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(344,312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(52,596)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562"/>
        </w:trPr>
        <w:tc>
          <w:tcPr>
            <w:tcW w:w="4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
        </w:trPr>
        <w:tc>
          <w:tcPr>
            <w:tcW w:w="4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2023 and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1"/>
              </w:rPr>
              <w:t>Series A 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2"/>
              </w:rPr>
              <w:t>Convertible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8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Preferred Stock</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of</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of</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8"/>
                <w:szCs w:val="18"/>
                <w:color w:val="auto"/>
              </w:rPr>
            </w:pPr>
          </w:p>
        </w:tc>
        <w:tc>
          <w:tcPr>
            <w:tcW w:w="980" w:type="dxa"/>
            <w:vAlign w:val="bottom"/>
            <w:gridSpan w:val="3"/>
          </w:tcPr>
          <w:p>
            <w:pPr>
              <w:jc w:val="right"/>
              <w:ind w:right="141"/>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r>
      <w:tr>
        <w:trPr>
          <w:trHeight w:val="241"/>
        </w:trPr>
        <w:tc>
          <w:tcPr>
            <w:tcW w:w="422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(Deficit)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1,302,500</w:t>
            </w: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527</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59,341,305</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271,001</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(270,694)</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893</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25,625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35,200</w:t>
            </w: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5"/>
              </w:rPr>
              <w:t>Issuance of common stock from conversion of Series A</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(42,500)</w:t>
            </w:r>
          </w:p>
        </w:tc>
        <w:tc>
          <w:tcPr>
            <w:tcW w:w="44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7,287</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purchase warrants from</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related party line of credit</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16,588</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2,386</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(28,142)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(28,142)</w:t>
            </w:r>
          </w:p>
        </w:tc>
      </w:tr>
      <w:tr>
        <w:trPr>
          <w:trHeight w:val="27"/>
        </w:trPr>
        <w:tc>
          <w:tcPr>
            <w:tcW w:w="4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at September 30, 2022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1,260,000</w:t>
            </w:r>
          </w:p>
        </w:tc>
        <w:tc>
          <w:tcPr>
            <w:tcW w:w="160" w:type="dxa"/>
            <w:vAlign w:val="bottom"/>
          </w:tcPr>
          <w:p>
            <w:pPr>
              <w:spacing w:after="0"/>
              <w:rPr>
                <w:sz w:val="19"/>
                <w:szCs w:val="19"/>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tcPr>
          <w:p>
            <w:pPr>
              <w:ind w:left="40"/>
              <w:spacing w:after="0"/>
              <w:rPr>
                <w:sz w:val="20"/>
                <w:szCs w:val="20"/>
                <w:color w:val="auto"/>
              </w:rPr>
            </w:pPr>
            <w:r>
              <w:rPr>
                <w:rFonts w:ascii="Arial" w:cs="Arial" w:eastAsia="Arial" w:hAnsi="Arial"/>
                <w:sz w:val="18"/>
                <w:szCs w:val="18"/>
                <w:b w:val="1"/>
                <w:bCs w:val="1"/>
                <w:color w:val="auto"/>
              </w:rPr>
              <w:t>510</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59,426,005</w:t>
            </w: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274,241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3"/>
              <w:spacing w:after="0"/>
              <w:rPr>
                <w:sz w:val="20"/>
                <w:szCs w:val="20"/>
                <w:color w:val="auto"/>
              </w:rPr>
            </w:pPr>
            <w:r>
              <w:rPr>
                <w:rFonts w:ascii="Arial" w:cs="Arial" w:eastAsia="Arial" w:hAnsi="Arial"/>
                <w:sz w:val="18"/>
                <w:szCs w:val="18"/>
                <w:b w:val="1"/>
                <w:bCs w:val="1"/>
                <w:color w:val="auto"/>
                <w:w w:val="99"/>
              </w:rPr>
              <w:t>(298,868)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(24,058)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1,260,000</w:t>
            </w: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510</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59,426,005</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275,081</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(309,567)</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(33,917)</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25,200</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35,200</w:t>
            </w: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9"/>
              </w:rPr>
              <w:t>Issuance of common stock from exercise of warrants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2,236,204</w:t>
            </w:r>
          </w:p>
        </w:tc>
        <w:tc>
          <w:tcPr>
            <w:tcW w:w="52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10,033</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(3,619)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5"/>
              </w:rPr>
              <w:t>Common stock purchase warrants issued in connection</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with related party line of credit</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126,048</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1,818</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(31,069)</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(31,069)</w:t>
            </w:r>
          </w:p>
        </w:tc>
      </w:tr>
      <w:tr>
        <w:trPr>
          <w:trHeight w:val="25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1,260,000</w:t>
            </w:r>
          </w:p>
        </w:tc>
        <w:tc>
          <w:tcPr>
            <w:tcW w:w="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510</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61,848,657</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291,145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(344,312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(52,596)</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Liquidity</w:t>
      </w:r>
    </w:p>
    <w:p>
      <w:pPr>
        <w:spacing w:after="0" w:line="22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September 30, 2023 and the results of its operations for the three and nine months ended September 30, 2023 and 2022 and its cash flows for the nine months ended September 30, 2023 and 2022. All adjustments made to the interim financial statements include all those of a normal and recurring nature. Amounts presented in the condensed consolidated balance sheet as of December 31, 2022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2022.</w:t>
      </w:r>
    </w:p>
    <w:p>
      <w:pPr>
        <w:spacing w:after="0" w:line="182"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The Company has operated at a loss since its inception and has had no revenues. The Company anticipates that losses will continue for the foreseeable future. At September 30, 2023, the company had $20,362,000 of unrestricted cash and cash equivalents available to fund future operations. In July 2022, the Company entered into a $60 million unsecured line of credit financing with its chairman, Richard E. Uihlein (See Note 12). The Company believes there is sufficient cash, including availability of the line of credit, to fund currently planned operations at least through December 31, 2024.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2. Accrued Expenses and Other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440"/>
              <w:spacing w:after="0"/>
              <w:rPr>
                <w:sz w:val="20"/>
                <w:szCs w:val="20"/>
                <w:color w:val="auto"/>
              </w:rPr>
            </w:pPr>
            <w:r>
              <w:rPr>
                <w:rFonts w:ascii="Arial" w:cs="Arial" w:eastAsia="Arial" w:hAnsi="Arial"/>
                <w:sz w:val="18"/>
                <w:szCs w:val="18"/>
                <w:color w:val="auto"/>
              </w:rPr>
              <w:t>Accrued expenses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857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7,980</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ectPr>
          <w:pgSz w:w="11900" w:h="16838" w:orient="portrait"/>
          <w:cols w:equalWidth="0" w:num="1">
            <w:col w:w="11240"/>
          </w:cols>
          <w:pgMar w:left="320" w:top="121" w:right="3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line="1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 Payable – Related Party</w:t>
      </w:r>
    </w:p>
    <w:p>
      <w:pPr>
        <w:spacing w:after="0" w:line="229" w:lineRule="exact"/>
        <w:rPr>
          <w:sz w:val="20"/>
          <w:szCs w:val="20"/>
          <w:color w:val="auto"/>
        </w:rPr>
      </w:pPr>
    </w:p>
    <w:p>
      <w:pPr>
        <w:ind w:right="160" w:firstLine="441"/>
        <w:spacing w:after="0" w:line="263" w:lineRule="auto"/>
        <w:rPr>
          <w:sz w:val="20"/>
          <w:szCs w:val="20"/>
          <w:color w:val="auto"/>
        </w:rPr>
      </w:pPr>
      <w:r>
        <w:rPr>
          <w:rFonts w:ascii="Arial" w:cs="Arial" w:eastAsia="Arial" w:hAnsi="Arial"/>
          <w:sz w:val="18"/>
          <w:szCs w:val="18"/>
          <w:color w:val="auto"/>
        </w:rPr>
        <w:t>On April 16, 2021, the Company and Richard E. Uihlein entered into a debt financing arrangement whereby Mr. Uihlein loaned $10,000,000 to Company. In consideration for the loan, the Company issued a convertible promissory note (the “April 2021 Note”) in the principal amount of ten million dollars.</w:t>
      </w:r>
    </w:p>
    <w:p>
      <w:pPr>
        <w:spacing w:after="0" w:line="184" w:lineRule="exact"/>
        <w:rPr>
          <w:sz w:val="20"/>
          <w:szCs w:val="20"/>
          <w:color w:val="auto"/>
        </w:rPr>
      </w:pPr>
    </w:p>
    <w:p>
      <w:pPr>
        <w:ind w:right="200" w:firstLine="441"/>
        <w:spacing w:after="0" w:line="273" w:lineRule="auto"/>
        <w:rPr>
          <w:sz w:val="20"/>
          <w:szCs w:val="20"/>
          <w:color w:val="auto"/>
        </w:rPr>
      </w:pPr>
      <w:r>
        <w:rPr>
          <w:rFonts w:ascii="Arial" w:cs="Arial" w:eastAsia="Arial" w:hAnsi="Arial"/>
          <w:sz w:val="17"/>
          <w:szCs w:val="17"/>
          <w:color w:val="auto"/>
        </w:rPr>
        <w:t>The April 2021 Note has a maturity date of April 16, 2025, is prepayable at the option of the Company in whole or in part at any time and is convertible into the Company’s common stock at a conversion price equal to $5.00 per share at the option of the noteholder. The April 2021 Note bears interest at the rate of two percent (2%) per annum, compounded annually with an effective interest rate of approximately 3%. For the three months ended September 30, 2023 and 2022, approximately $52,000 and $52,000, respectively, of interest expense was accrued and included with the principal in the financial statements. For the nine months ended September 30, 2023 and 2022, approximately $154,000 and $154,000, respectively, of interest expense was accrued and included with the principal in the financial statements.</w:t>
      </w:r>
    </w:p>
    <w:p>
      <w:pPr>
        <w:spacing w:after="0" w:line="17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April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2021 Note at its inception. The fair value of the contingent interest derivative liability was $420,000 at note inception (April 16, 2021). The fair value of the contingent interest derivative liability was $600,000 and $249,000 at September 30, 2023 and December 31, 2022, respectively, and is recognized as a derivative liability in the consolidated balance sheet. The change in the fair value of the derivative liability for the three months ended September 30, 2023 and 2022 of $233,000 and $97,000, respectively, was charged to other expense/(income) for the three months ended September 30, 2023 and 2022. The change in the fair value of the derivative liability for the nine months ended September 30, 2023 and 2022 of $351,000 and $(122,000), respectively, was charged to other expense/(income) for the nine months ended September 30, 2023 and 2022. The amortization of the original $420,000 debt discount of $26,000 and $26,000 was recorded as additional interest expense for the three months ended September 30, 2023 and 2022, respectively. The amortization of the original $420,000 debt discount of $78,000 and $78,000 was recorded as additional interest expense for the nine months ended September 30, 2023 and 2022, respectively.</w:t>
      </w:r>
    </w:p>
    <w:p>
      <w:pPr>
        <w:spacing w:after="0" w:line="184"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September 2021 Note has a maturity date of September 17, 2025, is prepayable at the option of the Company in whole or in part at any time and is convertible into the Company’s common stock at a conversion price equal to $8.64 per share at the option of the noteholder. The September 2021 Note bears interest at the rate of two percent (2%) per annum, compounded annually with an effective interest rate of approximately 3%. For the three months ended September 30, 2023 and 2022, approximately $52,000 and $51,000, respectively, of interest expense was accrued and included with the principal in the financial statements. For the nine months ended September 30, 2023 and 2022, approximately $153,000 and $150,000, respectively, of interest expense was accrued and included with the principal in the financial statements.</w:t>
      </w:r>
    </w:p>
    <w:p>
      <w:pPr>
        <w:spacing w:after="0" w:line="178"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The September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at note inception (September 17, 2021). The fair value of the contingent interest derivative liability was $238,000 and $109,000 and September 30, 2023 and December 31, 2022, respectively, and is recognized as a derivative liability in the consolidated balance sheet. The change in the fair value of the derivative liability for three months ended September 30, 2023 and 2022 of $78,000 and $46,000, respectively, was recorded to other expense/(income) for three months ended September 30, 2023 and 2022. The change in the fair value of the derivative liability for nine months ended September 30, 2023 and 2022 of $129,000 and ($73,000), respectively, was recorded to other expense/(income) for nine months ended September 30, 2023 and 2022. The amortization of the original $433,000 debt discount of $27,000 and $27,000 was recorded as additional interest expense for the three months ended September 30, 2023 and 2022. The amortization of the original $433,000 debt discount of $81,000 and $81,000 was recorded as additional interest expense for the nine months ended September 30, 2023 and 2022.</w:t>
      </w:r>
    </w:p>
    <w:p>
      <w:pPr>
        <w:spacing w:after="0" w:line="174"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On December 20, 2021, the second of the two promissory notes under the Loan Agreement was executed and delivered, (the “December 2021 Note”) to evidence the second loan in the principal amount of $10,000,000. The December 2021 Note has a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with an effective interest rate of approximately 3%. For three months ended September 30, 2023 and 2022, approximately $51,000 and $50,000, respectively, of interest expense was accrued and included with the principal in the financial statements. For nine months ended September 30, 2023 and 2022, approximately $152,000 and $150,000, respectively, of interest expense was accrued and included with the principal in the financial statements.</w:t>
      </w:r>
    </w:p>
    <w:p>
      <w:pPr>
        <w:spacing w:after="0" w:line="166"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December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at note inception (December 20, 2021). The fair value of the contingent interest derivative liability was $504,000 and $215,000 at September 30, 2023 and December 31, 2022, respectively, and is recognized as a derivative liability in the consolidated balance sheet. The change in the fair value of the derivative liability for three months ended September 30, 2023 and 2022 of $178,000 and $81,000, respectively was recorded to other expense/(income) for three months ended September 30, 2023 and 2022. The change in the fair value of the derivative liability for nine months ended September 30, 2023 and 2022 of $289,000 and ($85,000), respectively was recorded to other expense/(income) for nine months ended September 30, 2023 and 2022. The amortization of the original $415,000 debt discount of $26,000 and $26,000 was recorded as additional interest expense for three months ended September 30, 2023 and 2022, respectively. The amortization of the original $415,000 debt discount of $78,000 and $78,000 was recorded as additional interest expense for nine months ended September 30, 2023 and 2022, respectively.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contractual cash obligations related to the outstanding convertible notes payable are a repayment of the April 2021 Note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$10,000,000 plus accrued interest on April 16, 2025 and a repayment of the September 2021 Note of the $10,000,000 plus accrued interest on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 2025 and a repayment of the December 2021 Note of the $10,000,000 plus accrued interest on December 30, 2025, unless converted at the option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noteholder.</w:t>
      </w:r>
    </w:p>
    <w:p>
      <w:pPr>
        <w:sectPr>
          <w:pgSz w:w="11900" w:h="16855" w:orient="portrait"/>
          <w:cols w:equalWidth="0" w:num="1">
            <w:col w:w="11240"/>
          </w:cols>
          <w:pgMar w:left="320" w:top="121" w:right="339" w:bottom="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83" w:lineRule="exact"/>
        <w:rPr>
          <w:sz w:val="20"/>
          <w:szCs w:val="20"/>
          <w:color w:val="auto"/>
        </w:rPr>
      </w:pPr>
    </w:p>
    <w:p>
      <w:pPr>
        <w:ind w:right="140" w:firstLine="437"/>
        <w:spacing w:after="0" w:line="272" w:lineRule="auto"/>
        <w:rPr>
          <w:sz w:val="20"/>
          <w:szCs w:val="20"/>
          <w:color w:val="auto"/>
        </w:rPr>
      </w:pPr>
      <w:r>
        <w:rPr>
          <w:rFonts w:ascii="Arial" w:cs="Arial" w:eastAsia="Arial" w:hAnsi="Arial"/>
          <w:sz w:val="17"/>
          <w:szCs w:val="17"/>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1 or 2 assets or liabilities at September 30, 2023 or December 31, 2022. See below for Fair Value of Derivatives related to Convertible Notes Payable at September 30, 2023 and December 31, 2022, which are level 3 liabilities.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Level 3 assets and liabilities measured and recorded at fair value on a recurring basis at September 30, 2023 and December 31, 2022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Contingent Interest April Note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600,000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Derivative Liability – Contingent Interest September Note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238,000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Contingent Interest December Note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504,000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215,000</w:t>
            </w:r>
          </w:p>
        </w:tc>
      </w:tr>
    </w:tbl>
    <w:p>
      <w:pPr>
        <w:spacing w:after="0" w:line="202" w:lineRule="exact"/>
        <w:rPr>
          <w:sz w:val="20"/>
          <w:szCs w:val="20"/>
          <w:color w:val="auto"/>
        </w:rPr>
      </w:pPr>
    </w:p>
    <w:p>
      <w:pPr>
        <w:ind w:right="880" w:firstLine="437"/>
        <w:spacing w:after="0" w:line="277" w:lineRule="auto"/>
        <w:rPr>
          <w:sz w:val="20"/>
          <w:szCs w:val="20"/>
          <w:color w:val="auto"/>
        </w:rPr>
      </w:pPr>
      <w:r>
        <w:rPr>
          <w:rFonts w:ascii="Arial" w:cs="Arial" w:eastAsia="Arial" w:hAnsi="Arial"/>
          <w:sz w:val="18"/>
          <w:szCs w:val="18"/>
          <w:color w:val="auto"/>
        </w:rPr>
        <w:t>The April Note derivative liability – contingent interest was valued using a Monte Carlo Geometric Brownian Stock Path Model. The key assumptions used in the model at September 30,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Conversion Price of conversion feature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 years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2.29 years</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Volatility</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roll forward of the April Note derivative liability – contingent interest is as follows for the nine months ended September 30, 2023 and 2022: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6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249,000</w:t>
            </w:r>
          </w:p>
        </w:tc>
        <w:tc>
          <w:tcPr>
            <w:tcW w:w="10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Fair Value Adjustment</w:t>
            </w:r>
          </w:p>
        </w:tc>
        <w:tc>
          <w:tcPr>
            <w:tcW w:w="6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351,000</w:t>
            </w:r>
          </w:p>
        </w:tc>
        <w:tc>
          <w:tcPr>
            <w:tcW w:w="100" w:type="dxa"/>
            <w:vAlign w:val="bottom"/>
          </w:tcPr>
          <w:p>
            <w:pPr>
              <w:spacing w:after="0"/>
              <w:rPr>
                <w:sz w:val="19"/>
                <w:szCs w:val="19"/>
                <w:color w:val="auto"/>
              </w:rPr>
            </w:pPr>
          </w:p>
        </w:tc>
      </w:tr>
      <w:tr>
        <w:trPr>
          <w:trHeight w:val="223"/>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2023</w:t>
            </w:r>
          </w:p>
        </w:tc>
        <w:tc>
          <w:tcPr>
            <w:tcW w:w="6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880" w:type="dxa"/>
            <w:vAlign w:val="bottom"/>
          </w:tcPr>
          <w:p>
            <w:pPr>
              <w:spacing w:after="0"/>
              <w:rPr>
                <w:sz w:val="18"/>
                <w:szCs w:val="18"/>
                <w:color w:val="auto"/>
              </w:rPr>
            </w:pPr>
          </w:p>
        </w:tc>
        <w:tc>
          <w:tcPr>
            <w:tcW w:w="640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6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10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Fair Value Adjustment</w:t>
            </w:r>
          </w:p>
        </w:tc>
        <w:tc>
          <w:tcPr>
            <w:tcW w:w="6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(122,000)</w:t>
            </w:r>
          </w:p>
        </w:tc>
      </w:tr>
      <w:tr>
        <w:trPr>
          <w:trHeight w:val="223"/>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2022</w:t>
            </w:r>
          </w:p>
        </w:tc>
        <w:tc>
          <w:tcPr>
            <w:tcW w:w="6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69"/>
        </w:trPr>
        <w:tc>
          <w:tcPr>
            <w:tcW w:w="3880" w:type="dxa"/>
            <w:vAlign w:val="bottom"/>
          </w:tcPr>
          <w:p>
            <w:pPr>
              <w:spacing w:after="0"/>
              <w:rPr>
                <w:sz w:val="24"/>
                <w:szCs w:val="24"/>
                <w:color w:val="auto"/>
              </w:rPr>
            </w:pPr>
          </w:p>
        </w:tc>
        <w:tc>
          <w:tcPr>
            <w:tcW w:w="6120" w:type="dxa"/>
            <w:vAlign w:val="bottom"/>
          </w:tcPr>
          <w:p>
            <w:pPr>
              <w:jc w:val="right"/>
              <w:ind w:right="4216"/>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880" w:type="dxa"/>
            <w:vAlign w:val="bottom"/>
            <w:tcBorders>
              <w:bottom w:val="single" w:sz="8" w:color="auto"/>
            </w:tcBorders>
          </w:tcPr>
          <w:p>
            <w:pPr>
              <w:spacing w:after="0"/>
              <w:rPr>
                <w:sz w:val="4"/>
                <w:szCs w:val="4"/>
                <w:color w:val="auto"/>
              </w:rPr>
            </w:pPr>
          </w:p>
        </w:tc>
        <w:tc>
          <w:tcPr>
            <w:tcW w:w="6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0" w:firstLine="437"/>
        <w:spacing w:after="0" w:line="277" w:lineRule="auto"/>
        <w:rPr>
          <w:sz w:val="20"/>
          <w:szCs w:val="20"/>
          <w:color w:val="auto"/>
        </w:rPr>
      </w:pPr>
      <w:r>
        <w:rPr>
          <w:rFonts w:ascii="Arial" w:cs="Arial" w:eastAsia="Arial" w:hAnsi="Arial"/>
          <w:sz w:val="18"/>
          <w:szCs w:val="18"/>
          <w:color w:val="auto"/>
        </w:rPr>
        <w:t>The September Note derivative liability – contingent interest was valued using a Monte Carlo Geometric Brownian Stock Path Model. The key assumptions used in the model at September 30,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Conversion Price of conversion feature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8.64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 years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2.72 years</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4.22%</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14.76%</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Volatility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432"/>
        </w:trPr>
        <w:tc>
          <w:tcPr>
            <w:tcW w:w="7840" w:type="dxa"/>
            <w:vAlign w:val="bottom"/>
          </w:tcPr>
          <w:p>
            <w:pPr>
              <w:ind w:left="500"/>
              <w:spacing w:after="0"/>
              <w:rPr>
                <w:sz w:val="20"/>
                <w:szCs w:val="20"/>
                <w:color w:val="auto"/>
              </w:rPr>
            </w:pPr>
            <w:r>
              <w:rPr>
                <w:rFonts w:ascii="Arial" w:cs="Arial" w:eastAsia="Arial" w:hAnsi="Arial"/>
                <w:sz w:val="18"/>
                <w:szCs w:val="18"/>
                <w:color w:val="auto"/>
              </w:rPr>
              <w:t>The roll forward of the September Note derivative liability – contingent interest is as follows: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100" w:type="dxa"/>
            <w:vAlign w:val="bottom"/>
            <w:shd w:val="clear" w:color="auto" w:fill="CCEEFF"/>
          </w:tcPr>
          <w:p>
            <w:pPr>
              <w:spacing w:after="0"/>
              <w:rPr>
                <w:sz w:val="18"/>
                <w:szCs w:val="18"/>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Fair Value Adjustment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129,000</w:t>
            </w:r>
          </w:p>
        </w:tc>
        <w:tc>
          <w:tcPr>
            <w:tcW w:w="100" w:type="dxa"/>
            <w:vAlign w:val="bottom"/>
          </w:tcPr>
          <w:p>
            <w:pPr>
              <w:spacing w:after="0"/>
              <w:rPr>
                <w:sz w:val="19"/>
                <w:szCs w:val="19"/>
                <w:color w:val="auto"/>
              </w:rPr>
            </w:pPr>
          </w:p>
        </w:tc>
      </w:tr>
      <w:tr>
        <w:trPr>
          <w:trHeight w:val="223"/>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2023</w:t>
            </w: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Fair Value Adjustment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(73,000)</w:t>
            </w:r>
          </w:p>
        </w:tc>
      </w:tr>
      <w:tr>
        <w:trPr>
          <w:trHeight w:val="223"/>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2022</w:t>
            </w: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520" w:firstLine="437"/>
        <w:spacing w:after="0" w:line="277" w:lineRule="auto"/>
        <w:rPr>
          <w:sz w:val="20"/>
          <w:szCs w:val="20"/>
          <w:color w:val="auto"/>
        </w:rPr>
      </w:pPr>
      <w:r>
        <w:rPr>
          <w:rFonts w:ascii="Arial" w:cs="Arial" w:eastAsia="Arial" w:hAnsi="Arial"/>
          <w:sz w:val="18"/>
          <w:szCs w:val="18"/>
          <w:color w:val="auto"/>
        </w:rPr>
        <w:t>The December Note derivative liability – contingent interest was valued using a Monte Carlo Geometric Brownian Stock Path Model. The key assumptions used in the model at September 30,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Conversion Price of conversion feature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24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 years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2.97 years</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4.22%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Volatility</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432"/>
        </w:trPr>
        <w:tc>
          <w:tcPr>
            <w:tcW w:w="8480" w:type="dxa"/>
            <w:vAlign w:val="bottom"/>
          </w:tcPr>
          <w:p>
            <w:pPr>
              <w:ind w:left="500"/>
              <w:spacing w:after="0"/>
              <w:rPr>
                <w:sz w:val="20"/>
                <w:szCs w:val="20"/>
                <w:color w:val="auto"/>
              </w:rPr>
            </w:pPr>
            <w:r>
              <w:rPr>
                <w:rFonts w:ascii="Arial" w:cs="Arial" w:eastAsia="Arial" w:hAnsi="Arial"/>
                <w:sz w:val="18"/>
                <w:szCs w:val="18"/>
                <w:color w:val="auto"/>
              </w:rPr>
              <w:t>The roll forward of the December Note derivative liability – contingent interest is as follows: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100" w:type="dxa"/>
            <w:vAlign w:val="bottom"/>
            <w:shd w:val="clear" w:color="auto" w:fill="CCEEFF"/>
          </w:tcPr>
          <w:p>
            <w:pPr>
              <w:spacing w:after="0"/>
              <w:rPr>
                <w:sz w:val="18"/>
                <w:szCs w:val="18"/>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Fair Value Adjustment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289,000</w:t>
            </w:r>
          </w:p>
        </w:tc>
        <w:tc>
          <w:tcPr>
            <w:tcW w:w="100" w:type="dxa"/>
            <w:vAlign w:val="bottom"/>
          </w:tcPr>
          <w:p>
            <w:pPr>
              <w:spacing w:after="0"/>
              <w:rPr>
                <w:sz w:val="19"/>
                <w:szCs w:val="19"/>
                <w:color w:val="auto"/>
              </w:rPr>
            </w:pPr>
          </w:p>
        </w:tc>
      </w:tr>
      <w:tr>
        <w:trPr>
          <w:trHeight w:val="223"/>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100" w:type="dxa"/>
            <w:vAlign w:val="bottom"/>
            <w:shd w:val="clear" w:color="auto" w:fill="CCEEFF"/>
          </w:tcPr>
          <w:p>
            <w:pPr>
              <w:spacing w:after="0"/>
              <w:rPr>
                <w:sz w:val="18"/>
                <w:szCs w:val="18"/>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Fair Value Adjustment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(84,000)</w:t>
            </w:r>
          </w:p>
        </w:tc>
      </w:tr>
      <w:tr>
        <w:trPr>
          <w:trHeight w:val="223"/>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68"/>
        </w:trPr>
        <w:tc>
          <w:tcPr>
            <w:tcW w:w="8480" w:type="dxa"/>
            <w:vAlign w:val="bottom"/>
          </w:tcPr>
          <w:p>
            <w:pPr>
              <w:ind w:left="556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restricted common stock, common stock warrants and deferred stock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100" w:type="dxa"/>
            <w:vAlign w:val="bottom"/>
            <w:gridSpan w:val="4"/>
          </w:tcPr>
          <w:p>
            <w:pPr>
              <w:jc w:val="right"/>
              <w:ind w:right="221"/>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i w:val="1"/>
                <w:iCs w:val="1"/>
                <w:color w:val="auto"/>
                <w:w w:val="90"/>
              </w:rPr>
              <w:t>in thousands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223</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363</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586</w:t>
            </w: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2022 through September 30,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5,745,561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1,025,000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Options forfeited/cancelled</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(343,803)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2023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6,426,758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bl>
    <w:p>
      <w:pPr>
        <w:spacing w:after="0" w:line="202" w:lineRule="exact"/>
        <w:rPr>
          <w:sz w:val="20"/>
          <w:szCs w:val="20"/>
          <w:color w:val="auto"/>
        </w:rPr>
      </w:pPr>
    </w:p>
    <w:p>
      <w:pPr>
        <w:ind w:right="400" w:firstLine="441"/>
        <w:spacing w:after="0" w:line="311" w:lineRule="auto"/>
        <w:rPr>
          <w:sz w:val="20"/>
          <w:szCs w:val="20"/>
          <w:color w:val="auto"/>
        </w:rPr>
      </w:pPr>
      <w:r>
        <w:rPr>
          <w:rFonts w:ascii="Arial" w:cs="Arial" w:eastAsia="Arial" w:hAnsi="Arial"/>
          <w:sz w:val="16"/>
          <w:szCs w:val="16"/>
          <w:color w:val="auto"/>
        </w:rPr>
        <w:t>As of September 30, 2023, there was $1,225,000 of unrecognized compensation related to 2,514,164 unvested options, which is expected to be recognized over a weighted–average period of approximately 1.1 years. The weighted-average grant date fair value for options granted during the nine months ended September 30, 2023 was $0.85. The Company granted 1,025,000 stock options during the nine months ended September 30, 2023.</w:t>
      </w:r>
    </w:p>
    <w:p>
      <w:pPr>
        <w:spacing w:after="0" w:line="14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Nine</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Nine</w:t>
            </w:r>
          </w:p>
        </w:tc>
      </w:tr>
      <w:tr>
        <w:trPr>
          <w:trHeight w:val="216"/>
        </w:trPr>
        <w:tc>
          <w:tcPr>
            <w:tcW w:w="85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Months Ended</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Months Ended</w:t>
            </w:r>
          </w:p>
        </w:tc>
      </w:tr>
      <w:tr>
        <w:trPr>
          <w:trHeight w:val="241"/>
        </w:trPr>
        <w:tc>
          <w:tcPr>
            <w:tcW w:w="85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85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5.5 years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5.6 years</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In January 2023, the Company’s board chairman elected to take restricted stock grants in lieu of cash retainers for 2023. A total of 36,036 shares of restricted stock valued at approximately $40,000 is being amortized to expense on a straight-line basis until December 31, 2023 when the stock vests in full. In January 2022, the Company’s board chairman elected to take restricted stock grants in lieu of cash retainers for 2022. A total of 17,677 shares of restricted stock valued at approximately $35,000 were amortized to expense on a straight-line basis until December 31, 2022 when the stock vested in full.</w:t>
      </w:r>
    </w:p>
    <w:p>
      <w:pPr>
        <w:spacing w:after="0" w:line="157" w:lineRule="exact"/>
        <w:rPr>
          <w:sz w:val="20"/>
          <w:szCs w:val="20"/>
          <w:color w:val="auto"/>
        </w:rPr>
      </w:pPr>
    </w:p>
    <w:p>
      <w:pPr>
        <w:ind w:right="140" w:firstLine="486"/>
        <w:spacing w:after="0" w:line="288" w:lineRule="auto"/>
        <w:rPr>
          <w:sz w:val="20"/>
          <w:szCs w:val="20"/>
          <w:color w:val="auto"/>
        </w:rPr>
      </w:pPr>
      <w:r>
        <w:rPr>
          <w:rFonts w:ascii="Arial" w:cs="Arial" w:eastAsia="Arial" w:hAnsi="Arial"/>
          <w:sz w:val="16"/>
          <w:szCs w:val="16"/>
          <w:color w:val="auto"/>
        </w:rPr>
        <w:t>In September 2020, the Company entered into an employment agreement with its new Chief Executive Officer whereby 20% of his base salary and performance bonuses will be paid in cash, and 80% will be paid in the form of deferred stock units (“DSUs”)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On March 1, 2023, twenty five percent of the DSU’s were issued to Mr. Lewis in accordance with the DSU Agreement. A total of 183,900 shares were due to be issued; however, 75,529 shares were withheld to cover income tax withholding of $156,345 resulting in 108,371 shares actually issued. Additionally, a 2023 DSU Agreement was executed in July 2022, whereby Mr. Lewis would continue to receive 20% of salary and bonus in cash and 80% in DSUs for 2023. The shares under the 2023 DSU Agreement are to be issued fifty percent on March 1, 2025 and fifty percent on January 5, 2026.</w:t>
      </w:r>
    </w:p>
    <w:p>
      <w:pPr>
        <w:spacing w:after="0" w:line="168"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For the nine months ended September 30, 2023, approximately $343,000 of his compensation was recorded as stock compensation expense representing 212,266 shares of common stock to be issued under the DSU agreement with a weighted average grant date fair value of $1.66 per share. For the nine months ended September 30, 2022, approximately $313,000 of his compensation was recorded as stock compensation expense representing 186,647 shares of common stock to be issued under the DSU agreement with a weighted average grant date fair value of $1.68 per share.</w:t>
      </w:r>
    </w:p>
    <w:p>
      <w:pPr>
        <w:spacing w:after="0" w:line="15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Also, Mr. Lewis’ bonus for the year ended December 31, 2022 of $210,000 (which was included in accrued compensation at December 31, 2022) was approved in January 2023 and represents 143,836 shares of common stock to be issued under the DSU agreement with a grant date fair value of $1.46 per share. The $210,000 was reclassified from accrued compensation to additional paid in capital in January 2023. There is no unrecognized compensation expense related to the DSUs.</w:t>
      </w:r>
    </w:p>
    <w:p>
      <w:pPr>
        <w:sectPr>
          <w:pgSz w:w="11900" w:h="16838" w:orient="portrait"/>
          <w:cols w:equalWidth="0" w:num="1">
            <w:col w:w="11240"/>
          </w:cols>
          <w:pgMar w:left="320" w:top="122" w:right="339" w:bottom="733"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733"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Warrants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common stock warrant activity from December 31, 2022 through September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Weighted Average</w:t>
            </w:r>
          </w:p>
        </w:tc>
      </w:tr>
      <w:tr>
        <w:trPr>
          <w:trHeight w:val="241"/>
        </w:trPr>
        <w:tc>
          <w:tcPr>
            <w:tcW w:w="842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11,557,964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16"/>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(2,236,204)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r>
      <w:tr>
        <w:trPr>
          <w:trHeight w:val="223"/>
        </w:trPr>
        <w:tc>
          <w:tcPr>
            <w:tcW w:w="8420" w:type="dxa"/>
            <w:vAlign w:val="bottom"/>
          </w:tcPr>
          <w:p>
            <w:pPr>
              <w:ind w:left="180"/>
              <w:spacing w:after="0"/>
              <w:rPr>
                <w:sz w:val="20"/>
                <w:szCs w:val="20"/>
                <w:color w:val="auto"/>
              </w:rPr>
            </w:pPr>
            <w:r>
              <w:rPr>
                <w:rFonts w:ascii="Arial" w:cs="Arial" w:eastAsia="Arial" w:hAnsi="Arial"/>
                <w:sz w:val="18"/>
                <w:szCs w:val="18"/>
                <w:color w:val="auto"/>
              </w:rPr>
              <w:t>Forfeited/cancelled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(20,799)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57"/>
        </w:trPr>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9,700,961</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expiration of the warrants outstanding as of September 30, 2023 is 2.7 years.</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On September 22, 2023, the Company executed an agreement with 10X Fund L.P., and 10X Capital Management LLC whereby the Company extended the exercise date for a total of 5,732,253 common stock purchase warrants to the earliest of (a) September 30, 2026, (b) thirty days after 10X fails to vote all of the shares of common stock in the Company then owned by it in the manner recommended by the board of directors of the Company in any vote of the stockholders of the Company; or (c) thirty days after the shares of common stock of the Company have a closing price of $6.00 or greater for 10 consecutive trading days. Previously, the common stock purchase warrants exercise dates would have expired at various dates from September 22, 2023 through May 10, 2025.</w:t>
      </w:r>
    </w:p>
    <w:p>
      <w:pPr>
        <w:spacing w:after="0" w:line="192" w:lineRule="exact"/>
        <w:rPr>
          <w:sz w:val="20"/>
          <w:szCs w:val="20"/>
          <w:color w:val="auto"/>
        </w:rPr>
      </w:pPr>
    </w:p>
    <w:p>
      <w:pPr>
        <w:jc w:val="both"/>
        <w:ind w:right="200" w:firstLine="441"/>
        <w:spacing w:after="0" w:line="279" w:lineRule="auto"/>
        <w:rPr>
          <w:sz w:val="20"/>
          <w:szCs w:val="20"/>
          <w:color w:val="auto"/>
        </w:rPr>
      </w:pPr>
      <w:r>
        <w:rPr>
          <w:rFonts w:ascii="Arial" w:cs="Arial" w:eastAsia="Arial" w:hAnsi="Arial"/>
          <w:sz w:val="17"/>
          <w:szCs w:val="17"/>
          <w:color w:val="auto"/>
        </w:rPr>
        <w:t>Also pursuant to the terms of the agreement, the right of the 10X Fund L.P. to nominate a member of the board of directors was eliminated, and the cashless exercise option in certain of the common stock purchase warrants was deleted. Finally, a beneficial ownership limitation provision was added in the Series B Warrants, which would have the effect of decreasing 10X Fund’s beneficial ownership to 9.99% and would bar the voluntary exercise of any warrants that would result in 10X Fund’s ownership beyond 9.99% without at least 61 days’ prior notice from 10X Fund.</w:t>
      </w:r>
    </w:p>
    <w:p>
      <w:pPr>
        <w:spacing w:after="0" w:line="171"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The Company has accounted for the modified terms of the warrants pursuant to ASC 815, Derivatives and Hedging, whereby the Company has recognized a deemed dividend for the change in fair value of the warrants immediately before and immediately after the modification. In September 2023, the Company recognized a non cash deemed dividend of $3,619,000 related to the extension of the 5,732,253 warrants. The following assumptions were used to value the extension of the warrants immediately before and immediately after the modification: a) immediately before the modification — an expected life range of 0 to 1.63 years, volatility range of 71% to 77%%, risk free interest rate range of 5.37% and zero dividends and; b) immediately following the modification — an expected life of 3 years, volatility of 79%, risk free interest rate range of 4.59% and zero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w:t>
      </w:r>
    </w:p>
    <w:p>
      <w:pPr>
        <w:spacing w:after="0" w:line="229"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6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(shares)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(shares)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9,700,961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11,357,964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6,426,758</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5,645,561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convertible notes payable – related party</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6,267,886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5,665,338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of common stock issuable upon conversion of convertible line of credit – related party</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10,333,695</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503,340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33,232,640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23,172,203</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8. Common Stock</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2020 At Market Issuance of Common Stock</w:t>
      </w:r>
    </w:p>
    <w:p>
      <w:pPr>
        <w:spacing w:after="0" w:line="279" w:lineRule="exact"/>
        <w:rPr>
          <w:sz w:val="20"/>
          <w:szCs w:val="20"/>
          <w:color w:val="auto"/>
        </w:rPr>
      </w:pPr>
    </w:p>
    <w:p>
      <w:pPr>
        <w:ind w:right="100" w:firstLine="387"/>
        <w:spacing w:after="0" w:line="293" w:lineRule="auto"/>
        <w:rPr>
          <w:sz w:val="20"/>
          <w:szCs w:val="20"/>
          <w:color w:val="auto"/>
        </w:rPr>
      </w:pPr>
      <w:r>
        <w:rPr>
          <w:rFonts w:ascii="Arial" w:cs="Arial" w:eastAsia="Arial" w:hAnsi="Arial"/>
          <w:sz w:val="16"/>
          <w:szCs w:val="16"/>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nine months ended September 30, 2023, there were no issuances of shares of common stock under the 2020 At Market Agreement.</w:t>
      </w:r>
    </w:p>
    <w:p>
      <w:pPr>
        <w:spacing w:after="0" w:line="218"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For each of the nine months ended September 30, 2023 and 2022, the Company issued a total of 60,400 and 60,825 shares of common stock, respectively, for dividends on Series A and Series C Preferred Stock.</w:t>
      </w:r>
    </w:p>
    <w:p>
      <w:pPr>
        <w:sectPr>
          <w:pgSz w:w="11900" w:h="16838" w:orient="portrait"/>
          <w:cols w:equalWidth="0" w:num="1">
            <w:col w:w="11240"/>
          </w:cols>
          <w:pgMar w:left="320" w:top="122" w:right="339" w:bottom="706"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706"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Line of Credit – Related Party</w:t>
      </w:r>
    </w:p>
    <w:p>
      <w:pPr>
        <w:spacing w:after="0" w:line="229" w:lineRule="exact"/>
        <w:rPr>
          <w:sz w:val="20"/>
          <w:szCs w:val="20"/>
          <w:color w:val="auto"/>
        </w:rPr>
      </w:pPr>
    </w:p>
    <w:p>
      <w:pPr>
        <w:jc w:val="both"/>
        <w:ind w:right="260" w:firstLine="486"/>
        <w:spacing w:after="0" w:line="263" w:lineRule="auto"/>
        <w:rPr>
          <w:sz w:val="20"/>
          <w:szCs w:val="20"/>
          <w:color w:val="auto"/>
        </w:rPr>
      </w:pPr>
      <w:r>
        <w:rPr>
          <w:rFonts w:ascii="Arial" w:cs="Arial" w:eastAsia="Arial" w:hAnsi="Arial"/>
          <w:sz w:val="18"/>
          <w:szCs w:val="18"/>
          <w:color w:val="auto"/>
        </w:rPr>
        <w:t>On July 25, 2022, the Company and Richard E. Uihlein (the “Lender”) entered into a Line of Credit Letter Agreement (the “Credit Agreement”), pursuant to which the Lender shall provide the Company a line of credit of up to $60.0 million (the “Line of Credit”) to finance the Company’s working capital needs. The Company may draw upon the Line of Credit through July 31, 2024.</w:t>
      </w:r>
    </w:p>
    <w:p>
      <w:pPr>
        <w:spacing w:after="0" w:line="18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Each advance made pursuant to the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17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8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77"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The fair value of the 500,000 warrants vested at closing on July 25, 2022 was $738,000 at the date of issuance based on the following assumptions: an expected life of 7 years, volatility of 92%, risk free interest rate of 3.19% and zero dividends. The fair value of the vested warrants was recorded in other assets (non-current) as a deferred financing cost and will be amortized on a straight-line basis from July 25, 2022 through January 31, 2026. Amortization for the nine months ended September 30, 2023 and 2022 of $157,000 and $39,000, respectively, was recorded as interest expense.</w:t>
      </w:r>
    </w:p>
    <w:p>
      <w:pPr>
        <w:spacing w:after="0" w:line="15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On December 19, 2022, the Company executed a $10 million Promissory Note under the Line of Credit. The interest rate on this draw is 6.46% (Applicable Federal Rate for short term loans on date of draw of 4.46% plus 2%). The effective interest rate is approximately 7.1%. Accrued interest on this draw was $23,000 at December 31, 2022.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88"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fair value of the 200,000 warrants vested at closing on December 19, 2022 was $160,780 at the date of issuance based on the following assumptions: an expected life of 7 years, volatility of 91%, risk free interest rate of 4.06% and zero dividends. The proceeds were allocated between the Promissory Note and the warrants issued, and the amount allocated to the warrants was recorded as a debt discount netted against principal to be amortized on a straight-line basis, which is not materially different than the effective interest method, from December 19, 2022 through January 31, 2026. Amortization for the nine months ended September 30, 2023 of $30,000 was recorded as interest expense.</w:t>
      </w:r>
    </w:p>
    <w:p>
      <w:pPr>
        <w:spacing w:after="0" w:line="17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On March 31, 2023, the Company executed an additional $10 million Promissory Note under the Line of Credit. The interest rate on this draw is 6.41% (Applicable Federal Rate for short term loans on date of draw of 4.41% plus 2%). The effective interest rate is approximately 7.1%. The principal and accrued interest is convertible at the option of the Lender at $3.00 per share. In accordance with the Credit Agreement, the Company issued the Lender a Warrant to purchase up to 200,000 shares of Company’s Common Stock at an exercise price of $3.26 per share, which Warrant is exercisable upon issuance.</w:t>
      </w:r>
    </w:p>
    <w:p>
      <w:pPr>
        <w:spacing w:after="0" w:line="18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fair value of the 200,000 warrants vested at closing on March 31, 2023 was $296,680 at the date of issuance based on the following assumptions: an expected life of 6.33 years, volatility of 88%, risk free interest rate of 3.94%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March 31, 2023 through January 31, 2026. Amortization for the nine months ended September 30, 2023 of $52,000 was recorded as interest expense.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June 30, 2023, the Company executed an additional $10 million Promissory Note under the Line of Credit. The interest rate on this draw 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6.34% (Applicable Federal Rate for short term loans on date of draw of 4.34% plus 2%). The effective interest rate is approximately 7.1%. The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accrued interest is convertible at the option of the Lender at $3.00 per share. In accordance with the Credit Agreement, the Company issued the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Warrant to purchase up to 200,000 shares of Company’s Common Stock at an exercise price of $3.00 per share, which Warrant is exercisable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w:t>
      </w:r>
    </w:p>
    <w:p>
      <w:pPr>
        <w:spacing w:after="0" w:line="211"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fair value of the 200,000 warrants vested at closing on June 30, 2023 was $179,920 at the date of issuance based on the following assumptions: an expected life of 6.08 years, volatility of 85%, risk free interest rate of 3.59%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30, 2023 through January 31, 2026. Amortization for the nine months ended September 30, 2023 of $18,000 was recorded as interest expense.</w:t>
      </w:r>
    </w:p>
    <w:p>
      <w:pPr>
        <w:spacing w:after="0" w:line="176"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fair value of warrants that vest in the future based on borrowings will be computed when those borrowings occur and amortized over the remaining period through January 31, 2026.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ectPr>
          <w:pgSz w:w="11900" w:h="16838" w:orient="portrait"/>
          <w:cols w:equalWidth="0" w:num="1">
            <w:col w:w="11220"/>
          </w:cols>
          <w:pgMar w:left="320" w:top="122" w:right="35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Trial and Research Commitments</w:t>
      </w:r>
    </w:p>
    <w:p>
      <w:pPr>
        <w:sectPr>
          <w:pgSz w:w="11900" w:h="16838" w:orient="portrait"/>
          <w:cols w:equalWidth="0" w:num="1">
            <w:col w:w="11220"/>
          </w:cols>
          <w:pgMar w:left="320" w:top="122" w:right="359" w:bottom="0" w:gutter="0" w:footer="0" w:header="0"/>
          <w:type w:val="continuous"/>
        </w:sectPr>
      </w:pPr>
    </w:p>
    <w:bookmarkStart w:id="16" w:name="page17"/>
    <w:bookmarkEnd w:id="16"/>
    <w:p>
      <w:pPr>
        <w:ind w:firstLine="441"/>
        <w:spacing w:after="0" w:line="277" w:lineRule="auto"/>
        <w:rPr>
          <w:sz w:val="20"/>
          <w:szCs w:val="20"/>
          <w:color w:val="auto"/>
        </w:rPr>
      </w:pPr>
      <w:r>
        <w:rPr>
          <w:rFonts w:ascii="Arial" w:cs="Arial" w:eastAsia="Arial" w:hAnsi="Arial"/>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line="34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341" w:right="57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one operating lease for its office space which was amended effective March 1, 2022 for a term of 38 months with no residual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guarantees or material restrictive covenants. The amended lease provided for free rent for the first six and a half months of the lease and continues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deposit of $6,000. In addition to base rental payments included in the contractual obligations table above, the Company is responsible for our pro-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rata share of the operating expenses for the building. Our lease cost for the nine-month periods ended September 30, 2023 and 2022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$32,000 for each period and is included in general and administrative expenses. As of September 30, 2023, the right to use lease asset consisted of $62,000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is included in other assets. Also, at September 30, 2023, current lease liability of $45,000 is included in accrued expenses and long term lease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$32,000 and included in other liabilities.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500"/>
              <w:spacing w:after="0"/>
              <w:rPr>
                <w:sz w:val="20"/>
                <w:szCs w:val="20"/>
                <w:color w:val="auto"/>
              </w:rPr>
            </w:pPr>
            <w:r>
              <w:rPr>
                <w:rFonts w:ascii="Arial" w:cs="Arial" w:eastAsia="Arial" w:hAnsi="Arial"/>
                <w:sz w:val="18"/>
                <w:szCs w:val="18"/>
                <w:color w:val="auto"/>
              </w:rPr>
              <w:t>Maturity of operating lease as of September 30, 2023 in thousands:</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5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lease liability</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discount rate used in calculating the present value of the lease payments was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Galectin Sciences LLC</w:t>
      </w:r>
    </w:p>
    <w:p>
      <w:pPr>
        <w:spacing w:after="0" w:line="229"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Cumulatively, the Company has contributed a total of $3,641,000, including $127,000 for the three months ended September 30, 2023, for expenses of the LLC. Since the end of 2014, SBH has contributed $711,000 for expenses in the LLC. As of September 30, 2023, the Company’s ownership percentage in the LLC was 83.7%. The Company accounts for the interest in the LLC as a consolidated, less than wholly owned subsidiary. Because the LLC’s equity is immaterial, the value of the non-controlling interest is also deemed to be immaterial.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December 31, 2024;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71" w:lineRule="exact"/>
        <w:rPr>
          <w:sz w:val="20"/>
          <w:szCs w:val="20"/>
          <w:color w:val="auto"/>
        </w:rPr>
      </w:pPr>
    </w:p>
    <w:p>
      <w:pPr>
        <w:ind w:left="1020" w:hanging="32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225" w:lineRule="exact"/>
        <w:rPr>
          <w:rFonts w:ascii="Arial" w:cs="Arial" w:eastAsia="Arial" w:hAnsi="Arial"/>
          <w:sz w:val="18"/>
          <w:szCs w:val="18"/>
          <w:color w:val="auto"/>
        </w:rPr>
      </w:pPr>
    </w:p>
    <w:p>
      <w:pPr>
        <w:ind w:left="1020" w:right="700" w:hanging="32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225" w:lineRule="exact"/>
        <w:rPr>
          <w:rFonts w:ascii="Arial" w:cs="Arial" w:eastAsia="Arial" w:hAnsi="Arial"/>
          <w:sz w:val="18"/>
          <w:szCs w:val="18"/>
          <w:color w:val="auto"/>
        </w:rPr>
      </w:pPr>
    </w:p>
    <w:p>
      <w:pPr>
        <w:ind w:left="1020" w:right="360" w:hanging="324"/>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23" w:lineRule="exact"/>
        <w:rPr>
          <w:rFonts w:ascii="Arial" w:cs="Arial" w:eastAsia="Arial" w:hAnsi="Arial"/>
          <w:sz w:val="16"/>
          <w:szCs w:val="16"/>
          <w:color w:val="auto"/>
        </w:rPr>
      </w:pPr>
    </w:p>
    <w:p>
      <w:pPr>
        <w:ind w:left="1020" w:hanging="32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225" w:lineRule="exact"/>
        <w:rPr>
          <w:rFonts w:ascii="Arial" w:cs="Arial" w:eastAsia="Arial" w:hAnsi="Arial"/>
          <w:sz w:val="18"/>
          <w:szCs w:val="18"/>
          <w:color w:val="auto"/>
        </w:rPr>
      </w:pPr>
    </w:p>
    <w:p>
      <w:pPr>
        <w:ind w:left="1020" w:right="300" w:hanging="32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70" w:lineRule="exact"/>
        <w:rPr>
          <w:rFonts w:ascii="Arial" w:cs="Arial" w:eastAsia="Arial" w:hAnsi="Arial"/>
          <w:sz w:val="18"/>
          <w:szCs w:val="18"/>
          <w:color w:val="auto"/>
        </w:rPr>
      </w:pPr>
    </w:p>
    <w:p>
      <w:pPr>
        <w:ind w:left="1020" w:hanging="324"/>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 and,</w:t>
      </w:r>
    </w:p>
    <w:p>
      <w:pPr>
        <w:spacing w:after="0" w:line="146" w:lineRule="exact"/>
        <w:rPr>
          <w:rFonts w:ascii="Arial" w:cs="Arial" w:eastAsia="Arial" w:hAnsi="Arial"/>
          <w:sz w:val="17"/>
          <w:szCs w:val="17"/>
          <w:color w:val="auto"/>
        </w:rPr>
      </w:pPr>
    </w:p>
    <w:p>
      <w:pPr>
        <w:ind w:left="1020" w:right="220" w:hanging="32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2022, and our subsequent SEC filings.</w:t>
      </w:r>
    </w:p>
    <w:p>
      <w:pPr>
        <w:spacing w:after="0" w:line="17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 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ectPr>
          <w:pgSz w:w="11900" w:h="16838" w:orient="portrait"/>
          <w:cols w:equalWidth="0" w:num="1">
            <w:col w:w="11240"/>
          </w:cols>
          <w:pgMar w:left="320" w:top="122"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February 2023, we completed randomizations totaling 357 patients in a large, global Phase 2b/3 clinical trial. Our study protocol was filed with the FDA on April 30, 2020, for a seamless adaptively-designed Phase 2b/3 clinical study, the NAVIGATE trial, evaluating the safety and efficacy of our galectin-3 inhibitor, belapectin, for the prevention of esophageal varices in patients with non-alcoholic steatohepatitis (NASH) cirrhosis (Further details are available at www.clinicaltrials.gov under study NCT04365868); this study began enrolling patients in Q2-2020. In September 2020, the Company received a letter from the FDA providing comments, asking questions and providing guidance on various aspects of the ongoing NAVIGATE trial. These comments were addressed, and the study proceeded accordingly.</w:t>
      </w:r>
    </w:p>
    <w:p>
      <w:pPr>
        <w:spacing w:after="0" w:line="19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www.clinicaltrials.gov); this study became fully enrolled in February 2022 and results will be presented in an upcoming scientific congress.</w:t>
      </w:r>
    </w:p>
    <w:p>
      <w:pPr>
        <w:spacing w:after="0" w:line="17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also pursuing a development pathway to clinical enhancement and commercialization for our lead compounds in immuno-oncology following our previous successful collaboration with Providence Portland Cancer Center. In 2022, we filed a new IND with FDA for advanced or metastatic head and neck cancer using belapectin in combination with a checkpoint (PD-1) inhibitor and received a Study May Proceed letter. The proposed phase 2 trial commencement is dependent on timing of financing.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proposed products are presently in development, including pre-clinical and clinical trials.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229"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galectin-3,act as a molecular glue, bringing together molecules that have sugars on them.</w:t>
      </w:r>
    </w:p>
    <w:p>
      <w:pPr>
        <w:spacing w:after="0" w:line="14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Galectin-3, is known to be markedly increased in a number of significant diseases including inflammatory diseases leading to organs scarring (e.g. liver, lung, kidney, and heart) and cancers. The increase in galectin-3,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188"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NASH cirrhosis and head and neck cancer. Belapectin is a proprietary, patented compound derived from natural, plant-based, starting materials, which following chemical processing, exhibits the properties of binding to and inhibiting galectin.</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74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2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740" w:type="dxa"/>
            <w:vAlign w:val="bottom"/>
            <w:gridSpan w:val="2"/>
          </w:tcPr>
          <w:p>
            <w:pPr>
              <w:spacing w:after="0"/>
              <w:rPr>
                <w:sz w:val="20"/>
                <w:szCs w:val="20"/>
                <w:color w:val="auto"/>
              </w:rPr>
            </w:pPr>
            <w:r>
              <w:rPr>
                <w:rFonts w:ascii="Arial" w:cs="Arial" w:eastAsia="Arial" w:hAnsi="Arial"/>
                <w:sz w:val="18"/>
                <w:szCs w:val="18"/>
                <w:color w:val="auto"/>
                <w:w w:val="92"/>
              </w:rPr>
              <w:t>Our product pipeline is shown below:</w:t>
            </w:r>
          </w:p>
        </w:tc>
        <w:tc>
          <w:tcPr>
            <w:tcW w:w="12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Drug</w:t>
            </w:r>
          </w:p>
        </w:tc>
        <w:tc>
          <w:tcPr>
            <w:tcW w:w="6620" w:type="dxa"/>
            <w:vAlign w:val="bottom"/>
          </w:tcPr>
          <w:p>
            <w:pPr>
              <w:ind w:left="46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Prevention of esophageal</w:t>
            </w:r>
          </w:p>
        </w:tc>
        <w:tc>
          <w:tcPr>
            <w:tcW w:w="12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varices</w:t>
            </w:r>
          </w:p>
        </w:tc>
        <w:tc>
          <w:tcPr>
            <w:tcW w:w="12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in</w:t>
            </w:r>
          </w:p>
        </w:tc>
        <w:tc>
          <w:tcPr>
            <w:tcW w:w="12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NASH cirrhosis</w:t>
            </w:r>
          </w:p>
        </w:tc>
        <w:tc>
          <w:tcPr>
            <w:tcW w:w="12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40" w:type="dxa"/>
            <w:vAlign w:val="bottom"/>
            <w:gridSpan w:val="2"/>
          </w:tcPr>
          <w:p>
            <w:pPr>
              <w:spacing w:after="0"/>
              <w:rPr>
                <w:sz w:val="20"/>
                <w:szCs w:val="20"/>
                <w:color w:val="auto"/>
              </w:rPr>
            </w:pPr>
            <w:r>
              <w:rPr>
                <w:rFonts w:ascii="Arial" w:cs="Arial" w:eastAsia="Arial" w:hAnsi="Arial"/>
                <w:sz w:val="18"/>
                <w:szCs w:val="18"/>
                <w:color w:val="auto"/>
              </w:rPr>
              <w:t>Phase 1 interaction trial:</w:t>
            </w:r>
          </w:p>
        </w:tc>
        <w:tc>
          <w:tcPr>
            <w:tcW w:w="1240" w:type="dxa"/>
            <w:vAlign w:val="bottom"/>
          </w:tcPr>
          <w:p>
            <w:pPr>
              <w:ind w:left="40"/>
              <w:spacing w:after="0"/>
              <w:rPr>
                <w:sz w:val="20"/>
                <w:szCs w:val="20"/>
                <w:color w:val="auto"/>
              </w:rPr>
            </w:pPr>
            <w:r>
              <w:rPr>
                <w:rFonts w:ascii="Arial" w:cs="Arial" w:eastAsia="Arial" w:hAnsi="Arial"/>
                <w:sz w:val="18"/>
                <w:szCs w:val="18"/>
                <w:color w:val="auto"/>
              </w:rPr>
              <w:t>belapectin</w:t>
            </w:r>
          </w:p>
        </w:tc>
        <w:tc>
          <w:tcPr>
            <w:tcW w:w="6620" w:type="dxa"/>
            <w:vAlign w:val="bottom"/>
          </w:tcPr>
          <w:p>
            <w:pPr>
              <w:ind w:left="460"/>
              <w:spacing w:after="0"/>
              <w:rPr>
                <w:sz w:val="20"/>
                <w:szCs w:val="20"/>
                <w:color w:val="auto"/>
              </w:rPr>
            </w:pPr>
            <w:r>
              <w:rPr>
                <w:rFonts w:ascii="Arial" w:cs="Arial" w:eastAsia="Arial" w:hAnsi="Arial"/>
                <w:sz w:val="18"/>
                <w:szCs w:val="18"/>
                <w:color w:val="auto"/>
                <w:w w:val="90"/>
              </w:rPr>
              <w:t>IND submitted January 2013. Results from the Phase 1 interaction trial were reported</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NASH-CX trial and</w:t>
            </w: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1"/>
              </w:rPr>
              <w:t>in 2014, with final results reported in January 2015. The Phase 2 NASH FX trial was</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NASH-FX trial</w:t>
            </w: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3"/>
              </w:rPr>
              <w:t>conducted in patients with advanced fibrosis but not cirrhosis. Its principal purpose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5"/>
              </w:rPr>
              <w:t>was to evaluate various imaging modalities. The NASH FX trial top line data was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rPr>
              <w:t>reported in September 2016 and published in Alimentary Pharmacology and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rPr>
              <w:t>Therapeutics in 2016.</w:t>
            </w: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3"/>
              </w:rPr>
              <w:t>The Phase 2 NASH CX trial was conducted in patients with compensated cirrhosis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2"/>
              </w:rPr>
              <w:t>and portal hypertension. The NASH CX trial top line data was reported in December</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rPr>
              <w:t xml:space="preserve">2017 and was published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in 2020.</w:t>
            </w:r>
          </w:p>
        </w:tc>
        <w:tc>
          <w:tcPr>
            <w:tcW w:w="0" w:type="dxa"/>
            <w:vAlign w:val="bottom"/>
          </w:tcPr>
          <w:p>
            <w:pPr>
              <w:spacing w:after="0"/>
              <w:rPr>
                <w:sz w:val="1"/>
                <w:szCs w:val="1"/>
                <w:color w:val="auto"/>
              </w:rPr>
            </w:pPr>
          </w:p>
        </w:tc>
      </w:tr>
      <w:tr>
        <w:trPr>
          <w:trHeight w:val="418"/>
        </w:trPr>
        <w:tc>
          <w:tcPr>
            <w:tcW w:w="2740" w:type="dxa"/>
            <w:vAlign w:val="bottom"/>
            <w:gridSpan w:val="2"/>
          </w:tcPr>
          <w:p>
            <w:pPr>
              <w:spacing w:after="0"/>
              <w:rPr>
                <w:sz w:val="20"/>
                <w:szCs w:val="20"/>
                <w:color w:val="auto"/>
              </w:rPr>
            </w:pPr>
            <w:r>
              <w:rPr>
                <w:rFonts w:ascii="Arial" w:cs="Arial" w:eastAsia="Arial" w:hAnsi="Arial"/>
                <w:sz w:val="18"/>
                <w:szCs w:val="18"/>
                <w:color w:val="auto"/>
              </w:rPr>
              <w:t>NASH NAVIGATE</w:t>
            </w:r>
          </w:p>
        </w:tc>
        <w:tc>
          <w:tcPr>
            <w:tcW w:w="1240" w:type="dxa"/>
            <w:vAlign w:val="bottom"/>
          </w:tcPr>
          <w:p>
            <w:pPr>
              <w:spacing w:after="0"/>
              <w:rPr>
                <w:sz w:val="24"/>
                <w:szCs w:val="24"/>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2"/>
              </w:rPr>
              <w:t>Following FDA feedback, the NAVIGATE trial is an adaptive Phase 2b/3 trial for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2"/>
              </w:rPr>
              <w:t>prevention of esophageal varices in NASH patients with compensated cirrhosis and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7"/>
              </w:rPr>
              <w:t>clinical signs of portal hypertension. A Phase 2b interim efficacy analysis will be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3"/>
              </w:rPr>
              <w:t>incorporated to confirm previous Phase 2 data, select an optimal dose and reaffirm</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5"/>
              </w:rPr>
              <w:t>the risk/benefit of belapectin. The Phase 3 end of study analysis will evaluate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2"/>
              </w:rPr>
              <w:t>development of esophageal varices as the same primary outcome of efficacy and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2"/>
              </w:rPr>
              <w:t>composite clinical endpoint including progression to varices requiring treatment as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rPr>
              <w:t>key secondary outcome of efficacy ( www.clinicaltrials.gov NCT04365868).</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rPr>
              <w:t>The final patient was randomized in February 2023.</w:t>
            </w:r>
          </w:p>
        </w:tc>
        <w:tc>
          <w:tcPr>
            <w:tcW w:w="0" w:type="dxa"/>
            <w:vAlign w:val="bottom"/>
          </w:tcPr>
          <w:p>
            <w:pPr>
              <w:spacing w:after="0"/>
              <w:rPr>
                <w:sz w:val="1"/>
                <w:szCs w:val="1"/>
                <w:color w:val="auto"/>
              </w:rPr>
            </w:pPr>
          </w:p>
        </w:tc>
      </w:tr>
      <w:tr>
        <w:trPr>
          <w:trHeight w:val="418"/>
        </w:trPr>
        <w:tc>
          <w:tcPr>
            <w:tcW w:w="2740" w:type="dxa"/>
            <w:vAlign w:val="bottom"/>
            <w:gridSpan w:val="2"/>
          </w:tcPr>
          <w:p>
            <w:pPr>
              <w:spacing w:after="0"/>
              <w:rPr>
                <w:sz w:val="20"/>
                <w:szCs w:val="20"/>
                <w:color w:val="auto"/>
              </w:rPr>
            </w:pPr>
            <w:r>
              <w:rPr>
                <w:rFonts w:ascii="Arial" w:cs="Arial" w:eastAsia="Arial" w:hAnsi="Arial"/>
                <w:sz w:val="18"/>
                <w:szCs w:val="18"/>
                <w:color w:val="auto"/>
              </w:rPr>
              <w:t>Phase 1 study: hepatic</w:t>
            </w:r>
          </w:p>
        </w:tc>
        <w:tc>
          <w:tcPr>
            <w:tcW w:w="1240" w:type="dxa"/>
            <w:vAlign w:val="bottom"/>
          </w:tcPr>
          <w:p>
            <w:pPr>
              <w:spacing w:after="0"/>
              <w:rPr>
                <w:sz w:val="24"/>
                <w:szCs w:val="24"/>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6"/>
              </w:rPr>
              <w:t>A hepatic impairment study has been completed in subjects with normal hepatic</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insufficiency</w:t>
            </w: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rPr>
              <w:t>function and subjects with varying degrees of hepatic impairment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4"/>
              </w:rPr>
              <w:t>(www.clinicaltrials.gov NCT04332432) and began enrolling patients in the second</w:t>
            </w:r>
          </w:p>
        </w:tc>
        <w:tc>
          <w:tcPr>
            <w:tcW w:w="0" w:type="dxa"/>
            <w:vAlign w:val="bottom"/>
          </w:tcPr>
          <w:p>
            <w:pPr>
              <w:spacing w:after="0"/>
              <w:rPr>
                <w:sz w:val="1"/>
                <w:szCs w:val="1"/>
                <w:color w:val="auto"/>
              </w:rPr>
            </w:pPr>
          </w:p>
        </w:tc>
      </w:tr>
      <w:tr>
        <w:trPr>
          <w:trHeight w:val="230"/>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Cancer Immunotherapy</w:t>
            </w:r>
          </w:p>
        </w:tc>
        <w:tc>
          <w:tcPr>
            <w:tcW w:w="1240" w:type="dxa"/>
            <w:vAlign w:val="bottom"/>
          </w:tcPr>
          <w:p>
            <w:pPr>
              <w:spacing w:after="0"/>
              <w:rPr>
                <w:sz w:val="20"/>
                <w:szCs w:val="20"/>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rPr>
              <w:t>quarter of 2020. The study completed enrollment in February 2022.</w:t>
            </w:r>
          </w:p>
        </w:tc>
        <w:tc>
          <w:tcPr>
            <w:tcW w:w="0" w:type="dxa"/>
            <w:vAlign w:val="bottom"/>
          </w:tcPr>
          <w:p>
            <w:pPr>
              <w:spacing w:after="0"/>
              <w:rPr>
                <w:sz w:val="1"/>
                <w:szCs w:val="1"/>
                <w:color w:val="auto"/>
              </w:rPr>
            </w:pPr>
          </w:p>
        </w:tc>
      </w:tr>
      <w:tr>
        <w:trPr>
          <w:trHeight w:val="216"/>
        </w:trPr>
        <w:tc>
          <w:tcPr>
            <w:tcW w:w="274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740" w:type="dxa"/>
            <w:vAlign w:val="bottom"/>
            <w:gridSpan w:val="2"/>
          </w:tcPr>
          <w:p>
            <w:pPr>
              <w:spacing w:after="0"/>
              <w:rPr>
                <w:sz w:val="20"/>
                <w:szCs w:val="20"/>
                <w:color w:val="auto"/>
              </w:rPr>
            </w:pPr>
            <w:r>
              <w:rPr>
                <w:rFonts w:ascii="Arial" w:cs="Arial" w:eastAsia="Arial" w:hAnsi="Arial"/>
                <w:sz w:val="18"/>
                <w:szCs w:val="18"/>
                <w:color w:val="auto"/>
              </w:rPr>
              <w:t>Melanoma, Head, Neck</w:t>
            </w:r>
          </w:p>
        </w:tc>
        <w:tc>
          <w:tcPr>
            <w:tcW w:w="1240" w:type="dxa"/>
            <w:vAlign w:val="bottom"/>
          </w:tcPr>
          <w:p>
            <w:pPr>
              <w:ind w:left="40"/>
              <w:spacing w:after="0"/>
              <w:rPr>
                <w:sz w:val="20"/>
                <w:szCs w:val="20"/>
                <w:color w:val="auto"/>
              </w:rPr>
            </w:pPr>
            <w:r>
              <w:rPr>
                <w:rFonts w:ascii="Arial" w:cs="Arial" w:eastAsia="Arial" w:hAnsi="Arial"/>
                <w:sz w:val="18"/>
                <w:szCs w:val="18"/>
                <w:color w:val="auto"/>
              </w:rPr>
              <w:t>belapectin</w:t>
            </w:r>
          </w:p>
        </w:tc>
        <w:tc>
          <w:tcPr>
            <w:tcW w:w="6620" w:type="dxa"/>
            <w:vAlign w:val="bottom"/>
          </w:tcPr>
          <w:p>
            <w:pPr>
              <w:ind w:left="460"/>
              <w:spacing w:after="0"/>
              <w:rPr>
                <w:sz w:val="20"/>
                <w:szCs w:val="20"/>
                <w:color w:val="auto"/>
              </w:rPr>
            </w:pPr>
            <w:r>
              <w:rPr>
                <w:rFonts w:ascii="Arial" w:cs="Arial" w:eastAsia="Arial" w:hAnsi="Arial"/>
                <w:sz w:val="18"/>
                <w:szCs w:val="18"/>
                <w:color w:val="auto"/>
                <w:w w:val="99"/>
              </w:rPr>
              <w:t>Investigator IND study was completed. A Phase 1B study began in Q-1 2016.</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Squamous Cell</w:t>
            </w: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8"/>
              </w:rPr>
              <w:t>Early data was reported in February 2017 and additional data were reported in</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Carcinoma (HNSCC)</w:t>
            </w: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rPr>
              <w:t>September 2018. Data from an extension trial was reported in July 2021 for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9"/>
              </w:rPr>
              <w:t>additional melanoma and HNSCC patients which provided a rational basis for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6"/>
              </w:rPr>
              <w:t>additional trials which the Company is exploring. In the third quarter of 2022,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rPr>
              <w:t>Company announced its IND application for belapectin in combination with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2"/>
              </w:rPr>
              <w:t>checkpoint inhibitor for the treatment of HNSCC was filed and a Study May Proceed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w w:val="93"/>
              </w:rPr>
              <w:t>letter was received from FDA. The Company is reviewing options for financing this</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rPr>
              <w:t>trial which will determine when such trial could commence.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Liver cirrhosis. Belapectin is our lead product candidate for treatment of compensated NASH cirrhosis in patients with portal hypertension. Our preclinical data show that belapectin has a significant therapeutic effect on liver fibrosis as shown in several relevant animal models. In addition, in NASH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Our Phase 2 program in fibrotic disease consisted of two separate human clinical trials. The main clinical trial was the Phase 2b NASH-CX study for one year for patients with NASH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ectPr>
          <w:pgSz w:w="11900" w:h="16838" w:orient="portrait"/>
          <w:cols w:equalWidth="0" w:num="1">
            <w:col w:w="11220"/>
          </w:cols>
          <w:pgMar w:left="320" w:top="114" w:right="359" w:bottom="1440" w:gutter="0" w:footer="0" w:header="0"/>
        </w:sect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b w:val="1"/>
          <w:bCs w:val="1"/>
          <w:color w:val="auto"/>
        </w:rPr>
        <w:t>NASH-FX Trial</w:t>
      </w:r>
      <w:r>
        <w:rPr>
          <w:rFonts w:ascii="Arial" w:cs="Arial" w:eastAsia="Arial" w:hAnsi="Arial"/>
          <w:sz w:val="18"/>
          <w:szCs w:val="18"/>
          <w:color w:val="auto"/>
        </w:rPr>
        <w:t>: The NASH-FX trial was a Phase 2a pilot trial for patients with NASH and advanced fibrosis that explored use of three non-invasive imaging technologies. It was a short, single site, four-month trial in 30 NASH patients with advanced fibrosis (F3) randomized 1:1 to either 9 bi-weekly doses of 8 mg/kg LBM of belapectin or placebo. The trial did not meet its primary endpoint as measured using multi-parametric magnetic resonance imaging (LiverMultiScan(R), Perspectum Diagnostics). The trial also did not meet secondary endpoints that measure liver stiffness as a surrogate for fibrosis using, magnetic resonance-elastography and FibroScan®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NASH.</w:t>
      </w:r>
    </w:p>
    <w:p>
      <w:pPr>
        <w:spacing w:after="0" w:line="19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NASH-CX Trial</w:t>
      </w:r>
      <w:r>
        <w:rPr>
          <w:rFonts w:ascii="Arial" w:cs="Arial" w:eastAsia="Arial" w:hAnsi="Arial"/>
          <w:sz w:val="16"/>
          <w:szCs w:val="16"/>
          <w:color w:val="auto"/>
        </w:rPr>
        <w:t>: The NASH-CX trial was a larger multi-center clinical trial that explored the use of belapectin for the treatment of patients with well-compensated NASH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 and assessment of liver metabolism (13C-methacetin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17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84"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those NASH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65"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NASH cirrhosis.</w:t>
      </w:r>
    </w:p>
    <w:p>
      <w:pPr>
        <w:spacing w:after="0" w:line="19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major conclusions from the NASH-CX trial results were that: (i) belapectin had a statistically significant and clinically meaningful effect in improving HVPG vs placebo in patients with NASH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NASH cirrhosis who have not yet developed esophageal varices.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Further information and details on the NASH-CX results is available in public presentations posted to our website and filed with the SEC and in a peer reviewed publication in Gastroenterology 2020;158:1334–1345.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NASH NAVIGATE Trial</w:t>
      </w:r>
      <w:r>
        <w:rPr>
          <w:rFonts w:ascii="Arial" w:cs="Arial" w:eastAsia="Arial" w:hAnsi="Arial"/>
          <w:sz w:val="17"/>
          <w:szCs w:val="17"/>
          <w:color w:val="auto"/>
        </w:rPr>
        <w:t>: Building on the experience of the NASH-CX trial, the NAVIGATE Trial is a seamless adaptively-designed Phase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2b/3 clinical study evaluating the safety and efficacy of our galectin-3 inhibitor, belapectin, for the prevention of esophageal varices in patient with non-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alcoholic steatohepatitis (NASH) cirrhosis. The major features of this innovative Phase 2b/3 study design are: i) In patients with NASH cirrhosis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clinical signs of portal hypertension but without esophageal varices at baseline, this trial will assess the effect of belapectin on the incidence of new varices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primary endpoint) – as well as assessing the effect of belapectin on the incidence of additional clinically significant cirrhosis-related outcomes (a 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secondary efficacy endpoint), (ii) The study targets NASH patients with a clearly identified unmet medical need: patients with compensated cirrhosis who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clinical signs of portal hypertension and, thus, are at risk of developing esophageal varices, a potentially life-threatening complication of cirrhosis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(bleeding varices are a cause of death in about one-third of cirrhotic patients). There is currently no approved treatment for preventing varices in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patients. In addition, the development of esophageal varices reflects the progression of hepatic cirrhosis and thus portends the development of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cirrhosis complications such as ascites, hepatic encephalopathy, and liver failure, and (iii) During the first 18 months, two belapectin dose levels (2 mg/kg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LBM and 4 mg/kg LBM) will be compared to placebo (phase 2b). Then, at the interim analysis (IA), the best belapectin dose will be selected,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efficacy and safety, for continued evaluation (Phase 3). The belapectin dose selected for the phase 2b/3 were based on the analysis of the NASH-CX trial.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belapectin clinical studies have also indicated the good tolerance and safety profile of belapectin with doses of up to 8 mg/kg LBM for up to 52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weeks, an important feature to inform the future risk benefit analysis in patients with NASH cirrhosis.</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study design provides for a pre-specified interim analysis (IA). The IA of efficacy and safety data will be conducted after all planned subjects in Phase 2b component have completed at least 78 weeks (18 months) of treatment and a second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9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are particularly risky in patients with portal hypertension and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7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As a testimony of this innovation, the NAVIGATE trial design was presented to the hepatology community and featured during the last meeting of the American Association for the Study of Liver Diseases, in November 2021. If the IA results of the NAVIGATE trial are compelling, there could be the potential for accelerated FDA approval and/or partnership opportunity with a pharmaceutical company.</w:t>
      </w:r>
    </w:p>
    <w:p>
      <w:pPr>
        <w:spacing w:after="0" w:line="188"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In the Phase 3 component of this trial, as proposed in the protocol, the primary endpoint remains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but not limited to, a low platelet count, an increased spleen size and/or evidence of abdominal collaterals circulation.</w:t>
      </w:r>
    </w:p>
    <w:p>
      <w:pPr>
        <w:spacing w:after="0" w:line="17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focus and goal of the therapeutic program is to stop the progression of and/or reverse portal hypertension and thereby prevent the development of varices, potentially one of the most immediately life-threatening complications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 for whom, currently no specific, liver targeted, treatment are available.</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COVID-19 pandemic has delayed and may continue to delay our regulatory and ethics approvals, recruitment of sites, and enrollment of patients for our Phase 2b/3 NAVIGATE trial despite a recent uptick in screening activities. Many investigational centers in the United States and Europe have experienced shut-downs, and while some have loosened or removed restrictions, there may be a risk of experiencing new shut-downs and restrictions. In some countries, shutdown orders have also affected the regulatory process to authorize study starts. Governments and medical facilities focused their resources for battling the COVID-19 pandemic. For several reasons, the pandemic made enrolling patients for the NAVIGATE trial more challenging, including because patients eligible for the NAVIGATE trial have liver cirrhosis and, as such, are at a greater health risk of complications from COVID-19. It is also important to consider the safety of our candidate participants first, as cirrhotic patients with portal hypertension are immune compromised. As we emerged from the COVID-19 pandemic, site recruitment and patient enrollment accelerated and we experienced increases in enrollment, particularly in the United States. However, we did not see the enrollment in Europe that we anticipated, and conditions there remain uncertain. Consequently, we activated multiple sites in Latin America. The final patient was randomized in February 2023, and we expect topline results from the IA in Fall of 2024.</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activated more than 150 clinical trial sites in 14 countries for the NAVIGATE trial.</w:t>
      </w:r>
    </w:p>
    <w:p>
      <w:pPr>
        <w:spacing w:after="0" w:line="225"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Further details on the NAVIGATE trial can be found on www.clinicaltrials.gov under study NCT04365868 and on our NAVIGATE website (navigatenash.com).</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also has completed a Hepatic Impairment Study, as part of the development program. The Hepatic Impairment Study was conducted at four sites and involved 38 subjects divided amongst normal healthy volunteers, and patients with hepatic impairment categorized as Child-Turcotte-Pugh (CTP) classes A (mild), B (moderate), and C (severe). Each subject received a single infusion of belapectin (4 mg/kg LBM) and their serum belapectin levels were monitored for up to approximately two weeks to define the effects of various stages of cirrhosis on serum belapectin pharmacokinetics. Enrollment in this study was completed in February 2022, and results will be presented at an upcoming scientific congress. In this study, Belapectin at 4 mg/kg LBM, the highest dose evaluated in the ongoing Phase 2b/3 NAVIGATE study, appeared safe and was well tolerated. Hepatic function had minimal impact on key PK parameters of belapectin suggesting that no dose adjustment of belapectin will be required for patients with increasing severity of hepatic impairment. Further details on this hepatic impairment study can be found on www.clinicaltrials.gov study NCT04332432.</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Cancer Immunotherapy. We believe there is potential for galectin inhibition to play a key role in the innovative area of cancer immunotherapy.</w:t>
      </w:r>
    </w:p>
    <w:p>
      <w:pPr>
        <w:spacing w:after="0" w:line="35"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For 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 combination with Yervoy®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186"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phase IB study in combination with Yervoy was rapidly discontinued after the first patients were recruited because of the availability of new treatment in the selected population.</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Promising results were reported in the Phase 1b trial combining belapectin with pembrolizumab (KEYTRUDA®).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19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Late in 2021, we engaged three noted physicians – Dr. Chetan Bettegowda, from Johns Hopkins, and Dr. Nishant Agrawal and Dr. Ari Rosenberg, both from University of Chicago Medical Center – as consultants to help define the path forward in oncology. In consultation with our oncology experts, we have now selected the treatment of recurrent or metastatic head and neck cancer as the lead indication to pursue for belapectin in combination with an immune checkpoint inhibitor. The decision is notably based on the lack of available treatments for these patients, the limited number of therapies in development, and the resulting very high medical need. We filed an IND with FDA and are planning a phase 2 trial to be filed with the FDA oncology division.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2023 Compared to Three and Nine Months Ended September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6"/>
          </w:tcPr>
          <w:p>
            <w:pPr>
              <w:ind w:left="8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6"/>
          </w:tcPr>
          <w:p>
            <w:pPr>
              <w:ind w:left="100"/>
              <w:spacing w:after="0"/>
              <w:rPr>
                <w:sz w:val="20"/>
                <w:szCs w:val="20"/>
                <w:color w:val="auto"/>
              </w:rPr>
            </w:pPr>
            <w:r>
              <w:rPr>
                <w:rFonts w:ascii="Arial" w:cs="Arial" w:eastAsia="Arial" w:hAnsi="Arial"/>
                <w:sz w:val="18"/>
                <w:szCs w:val="18"/>
                <w:color w:val="auto"/>
              </w:rPr>
              <w:t>Nine Months Ended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color w:val="auto"/>
              </w:rPr>
              <w:t>2023 as Compared to 2022</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5"/>
          </w:tcPr>
          <w:p>
            <w:pPr>
              <w:ind w:left="32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5"/>
          </w:tcPr>
          <w:p>
            <w:pPr>
              <w:ind w:left="30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color w:val="auto"/>
              </w:rPr>
              <w:t>Three Months</w:t>
            </w:r>
          </w:p>
        </w:tc>
        <w:tc>
          <w:tcPr>
            <w:tcW w:w="1900" w:type="dxa"/>
            <w:vAlign w:val="bottom"/>
            <w:tcBorders>
              <w:top w:val="single" w:sz="8" w:color="auto"/>
            </w:tcBorders>
            <w:gridSpan w:val="3"/>
          </w:tcPr>
          <w:p>
            <w:pPr>
              <w:ind w:left="420"/>
              <w:spacing w:after="0"/>
              <w:rPr>
                <w:sz w:val="20"/>
                <w:szCs w:val="20"/>
                <w:color w:val="auto"/>
              </w:rPr>
            </w:pPr>
            <w:r>
              <w:rPr>
                <w:rFonts w:ascii="Arial" w:cs="Arial" w:eastAsia="Arial" w:hAnsi="Arial"/>
                <w:sz w:val="18"/>
                <w:szCs w:val="18"/>
                <w:color w:val="auto"/>
              </w:rPr>
              <w:t>Nine Months</w:t>
            </w:r>
          </w:p>
        </w:tc>
        <w:tc>
          <w:tcPr>
            <w:tcW w:w="160" w:type="dxa"/>
            <w:vAlign w:val="bottom"/>
          </w:tcPr>
          <w:p>
            <w:pPr>
              <w:spacing w:after="0"/>
              <w:rPr>
                <w:sz w:val="19"/>
                <w:szCs w:val="19"/>
                <w:color w:val="auto"/>
              </w:rPr>
            </w:pPr>
          </w:p>
        </w:tc>
      </w:tr>
      <w:tr>
        <w:trPr>
          <w:trHeight w:val="223"/>
        </w:trPr>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 Change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2"/>
              </w:rPr>
              <w:t>% Change</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 Change</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5"/>
              </w:rPr>
              <w:t>% Change</w:t>
            </w:r>
          </w:p>
        </w:tc>
        <w:tc>
          <w:tcPr>
            <w:tcW w:w="160" w:type="dxa"/>
            <w:vAlign w:val="bottom"/>
          </w:tcPr>
          <w:p>
            <w:pPr>
              <w:spacing w:after="0"/>
              <w:rPr>
                <w:sz w:val="19"/>
                <w:szCs w:val="19"/>
                <w:color w:val="auto"/>
              </w:rPr>
            </w:pPr>
          </w:p>
        </w:tc>
      </w:tr>
      <w:tr>
        <w:trPr>
          <w:trHeight w:val="216"/>
        </w:trPr>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6"/>
          </w:tcPr>
          <w:p>
            <w:pPr>
              <w:jc w:val="right"/>
              <w:ind w:right="320"/>
              <w:spacing w:after="0"/>
              <w:rPr>
                <w:sz w:val="20"/>
                <w:szCs w:val="20"/>
                <w:color w:val="auto"/>
              </w:rPr>
            </w:pPr>
            <w:r>
              <w:rPr>
                <w:rFonts w:ascii="Arial" w:cs="Arial" w:eastAsia="Arial" w:hAnsi="Arial"/>
                <w:sz w:val="18"/>
                <w:szCs w:val="18"/>
                <w:color w:val="auto"/>
                <w:w w:val="89"/>
              </w:rPr>
              <w:t>(In thousands, except %)</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6"/>
              </w:rPr>
              <w:t>Research and development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7,732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1,134</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Our research and development expenses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16"/>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56"/>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color w:val="auto"/>
              </w:rPr>
              <w:t>Direct external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320" w:type="dxa"/>
            <w:vAlign w:val="bottom"/>
            <w:gridSpan w:val="3"/>
          </w:tcPr>
          <w:p>
            <w:pPr>
              <w:jc w:val="right"/>
              <w:ind w:right="610"/>
              <w:spacing w:after="0"/>
              <w:rPr>
                <w:sz w:val="20"/>
                <w:szCs w:val="20"/>
                <w:color w:val="auto"/>
              </w:rPr>
            </w:pPr>
            <w:r>
              <w:rPr>
                <w:rFonts w:ascii="Arial" w:cs="Arial" w:eastAsia="Arial" w:hAnsi="Arial"/>
                <w:sz w:val="17"/>
                <w:szCs w:val="17"/>
                <w:color w:val="auto"/>
                <w:w w:val="71"/>
              </w:rPr>
              <w:t>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programs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5,397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Non-clinical activities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901</w:t>
            </w: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All other research and development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986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7,732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6,598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23,902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Clinical programs expenses decreased primarily due to timing of activities associated with the NAVIGATE clinical trial and decreased drug manufacturing costs. Non-clinical activities increased primarily due to non-clinical activities associated with the NASH cirrhosis program. Other research and development expenses increased primarily due to additional employees hired after the first half of 2022.</w:t>
      </w:r>
    </w:p>
    <w:p>
      <w:pPr>
        <w:spacing w:after="0" w:line="18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12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85"/>
        </w:trPr>
        <w:tc>
          <w:tcPr>
            <w:tcW w:w="3380" w:type="dxa"/>
            <w:vAlign w:val="bottom"/>
            <w:gridSpan w:val="6"/>
          </w:tcPr>
          <w:p>
            <w:pPr>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5"/>
          </w:tcPr>
          <w:p>
            <w:pPr>
              <w:ind w:left="320"/>
              <w:spacing w:after="0"/>
              <w:rPr>
                <w:sz w:val="20"/>
                <w:szCs w:val="20"/>
                <w:color w:val="auto"/>
              </w:rPr>
            </w:pPr>
            <w:r>
              <w:rPr>
                <w:rFonts w:ascii="Arial" w:cs="Arial" w:eastAsia="Arial" w:hAnsi="Arial"/>
                <w:sz w:val="18"/>
                <w:szCs w:val="18"/>
                <w:color w:val="auto"/>
              </w:rPr>
              <w:t>Three Months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center"/>
              <w:ind w:right="260"/>
              <w:spacing w:after="0"/>
              <w:rPr>
                <w:sz w:val="20"/>
                <w:szCs w:val="20"/>
                <w:color w:val="auto"/>
              </w:rPr>
            </w:pPr>
            <w:r>
              <w:rPr>
                <w:rFonts w:ascii="Arial" w:cs="Arial" w:eastAsia="Arial" w:hAnsi="Arial"/>
                <w:sz w:val="18"/>
                <w:szCs w:val="18"/>
                <w:color w:val="auto"/>
                <w:w w:val="94"/>
              </w:rPr>
              <w:t>Nine Months</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color w:val="auto"/>
                <w:w w:val="92"/>
              </w:rPr>
              <w:t>2023 as Compared to 2022</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color w:val="auto"/>
              </w:rPr>
              <w:t>Ended September 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8"/>
                <w:szCs w:val="18"/>
                <w:color w:val="auto"/>
                <w:w w:val="87"/>
              </w:rPr>
              <w:t>Ended 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4"/>
          </w:tcPr>
          <w:p>
            <w:pPr>
              <w:jc w:val="right"/>
              <w:ind w:right="860"/>
              <w:spacing w:after="0"/>
              <w:rPr>
                <w:sz w:val="20"/>
                <w:szCs w:val="20"/>
                <w:color w:val="auto"/>
              </w:rPr>
            </w:pPr>
            <w:r>
              <w:rPr>
                <w:rFonts w:ascii="Arial" w:cs="Arial" w:eastAsia="Arial" w:hAnsi="Arial"/>
                <w:sz w:val="18"/>
                <w:szCs w:val="18"/>
                <w:color w:val="auto"/>
              </w:rPr>
              <w:t>Three Months</w:t>
            </w:r>
          </w:p>
        </w:tc>
        <w:tc>
          <w:tcPr>
            <w:tcW w:w="2000" w:type="dxa"/>
            <w:vAlign w:val="bottom"/>
            <w:gridSpan w:val="3"/>
          </w:tcPr>
          <w:p>
            <w:pPr>
              <w:ind w:left="540"/>
              <w:spacing w:after="0"/>
              <w:rPr>
                <w:sz w:val="20"/>
                <w:szCs w:val="20"/>
                <w:color w:val="auto"/>
              </w:rPr>
            </w:pPr>
            <w:r>
              <w:rPr>
                <w:rFonts w:ascii="Arial" w:cs="Arial" w:eastAsia="Arial" w:hAnsi="Arial"/>
                <w:sz w:val="18"/>
                <w:szCs w:val="18"/>
                <w:color w:val="auto"/>
              </w:rPr>
              <w:t>Nine Months</w:t>
            </w:r>
          </w:p>
        </w:tc>
        <w:tc>
          <w:tcPr>
            <w:tcW w:w="22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 Change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Change</w:t>
            </w:r>
          </w:p>
        </w:tc>
        <w:tc>
          <w:tcPr>
            <w:tcW w:w="3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Change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5"/>
              </w:rPr>
              <w:t>% Change</w:t>
            </w:r>
          </w:p>
        </w:tc>
        <w:tc>
          <w:tcPr>
            <w:tcW w:w="22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6"/>
          </w:tcPr>
          <w:p>
            <w:pPr>
              <w:jc w:val="right"/>
              <w:ind w:right="220"/>
              <w:spacing w:after="0"/>
              <w:rPr>
                <w:sz w:val="20"/>
                <w:szCs w:val="20"/>
                <w:color w:val="auto"/>
              </w:rPr>
            </w:pPr>
            <w:r>
              <w:rPr>
                <w:rFonts w:ascii="Arial" w:cs="Arial" w:eastAsia="Arial" w:hAnsi="Arial"/>
                <w:sz w:val="18"/>
                <w:szCs w:val="18"/>
                <w:color w:val="auto"/>
                <w:w w:val="91"/>
              </w:rPr>
              <w:t>(In thousands, except %)</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General and administrative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 $</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in general and administrative expenses for the nine months ended September 30, 2023 as compared to the same period in 2022 is due to a decrease non-cash stock based compensation expenses of approximately $453,000.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During the three and nine months ended September 30, 2023 and 2022, other income and expense consisted of interest income, interest expense and amortization of debt discounts on convertible notes payable and convertible line of credit and the change in fair value of derivatives related to the convertible notes payable. Interest income increased in 2023 due to higher interest rates and cash on deposit. Interest expense and amortization of debt discounts increased due to borrowings on the convertible line of credit. The fair value of derivatives vary based on variables including the Company’s stock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Since our inception on July 10, 2000, we have financed our operations from proceeds of public and private offerings of debt and equity. As of September 30, 2023, we raised a net total of $274.5 million from these offerings. At September 30, 2023, the Company had $20.4 million of unrestricted cash and cash equivalents in addition to $30 million remaining available under a line of credit provided by our chairman available to fund future operations. The Company believes there is sufficient cash to fund currently planned operations at least through December 31, 2024. We will require more cash to fund our operations after December 31, 2024 and believe we will be able to obtain additional financing. The currently planned operations include costs related to our adaptively designed NAVIGATE Phase 2b/3 clinical trial. However, there can be no assurance that we will be successful in obtaining such new financing or, if available, that such financing will be on terms favorable to us.</w:t>
      </w:r>
    </w:p>
    <w:p>
      <w:pPr>
        <w:spacing w:after="0" w:line="17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Net cash used in operations increased by $4,446,000 to $28,263,000 for the nine months ended September 30, 2023, as compared to $23,817,000 for the nine months ended September 30, 2022. Cash operating expenses increased principally due to the preparations and expenses related to our NAVIGATE clinical trial with belapectin and the hiring of additional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2022 Annual Report on Form 10-K.</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ectPr>
          <w:pgSz w:w="11900" w:h="16838" w:orient="portrait"/>
          <w:cols w:equalWidth="0" w:num="1">
            <w:col w:w="11240"/>
          </w:cols>
          <w:pgMar w:left="320" w:top="114"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2023, our disclosure controls and procedures were effective.</w:t>
      </w:r>
    </w:p>
    <w:p>
      <w:pPr>
        <w:spacing w:after="0" w:line="184"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During the quarter ended September 30, 2023, no change in our internal control over financial reporting has materially affected, or is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2022, which could materially impact our business, financial condition or future results.</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Item 5.</w:t>
            </w:r>
          </w:p>
        </w:tc>
        <w:tc>
          <w:tcPr>
            <w:tcW w:w="918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 Information</w:t>
            </w:r>
          </w:p>
        </w:tc>
        <w:tc>
          <w:tcPr>
            <w:tcW w:w="1100" w:type="dxa"/>
            <w:vAlign w:val="bottom"/>
          </w:tcPr>
          <w:p>
            <w:pPr>
              <w:spacing w:after="0"/>
              <w:rPr>
                <w:sz w:val="20"/>
                <w:szCs w:val="20"/>
                <w:color w:val="auto"/>
              </w:rPr>
            </w:pPr>
          </w:p>
        </w:tc>
      </w:tr>
      <w:tr>
        <w:trPr>
          <w:trHeight w:val="432"/>
        </w:trPr>
        <w:tc>
          <w:tcPr>
            <w:tcW w:w="960" w:type="dxa"/>
            <w:vAlign w:val="bottom"/>
            <w:gridSpan w:val="4"/>
          </w:tcPr>
          <w:p>
            <w:pPr>
              <w:ind w:left="340"/>
              <w:spacing w:after="0"/>
              <w:rPr>
                <w:sz w:val="20"/>
                <w:szCs w:val="20"/>
                <w:color w:val="auto"/>
              </w:rPr>
            </w:pPr>
            <w:r>
              <w:rPr>
                <w:rFonts w:ascii="Arial" w:cs="Arial" w:eastAsia="Arial" w:hAnsi="Arial"/>
                <w:sz w:val="18"/>
                <w:szCs w:val="18"/>
                <w:color w:val="auto"/>
              </w:rPr>
              <w:t>None</w:t>
            </w:r>
          </w:p>
        </w:tc>
        <w:tc>
          <w:tcPr>
            <w:tcW w:w="9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918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Exhibits</w:t>
            </w:r>
          </w:p>
        </w:tc>
        <w:tc>
          <w:tcPr>
            <w:tcW w:w="1100" w:type="dxa"/>
            <w:vAlign w:val="bottom"/>
          </w:tcPr>
          <w:p>
            <w:pPr>
              <w:spacing w:after="0"/>
              <w:rPr>
                <w:sz w:val="24"/>
                <w:szCs w:val="24"/>
                <w:color w:val="auto"/>
              </w:rPr>
            </w:pPr>
          </w:p>
        </w:tc>
      </w:tr>
      <w:tr>
        <w:trPr>
          <w:trHeight w:val="414"/>
        </w:trPr>
        <w:tc>
          <w:tcPr>
            <w:tcW w:w="96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w:t>
            </w:r>
          </w:p>
        </w:tc>
        <w:tc>
          <w:tcPr>
            <w:tcW w:w="9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r>
      <w:tr>
        <w:trPr>
          <w:trHeight w:val="241"/>
        </w:trPr>
        <w:tc>
          <w:tcPr>
            <w:tcW w:w="960" w:type="dxa"/>
            <w:vAlign w:val="bottom"/>
            <w:gridSpan w:val="4"/>
          </w:tcPr>
          <w:p>
            <w:pPr>
              <w:ind w:left="100"/>
              <w:spacing w:after="0"/>
              <w:rPr>
                <w:sz w:val="20"/>
                <w:szCs w:val="20"/>
                <w:color w:val="auto"/>
              </w:rPr>
            </w:pPr>
            <w:r>
              <w:rPr>
                <w:rFonts w:ascii="Arial" w:cs="Arial" w:eastAsia="Arial" w:hAnsi="Arial"/>
                <w:sz w:val="18"/>
                <w:szCs w:val="18"/>
                <w:b w:val="1"/>
                <w:bCs w:val="1"/>
                <w:color w:val="auto"/>
              </w:rPr>
              <w:t>Number</w:t>
            </w:r>
          </w:p>
        </w:tc>
        <w:tc>
          <w:tcPr>
            <w:tcW w:w="9180" w:type="dxa"/>
            <w:vAlign w:val="bottom"/>
            <w:gridSpan w:val="2"/>
          </w:tcPr>
          <w:p>
            <w:pPr>
              <w:ind w:left="3580"/>
              <w:spacing w:after="0"/>
              <w:rPr>
                <w:sz w:val="20"/>
                <w:szCs w:val="20"/>
                <w:color w:val="auto"/>
              </w:rPr>
            </w:pPr>
            <w:r>
              <w:rPr>
                <w:rFonts w:ascii="Arial" w:cs="Arial" w:eastAsia="Arial" w:hAnsi="Arial"/>
                <w:sz w:val="18"/>
                <w:szCs w:val="18"/>
                <w:b w:val="1"/>
                <w:bCs w:val="1"/>
                <w:color w:val="auto"/>
              </w:rPr>
              <w:t>Description of Document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Reference</w:t>
            </w:r>
          </w:p>
        </w:tc>
      </w:tr>
      <w:tr>
        <w:trPr>
          <w:trHeight w:val="216"/>
        </w:trPr>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196"/>
        </w:trPr>
        <w:tc>
          <w:tcPr>
            <w:tcW w:w="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1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Pursuant to Rule 13a-14(a) of the Securities Exchange Act of 1934</w:t>
            </w:r>
          </w:p>
        </w:tc>
        <w:tc>
          <w:tcPr>
            <w:tcW w:w="1100" w:type="dxa"/>
            <w:vAlign w:val="bottom"/>
            <w:shd w:val="clear" w:color="auto" w:fill="CCEEFF"/>
          </w:tcPr>
          <w:p>
            <w:pPr>
              <w:spacing w:after="0"/>
              <w:rPr>
                <w:sz w:val="17"/>
                <w:szCs w:val="17"/>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1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Pursuant to Rule 13a-14(a) of the Securities Exchange Act of 1934</w:t>
            </w:r>
          </w:p>
        </w:tc>
        <w:tc>
          <w:tcPr>
            <w:tcW w:w="1100" w:type="dxa"/>
            <w:vAlign w:val="bottom"/>
            <w:shd w:val="clear" w:color="auto" w:fill="CCEEFF"/>
          </w:tcPr>
          <w:p>
            <w:pPr>
              <w:spacing w:after="0"/>
              <w:rPr>
                <w:sz w:val="17"/>
                <w:szCs w:val="17"/>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20" w:type="dxa"/>
            <w:vAlign w:val="bottom"/>
            <w:shd w:val="clear" w:color="auto" w:fill="CCEEFF"/>
          </w:tcPr>
          <w:p>
            <w:pPr>
              <w:spacing w:after="0"/>
              <w:rPr>
                <w:sz w:val="17"/>
                <w:szCs w:val="17"/>
                <w:color w:val="auto"/>
              </w:rPr>
            </w:pPr>
          </w:p>
        </w:tc>
        <w:tc>
          <w:tcPr>
            <w:tcW w:w="91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c>
          <w:tcPr>
            <w:tcW w:w="1100" w:type="dxa"/>
            <w:vAlign w:val="bottom"/>
            <w:shd w:val="clear" w:color="auto" w:fill="CCEEFF"/>
          </w:tcPr>
          <w:p>
            <w:pPr>
              <w:spacing w:after="0"/>
              <w:rPr>
                <w:sz w:val="17"/>
                <w:szCs w:val="17"/>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120" w:type="dxa"/>
            <w:vAlign w:val="bottom"/>
            <w:shd w:val="clear" w:color="auto" w:fill="CCEEFF"/>
          </w:tcPr>
          <w:p>
            <w:pPr>
              <w:spacing w:after="0"/>
              <w:rPr>
                <w:sz w:val="17"/>
                <w:szCs w:val="17"/>
                <w:color w:val="auto"/>
              </w:rPr>
            </w:pPr>
          </w:p>
        </w:tc>
        <w:tc>
          <w:tcPr>
            <w:tcW w:w="91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c>
          <w:tcPr>
            <w:tcW w:w="1100" w:type="dxa"/>
            <w:vAlign w:val="bottom"/>
            <w:shd w:val="clear" w:color="auto" w:fill="CCEEFF"/>
          </w:tcPr>
          <w:p>
            <w:pPr>
              <w:spacing w:after="0"/>
              <w:rPr>
                <w:sz w:val="17"/>
                <w:szCs w:val="17"/>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202"/>
        </w:trPr>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1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Inline XBRL Instance Document** (the instance document does not appear in the Interactive Data File because its XBRL</w:t>
            </w:r>
          </w:p>
        </w:tc>
        <w:tc>
          <w:tcPr>
            <w:tcW w:w="1100" w:type="dxa"/>
            <w:vAlign w:val="bottom"/>
            <w:shd w:val="clear" w:color="auto" w:fill="CCEEFF"/>
          </w:tcPr>
          <w:p>
            <w:pPr>
              <w:spacing w:after="0"/>
              <w:rPr>
                <w:sz w:val="17"/>
                <w:szCs w:val="17"/>
                <w:color w:val="auto"/>
              </w:rPr>
            </w:pPr>
          </w:p>
        </w:tc>
      </w:tr>
      <w:tr>
        <w:trPr>
          <w:trHeight w:val="230"/>
        </w:trPr>
        <w:tc>
          <w:tcPr>
            <w:tcW w:w="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101.INS</w:t>
            </w:r>
          </w:p>
        </w:tc>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tags are embedded within the Inline XBRL document).</w:t>
            </w:r>
          </w:p>
        </w:tc>
        <w:tc>
          <w:tcPr>
            <w:tcW w:w="11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960" w:type="dxa"/>
            <w:vAlign w:val="bottom"/>
            <w:gridSpan w:val="3"/>
          </w:tcPr>
          <w:p>
            <w:pPr>
              <w:spacing w:after="0"/>
              <w:rPr>
                <w:sz w:val="20"/>
                <w:szCs w:val="20"/>
                <w:color w:val="auto"/>
              </w:rPr>
            </w:pPr>
            <w:r>
              <w:rPr>
                <w:rFonts w:ascii="Arial" w:cs="Arial" w:eastAsia="Arial" w:hAnsi="Arial"/>
                <w:sz w:val="14"/>
                <w:szCs w:val="14"/>
                <w:i w:val="1"/>
                <w:iCs w:val="1"/>
                <w:color w:val="0000EE"/>
              </w:rPr>
              <w:t>Index</w:t>
            </w:r>
          </w:p>
        </w:tc>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67"/>
        </w:trPr>
        <w:tc>
          <w:tcPr>
            <w:tcW w:w="96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w:t>
            </w:r>
          </w:p>
        </w:tc>
        <w:tc>
          <w:tcPr>
            <w:tcW w:w="9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r>
      <w:tr>
        <w:trPr>
          <w:trHeight w:val="241"/>
        </w:trPr>
        <w:tc>
          <w:tcPr>
            <w:tcW w:w="960" w:type="dxa"/>
            <w:vAlign w:val="bottom"/>
            <w:gridSpan w:val="3"/>
          </w:tcPr>
          <w:p>
            <w:pPr>
              <w:ind w:left="100"/>
              <w:spacing w:after="0"/>
              <w:rPr>
                <w:sz w:val="20"/>
                <w:szCs w:val="20"/>
                <w:color w:val="auto"/>
              </w:rPr>
            </w:pPr>
            <w:r>
              <w:rPr>
                <w:rFonts w:ascii="Arial" w:cs="Arial" w:eastAsia="Arial" w:hAnsi="Arial"/>
                <w:sz w:val="18"/>
                <w:szCs w:val="18"/>
                <w:b w:val="1"/>
                <w:bCs w:val="1"/>
                <w:color w:val="auto"/>
              </w:rPr>
              <w:t>Number</w:t>
            </w:r>
          </w:p>
        </w:tc>
        <w:tc>
          <w:tcPr>
            <w:tcW w:w="9180" w:type="dxa"/>
            <w:vAlign w:val="bottom"/>
            <w:gridSpan w:val="2"/>
          </w:tcPr>
          <w:p>
            <w:pPr>
              <w:ind w:left="3580"/>
              <w:spacing w:after="0"/>
              <w:rPr>
                <w:sz w:val="20"/>
                <w:szCs w:val="20"/>
                <w:color w:val="auto"/>
              </w:rPr>
            </w:pPr>
            <w:r>
              <w:rPr>
                <w:rFonts w:ascii="Arial" w:cs="Arial" w:eastAsia="Arial" w:hAnsi="Arial"/>
                <w:sz w:val="18"/>
                <w:szCs w:val="18"/>
                <w:b w:val="1"/>
                <w:bCs w:val="1"/>
                <w:color w:val="auto"/>
              </w:rPr>
              <w:t>Description of Document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Reference</w:t>
            </w:r>
          </w:p>
        </w:tc>
      </w:tr>
      <w:tr>
        <w:trPr>
          <w:trHeight w:val="216"/>
        </w:trPr>
        <w:tc>
          <w:tcPr>
            <w:tcW w:w="3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6"/>
        </w:trPr>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1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Inline XBRL Taxonomy Calculation Linkbase Document**</w:t>
            </w:r>
          </w:p>
        </w:tc>
        <w:tc>
          <w:tcPr>
            <w:tcW w:w="1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1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Inline XBRL Taxonomy Label Linkbase Document**</w:t>
            </w:r>
          </w:p>
        </w:tc>
        <w:tc>
          <w:tcPr>
            <w:tcW w:w="1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Inline XBRL Taxonomy Presentation Linkbase Document**</w:t>
            </w:r>
          </w:p>
        </w:tc>
        <w:tc>
          <w:tcPr>
            <w:tcW w:w="1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1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Cover Page Interactive Data File (the cover page XBRL tags are embedded in the Inline XBRL document and included in</w:t>
            </w:r>
          </w:p>
        </w:tc>
        <w:tc>
          <w:tcPr>
            <w:tcW w:w="1100" w:type="dxa"/>
            <w:vAlign w:val="bottom"/>
            <w:shd w:val="clear" w:color="auto" w:fill="CCEEFF"/>
          </w:tcPr>
          <w:p>
            <w:pPr>
              <w:spacing w:after="0"/>
              <w:rPr>
                <w:sz w:val="17"/>
                <w:szCs w:val="17"/>
                <w:color w:val="auto"/>
              </w:rPr>
            </w:pPr>
          </w:p>
        </w:tc>
      </w:tr>
      <w:tr>
        <w:trPr>
          <w:trHeight w:val="230"/>
        </w:trPr>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0"/>
                <w:szCs w:val="20"/>
                <w:color w:val="auto"/>
              </w:rPr>
            </w:pPr>
          </w:p>
        </w:tc>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Exhibit 101)</w:t>
            </w:r>
          </w:p>
        </w:tc>
        <w:tc>
          <w:tcPr>
            <w:tcW w:w="11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9"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13, 2023.</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Joel Lewis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W. Callicutt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Joel Lewis, certify that:</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225" w:lineRule="exact"/>
        <w:rPr>
          <w:rFonts w:ascii="Arial" w:cs="Arial" w:eastAsia="Arial" w:hAnsi="Arial"/>
          <w:sz w:val="18"/>
          <w:szCs w:val="18"/>
          <w:color w:val="auto"/>
        </w:rPr>
      </w:pPr>
    </w:p>
    <w:p>
      <w:pPr>
        <w:jc w:val="both"/>
        <w:ind w:left="320" w:hanging="312"/>
        <w:spacing w:after="0" w:line="263"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right="420" w:hanging="312"/>
        <w:spacing w:after="0" w:line="308"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20" w:right="20" w:hanging="312"/>
        <w:spacing w:after="0" w:line="263"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3" w:lineRule="exact"/>
        <w:rPr>
          <w:rFonts w:ascii="Arial" w:cs="Arial" w:eastAsia="Arial" w:hAnsi="Arial"/>
          <w:sz w:val="18"/>
          <w:szCs w:val="18"/>
          <w:color w:val="auto"/>
        </w:rPr>
      </w:pPr>
    </w:p>
    <w:p>
      <w:pPr>
        <w:ind w:left="660" w:right="36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0" w:right="340" w:hanging="312"/>
        <w:spacing w:after="0" w:line="308"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6"/>
          <w:szCs w:val="16"/>
          <w:color w:val="auto"/>
        </w:rPr>
        <w:t>/s/ Joel Lewis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22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225" w:lineRule="exact"/>
        <w:rPr>
          <w:rFonts w:ascii="Arial" w:cs="Arial" w:eastAsia="Arial" w:hAnsi="Arial"/>
          <w:sz w:val="18"/>
          <w:szCs w:val="18"/>
          <w:color w:val="auto"/>
        </w:rPr>
      </w:pPr>
    </w:p>
    <w:p>
      <w:pPr>
        <w:jc w:val="both"/>
        <w:ind w:left="320" w:hanging="312"/>
        <w:spacing w:after="0" w:line="263"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right="420" w:hanging="312"/>
        <w:spacing w:after="0" w:line="308"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20" w:right="20" w:hanging="312"/>
        <w:spacing w:after="0" w:line="263"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3" w:lineRule="exact"/>
        <w:rPr>
          <w:rFonts w:ascii="Arial" w:cs="Arial" w:eastAsia="Arial" w:hAnsi="Arial"/>
          <w:sz w:val="18"/>
          <w:szCs w:val="18"/>
          <w:color w:val="auto"/>
        </w:rPr>
      </w:pPr>
    </w:p>
    <w:p>
      <w:pPr>
        <w:ind w:left="660" w:right="3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0" w:right="340" w:hanging="312"/>
        <w:spacing w:after="0" w:line="308"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6"/>
          <w:szCs w:val="16"/>
          <w:color w:val="auto"/>
        </w:rPr>
        <w:t>/s/ Jack W. Callicutt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40" w:firstLine="311"/>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September 30, 2023 as filed with the Securities and Exchange Commission on the date hereof (the “Report”), I, Joel Lewis, Chief Executive Officer of the Company, certify, pursuant to 18 U.S.C. § 1350, as adopted pursuant to § 906 of the Sarbanes-Oxley Act of 2002, that, to my knowledge:</w:t>
      </w:r>
    </w:p>
    <w:p>
      <w:pPr>
        <w:spacing w:after="0" w:line="165" w:lineRule="exact"/>
        <w:rPr>
          <w:sz w:val="20"/>
          <w:szCs w:val="20"/>
          <w:color w:val="auto"/>
        </w:rPr>
      </w:pPr>
    </w:p>
    <w:p>
      <w:pPr>
        <w:ind w:left="1020" w:hanging="58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8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6"/>
          <w:szCs w:val="16"/>
          <w:color w:val="auto"/>
        </w:rPr>
        <w:t>/s/ Joel Lewis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300" w:firstLine="311"/>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340" w:firstLine="311"/>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September 30, 2023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165" w:lineRule="exact"/>
        <w:rPr>
          <w:sz w:val="20"/>
          <w:szCs w:val="20"/>
          <w:color w:val="auto"/>
        </w:rPr>
      </w:pPr>
    </w:p>
    <w:p>
      <w:pPr>
        <w:ind w:left="1020" w:hanging="58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80"/>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6"/>
          <w:szCs w:val="16"/>
          <w:color w:val="auto"/>
        </w:rPr>
        <w:t>/s/ Jack W. Callicutt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ind w:right="300" w:firstLine="311"/>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6960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2023-11-13T06:58:38Z</dcterms:created>
  <dcterms:modified xsi:type="dcterms:W3CDTF">2023-11-13T06:58:38Z</dcterms:modified>
</cp:coreProperties>
</file>