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97"/>
        </w:trPr>
        <w:tc>
          <w:tcPr>
            <w:tcW w:w="2040" w:type="dxa"/>
            <w:vAlign w:val="bottom"/>
          </w:tcPr>
          <w:p>
            <w:pPr>
              <w:spacing w:after="0"/>
              <w:rPr>
                <w:sz w:val="24"/>
                <w:szCs w:val="24"/>
                <w:color w:val="auto"/>
              </w:rPr>
            </w:pPr>
          </w:p>
        </w:tc>
        <w:tc>
          <w:tcPr>
            <w:tcW w:w="5500" w:type="dxa"/>
            <w:vAlign w:val="bottom"/>
            <w:gridSpan w:val="3"/>
          </w:tcPr>
          <w:p>
            <w:pPr>
              <w:jc w:val="center"/>
              <w:spacing w:after="0"/>
              <w:rPr>
                <w:sz w:val="20"/>
                <w:szCs w:val="20"/>
                <w:color w:val="auto"/>
              </w:rPr>
            </w:pPr>
            <w:r>
              <w:rPr>
                <w:rFonts w:ascii="Times New Roman" w:cs="Times New Roman" w:eastAsia="Times New Roman" w:hAnsi="Times New Roman"/>
                <w:sz w:val="25"/>
                <w:szCs w:val="25"/>
                <w:b w:val="1"/>
                <w:bCs w:val="1"/>
                <w:color w:val="auto"/>
                <w:w w:val="99"/>
              </w:rPr>
              <w:t>UNITED STATES</w:t>
            </w:r>
          </w:p>
        </w:tc>
      </w:tr>
      <w:tr>
        <w:trPr>
          <w:trHeight w:val="294"/>
        </w:trPr>
        <w:tc>
          <w:tcPr>
            <w:tcW w:w="2040" w:type="dxa"/>
            <w:vAlign w:val="bottom"/>
          </w:tcPr>
          <w:p>
            <w:pPr>
              <w:spacing w:after="0"/>
              <w:rPr>
                <w:sz w:val="24"/>
                <w:szCs w:val="24"/>
                <w:color w:val="auto"/>
              </w:rPr>
            </w:pPr>
          </w:p>
        </w:tc>
        <w:tc>
          <w:tcPr>
            <w:tcW w:w="5500" w:type="dxa"/>
            <w:vAlign w:val="bottom"/>
            <w:gridSpan w:val="3"/>
          </w:tcPr>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tc>
      </w:tr>
      <w:tr>
        <w:trPr>
          <w:trHeight w:val="286"/>
        </w:trPr>
        <w:tc>
          <w:tcPr>
            <w:tcW w:w="2040" w:type="dxa"/>
            <w:vAlign w:val="bottom"/>
          </w:tcPr>
          <w:p>
            <w:pPr>
              <w:spacing w:after="0"/>
              <w:rPr>
                <w:sz w:val="24"/>
                <w:szCs w:val="24"/>
                <w:color w:val="auto"/>
              </w:rPr>
            </w:pPr>
          </w:p>
        </w:tc>
        <w:tc>
          <w:tcPr>
            <w:tcW w:w="5500" w:type="dxa"/>
            <w:vAlign w:val="bottom"/>
            <w:gridSpan w:val="3"/>
          </w:tcPr>
          <w:p>
            <w:pPr>
              <w:jc w:val="center"/>
              <w:ind w:left="47"/>
              <w:spacing w:after="0"/>
              <w:rPr>
                <w:sz w:val="20"/>
                <w:szCs w:val="20"/>
                <w:color w:val="auto"/>
              </w:rPr>
            </w:pPr>
            <w:r>
              <w:rPr>
                <w:rFonts w:ascii="Times New Roman" w:cs="Times New Roman" w:eastAsia="Times New Roman" w:hAnsi="Times New Roman"/>
                <w:sz w:val="22"/>
                <w:szCs w:val="22"/>
                <w:b w:val="1"/>
                <w:bCs w:val="1"/>
                <w:color w:val="auto"/>
                <w:w w:val="97"/>
              </w:rPr>
              <w:t>Washington, D.C. 20549</w:t>
            </w:r>
          </w:p>
        </w:tc>
      </w:tr>
      <w:tr>
        <w:trPr>
          <w:trHeight w:val="123"/>
        </w:trPr>
        <w:tc>
          <w:tcPr>
            <w:tcW w:w="20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820" w:type="dxa"/>
            <w:vAlign w:val="bottom"/>
          </w:tcPr>
          <w:p>
            <w:pPr>
              <w:spacing w:after="0"/>
              <w:rPr>
                <w:sz w:val="10"/>
                <w:szCs w:val="10"/>
                <w:color w:val="auto"/>
              </w:rPr>
            </w:pPr>
          </w:p>
        </w:tc>
      </w:tr>
      <w:tr>
        <w:trPr>
          <w:trHeight w:val="578"/>
        </w:trPr>
        <w:tc>
          <w:tcPr>
            <w:tcW w:w="2040" w:type="dxa"/>
            <w:vAlign w:val="bottom"/>
          </w:tcPr>
          <w:p>
            <w:pPr>
              <w:spacing w:after="0"/>
              <w:rPr>
                <w:sz w:val="24"/>
                <w:szCs w:val="24"/>
                <w:color w:val="auto"/>
              </w:rPr>
            </w:pPr>
          </w:p>
        </w:tc>
        <w:tc>
          <w:tcPr>
            <w:tcW w:w="5500" w:type="dxa"/>
            <w:vAlign w:val="bottom"/>
            <w:gridSpan w:val="3"/>
          </w:tcPr>
          <w:p>
            <w:pPr>
              <w:jc w:val="center"/>
              <w:ind w:left="47"/>
              <w:spacing w:after="0"/>
              <w:rPr>
                <w:sz w:val="20"/>
                <w:szCs w:val="20"/>
                <w:color w:val="auto"/>
              </w:rPr>
            </w:pPr>
            <w:r>
              <w:rPr>
                <w:rFonts w:ascii="Times New Roman" w:cs="Times New Roman" w:eastAsia="Times New Roman" w:hAnsi="Times New Roman"/>
                <w:sz w:val="32"/>
                <w:szCs w:val="32"/>
                <w:b w:val="1"/>
                <w:bCs w:val="1"/>
                <w:color w:val="auto"/>
              </w:rPr>
              <w:t>SCHEDULE 14A</w:t>
            </w:r>
          </w:p>
        </w:tc>
      </w:tr>
      <w:tr>
        <w:trPr>
          <w:trHeight w:val="352"/>
        </w:trPr>
        <w:tc>
          <w:tcPr>
            <w:tcW w:w="2040" w:type="dxa"/>
            <w:vAlign w:val="bottom"/>
          </w:tcPr>
          <w:p>
            <w:pPr>
              <w:spacing w:after="0"/>
              <w:rPr>
                <w:sz w:val="24"/>
                <w:szCs w:val="24"/>
                <w:color w:val="auto"/>
              </w:rPr>
            </w:pPr>
          </w:p>
        </w:tc>
        <w:tc>
          <w:tcPr>
            <w:tcW w:w="55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tc>
      </w:tr>
      <w:tr>
        <w:trPr>
          <w:trHeight w:val="238"/>
        </w:trPr>
        <w:tc>
          <w:tcPr>
            <w:tcW w:w="2040" w:type="dxa"/>
            <w:vAlign w:val="bottom"/>
          </w:tcPr>
          <w:p>
            <w:pPr>
              <w:spacing w:after="0"/>
              <w:rPr>
                <w:sz w:val="20"/>
                <w:szCs w:val="20"/>
                <w:color w:val="auto"/>
              </w:rPr>
            </w:pPr>
          </w:p>
        </w:tc>
        <w:tc>
          <w:tcPr>
            <w:tcW w:w="5500" w:type="dxa"/>
            <w:vAlign w:val="bottom"/>
            <w:gridSpan w:val="3"/>
          </w:tcPr>
          <w:p>
            <w:pPr>
              <w:jc w:val="center"/>
              <w:ind w:left="47"/>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r>
      <w:tr>
        <w:trPr>
          <w:trHeight w:val="148"/>
        </w:trPr>
        <w:tc>
          <w:tcPr>
            <w:tcW w:w="20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1820" w:type="dxa"/>
            <w:vAlign w:val="bottom"/>
          </w:tcPr>
          <w:p>
            <w:pPr>
              <w:spacing w:after="0"/>
              <w:rPr>
                <w:sz w:val="12"/>
                <w:szCs w:val="12"/>
                <w:color w:val="auto"/>
              </w:rPr>
            </w:pPr>
          </w:p>
        </w:tc>
      </w:tr>
      <w:tr>
        <w:trPr>
          <w:trHeight w:val="562"/>
        </w:trPr>
        <w:tc>
          <w:tcPr>
            <w:tcW w:w="204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tc>
        <w:tc>
          <w:tcPr>
            <w:tcW w:w="5500" w:type="dxa"/>
            <w:vAlign w:val="bottom"/>
            <w:gridSpan w:val="3"/>
          </w:tcPr>
          <w:p>
            <w:pPr>
              <w:jc w:val="center"/>
              <w:spacing w:after="0" w:line="207" w:lineRule="exact"/>
              <w:rPr>
                <w:sz w:val="20"/>
                <w:szCs w:val="20"/>
                <w:color w:val="auto"/>
              </w:rPr>
            </w:pPr>
            <w:r>
              <w:rPr>
                <w:rFonts w:ascii="Times New Roman" w:cs="Times New Roman" w:eastAsia="Times New Roman" w:hAnsi="Times New Roman"/>
                <w:sz w:val="18"/>
                <w:szCs w:val="18"/>
                <w:color w:val="auto"/>
                <w:w w:val="99"/>
              </w:rPr>
              <w:t xml:space="preserve">Filed by a Party other than the Registrant </w:t>
            </w:r>
            <w:r>
              <w:rPr>
                <w:rFonts w:ascii="MS PGothic" w:cs="MS PGothic" w:eastAsia="MS PGothic" w:hAnsi="MS PGothic"/>
                <w:sz w:val="18"/>
                <w:szCs w:val="18"/>
                <w:color w:val="auto"/>
                <w:w w:val="99"/>
              </w:rPr>
              <w:t>☐</w:t>
            </w:r>
          </w:p>
        </w:tc>
      </w:tr>
      <w:tr>
        <w:trPr>
          <w:trHeight w:val="3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w:t>
            </w: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225"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40"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48"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44"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44"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0" w:lineRule="exact"/>
        <w:rPr>
          <w:sz w:val="24"/>
          <w:szCs w:val="24"/>
          <w:color w:val="auto"/>
        </w:rPr>
      </w:pPr>
    </w:p>
    <w:p>
      <w:pPr>
        <w:spacing w:after="0" w:line="38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39"/>
          <w:szCs w:val="39"/>
          <w:b w:val="1"/>
          <w:bCs w:val="1"/>
          <w:color w:val="auto"/>
        </w:rPr>
        <w:t>GALECTIN THERAPEUTICS INC.</w:t>
      </w:r>
    </w:p>
    <w:p>
      <w:pPr>
        <w:spacing w:after="0" w:line="52"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23"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3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44"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197485</wp:posOffset>
            </wp:positionV>
            <wp:extent cx="6172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257175</wp:posOffset>
            </wp:positionV>
            <wp:extent cx="61722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386080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102870</wp:posOffset>
            </wp:positionV>
            <wp:extent cx="1645920"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58"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October 22, 2025</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2025 annual meeting of stockholders (the “2025 Annual Meeting”) of Galectin Therapeutics Inc. The meeting will be held on Wednesday, December 3, 2025 at 11:00 a.m., Eastern Standard Time. Due to cost savings and other efficiencies resulting from conducting a virtual meeting, Galectin Therapeutics is conducting the 2025 Annual Meeting via an online-only format. Stockholders will be able to listen, vote, and submit questions from their home or any remote location with internet connectivity. The 2025 Annual Meeting has been designed to provide the same rights to participate as you would have at an in-person meeting. Information on how to participate in this year’s virtual meeting can be found on page </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meeting will be held for the following purposes:</w:t>
      </w:r>
    </w:p>
    <w:p>
      <w:pPr>
        <w:spacing w:after="0" w:line="117" w:lineRule="exact"/>
        <w:rPr>
          <w:sz w:val="20"/>
          <w:szCs w:val="20"/>
          <w:color w:val="auto"/>
        </w:rPr>
      </w:pPr>
    </w:p>
    <w:p>
      <w:pPr>
        <w:ind w:left="1000" w:right="45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eleven (11) nominees for director named in the accompanying proxy statement to hold office until the 2026 annual meeting of our stockholders.</w:t>
      </w:r>
    </w:p>
    <w:p>
      <w:pPr>
        <w:spacing w:after="0" w:line="53" w:lineRule="exact"/>
        <w:rPr>
          <w:rFonts w:ascii="Times New Roman" w:cs="Times New Roman" w:eastAsia="Times New Roman" w:hAnsi="Times New Roman"/>
          <w:sz w:val="18"/>
          <w:szCs w:val="18"/>
          <w:color w:val="auto"/>
        </w:rPr>
      </w:pPr>
    </w:p>
    <w:p>
      <w:pPr>
        <w:ind w:left="1000" w:right="8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non-binding advisory resolution to approve the compensation paid to Galectin’s named executive officers, as disclosed in the proxy statement accompanying this letter.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recommend, by non-binding vote, the frequency with which Galectin will conduct stockholder advisory votes on executive compensation.</w:t>
      </w:r>
    </w:p>
    <w:p>
      <w:pPr>
        <w:spacing w:after="0" w:line="53"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Cherry Bekaert LLP as our independent registered public accounting firm for the fiscal year ending December 31, 2025.</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adjournments of the 2025 Annual Meeting.</w:t>
      </w:r>
    </w:p>
    <w:p>
      <w:pPr>
        <w:spacing w:after="0" w:line="54"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Only holders of the Company’s Common Stock or Series A 12% Convertible Preferred Stock of record as of October 7, 2025 are entitled to notice of and to vote at the 2025 Annual Meeting. These items of business are more fully described in the proxy statement accompanying this letter.</w:t>
      </w:r>
    </w:p>
    <w:p>
      <w:pPr>
        <w:spacing w:after="0" w:line="68"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Company is pleased to save costs and help protect the environment by using the “Notice and Access” method of delivery for its proxy materials. Instead of receiving paper copies of our proxy materials, including the Company’s Annual Report on Form 10-K for the year ended December 31, 2024 (the “Annual Report”), in the mail, stockholders will receive a Notice Regarding the Availability of Proxy Materials, which provides an internet website address where stockholders can access electronic copies of the proxy materials.</w:t>
      </w:r>
    </w:p>
    <w:p>
      <w:pPr>
        <w:spacing w:after="0" w:line="75"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Your vote is very important. Regardless of whether you plan to virtually attend the 2025 Annual Meeting, please promptly vote your shares. You may vote your shares over the internet. If you received a paper copy of a proxy or voting instruction card by mail, you may submit your proxy or voting instruction card for the 2025 Annual Meeting by completing, signing, dating and returning your proxy or voting instruction card in the pre-addressed envelope provided. For specific instructions on how to vote your shares, please refer to the section entitled Questions and Answers About the Annual Meeting and Voting Rights on page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of the proxy statement.</w:t>
      </w:r>
    </w:p>
    <w:p>
      <w:pPr>
        <w:spacing w:after="0" w:line="79" w:lineRule="exact"/>
        <w:rPr>
          <w:sz w:val="20"/>
          <w:szCs w:val="20"/>
          <w:color w:val="auto"/>
        </w:rPr>
      </w:pPr>
    </w:p>
    <w:p>
      <w:pPr>
        <w:ind w:left="300" w:right="539" w:firstLine="360"/>
        <w:spacing w:after="0" w:line="289" w:lineRule="auto"/>
        <w:rPr>
          <w:sz w:val="20"/>
          <w:szCs w:val="20"/>
          <w:color w:val="auto"/>
        </w:rPr>
      </w:pPr>
      <w:r>
        <w:rPr>
          <w:rFonts w:ascii="Times New Roman" w:cs="Times New Roman" w:eastAsia="Times New Roman" w:hAnsi="Times New Roman"/>
          <w:sz w:val="17"/>
          <w:szCs w:val="17"/>
          <w:color w:val="auto"/>
        </w:rPr>
        <w:t>In addition, the proxy statement contains other important information about Galectin Therapeutics, including information about the role and responsibilities of our Board of Directors and its committees, information about executive compensation, and information about the beneficial ownership of Galectin Therapeutics’ securities.</w:t>
      </w:r>
    </w:p>
    <w:p>
      <w:pPr>
        <w:spacing w:after="0" w:line="9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188595</wp:posOffset>
            </wp:positionV>
            <wp:extent cx="1097280" cy="419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Joel Lewis</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4960 Peachtree Industrial Blvd., Suite 240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Norcross, Georgia 30071</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OF THE 2025 ANNUAL MEETING OF STOCKHOLDERS</w:t>
      </w:r>
    </w:p>
    <w:p>
      <w:pPr>
        <w:sectPr>
          <w:pgSz w:w="11900" w:h="16838" w:orient="portrait"/>
          <w:cols w:equalWidth="0" w:num="1">
            <w:col w:w="9019"/>
          </w:cols>
          <w:pgMar w:left="1440" w:top="114" w:right="1440" w:bottom="1440" w:gutter="0" w:footer="0" w:header="0"/>
        </w:sectPr>
      </w:pPr>
    </w:p>
    <w:p>
      <w:pPr>
        <w:spacing w:after="0" w:line="2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Time: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right="459"/>
        <w:spacing w:after="0" w:line="282" w:lineRule="auto"/>
        <w:rPr>
          <w:sz w:val="20"/>
          <w:szCs w:val="20"/>
          <w:color w:val="auto"/>
        </w:rPr>
      </w:pPr>
      <w:r>
        <w:rPr>
          <w:rFonts w:ascii="Times New Roman" w:cs="Times New Roman" w:eastAsia="Times New Roman" w:hAnsi="Times New Roman"/>
          <w:sz w:val="18"/>
          <w:szCs w:val="18"/>
          <w:color w:val="auto"/>
        </w:rPr>
        <w:t>11:00 a.m. Eastern Standard Time on Wednesday, December 3, 2025; Online access begins at 10:45 a.m. on December 3, 2025.</w:t>
      </w:r>
    </w:p>
    <w:p>
      <w:pPr>
        <w:spacing w:after="0" w:line="185" w:lineRule="exact"/>
        <w:rPr>
          <w:sz w:val="20"/>
          <w:szCs w:val="20"/>
          <w:color w:val="auto"/>
        </w:rPr>
      </w:pPr>
    </w:p>
    <w:p>
      <w:pPr>
        <w:sectPr>
          <w:pgSz w:w="11900" w:h="16838" w:orient="portrait"/>
          <w:cols w:equalWidth="0" w:num="2">
            <w:col w:w="1300" w:space="720"/>
            <w:col w:w="6999"/>
          </w:cols>
          <w:pgMar w:left="1440" w:top="114" w:right="1440"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Place:</w:t>
      </w:r>
    </w:p>
    <w:p>
      <w:pPr>
        <w:spacing w:after="0" w:line="20" w:lineRule="exact"/>
        <w:rPr>
          <w:sz w:val="20"/>
          <w:szCs w:val="20"/>
          <w:color w:val="auto"/>
        </w:rPr>
      </w:pPr>
      <w:r>
        <w:rPr>
          <w:sz w:val="20"/>
          <w:szCs w:val="20"/>
          <w:color w:val="auto"/>
        </w:rPr>
        <w:br w:type="column"/>
      </w:r>
    </w:p>
    <w:p>
      <w:pPr>
        <w:ind w:right="2599"/>
        <w:spacing w:after="0" w:line="282" w:lineRule="auto"/>
        <w:rPr>
          <w:sz w:val="20"/>
          <w:szCs w:val="20"/>
          <w:color w:val="auto"/>
        </w:rPr>
      </w:pPr>
      <w:r>
        <w:rPr>
          <w:rFonts w:ascii="Times New Roman" w:cs="Times New Roman" w:eastAsia="Times New Roman" w:hAnsi="Times New Roman"/>
          <w:sz w:val="18"/>
          <w:szCs w:val="18"/>
          <w:color w:val="auto"/>
        </w:rPr>
        <w:t>The Annual Meeting will be held virtually via the internet, at www.virtualshareholdermeeting.com/GALT2025.</w:t>
      </w:r>
    </w:p>
    <w:p>
      <w:pPr>
        <w:spacing w:after="0" w:line="185" w:lineRule="exact"/>
        <w:rPr>
          <w:sz w:val="20"/>
          <w:szCs w:val="20"/>
          <w:color w:val="auto"/>
        </w:rPr>
      </w:pPr>
    </w:p>
    <w:p>
      <w:pPr>
        <w:sectPr>
          <w:pgSz w:w="11900" w:h="16838" w:orient="portrait"/>
          <w:cols w:equalWidth="0" w:num="2">
            <w:col w:w="1300" w:space="720"/>
            <w:col w:w="6999"/>
          </w:cols>
          <w:pgMar w:left="1440" w:top="114" w:right="1440"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Items of Business:</w:t>
      </w:r>
    </w:p>
    <w:p>
      <w:pPr>
        <w:spacing w:after="0" w:line="20" w:lineRule="exact"/>
        <w:rPr>
          <w:sz w:val="20"/>
          <w:szCs w:val="20"/>
          <w:color w:val="auto"/>
        </w:rPr>
      </w:pPr>
      <w:r>
        <w:rPr>
          <w:sz w:val="20"/>
          <w:szCs w:val="20"/>
          <w:color w:val="auto"/>
        </w:rPr>
        <w:br w:type="column"/>
      </w:r>
    </w:p>
    <w:p>
      <w:pPr>
        <w:ind w:right="759" w:hanging="439"/>
        <w:spacing w:after="0" w:line="312" w:lineRule="auto"/>
        <w:rPr>
          <w:sz w:val="20"/>
          <w:szCs w:val="20"/>
          <w:color w:val="auto"/>
        </w:rPr>
      </w:pPr>
      <w:r>
        <w:rPr>
          <w:rFonts w:ascii="Times New Roman" w:cs="Times New Roman" w:eastAsia="Times New Roman" w:hAnsi="Times New Roman"/>
          <w:sz w:val="17"/>
          <w:szCs w:val="17"/>
          <w:color w:val="auto"/>
        </w:rPr>
        <w:t>1.</w:t>
      </w:r>
      <w:r>
        <w:rPr>
          <w:sz w:val="20"/>
          <w:szCs w:val="20"/>
          <w:color w:val="auto"/>
        </w:rPr>
        <w:t xml:space="preserve"> </w:t>
      </w:r>
      <w:r>
        <w:rPr>
          <w:rFonts w:ascii="Times New Roman" w:cs="Times New Roman" w:eastAsia="Times New Roman" w:hAnsi="Times New Roman"/>
          <w:sz w:val="17"/>
          <w:szCs w:val="17"/>
          <w:color w:val="auto"/>
        </w:rPr>
        <w:t>To elect the eleven (11) nominees for director named in the accompanying proxy statement to hold office until the 2026 annual meeting of our stockholders.</w:t>
      </w:r>
    </w:p>
    <w:p>
      <w:pPr>
        <w:spacing w:after="0" w:line="167" w:lineRule="exact"/>
        <w:rPr>
          <w:sz w:val="20"/>
          <w:szCs w:val="20"/>
          <w:color w:val="auto"/>
        </w:rPr>
      </w:pPr>
    </w:p>
    <w:p>
      <w:pPr>
        <w:sectPr>
          <w:pgSz w:w="11900" w:h="16838" w:orient="portrait"/>
          <w:cols w:equalWidth="0" w:num="2">
            <w:col w:w="1740" w:space="720"/>
            <w:col w:w="6559"/>
          </w:cols>
          <w:pgMar w:left="1440" w:top="114" w:right="1440" w:bottom="1440" w:gutter="0" w:footer="0" w:header="0"/>
          <w:type w:val="continuous"/>
        </w:sectPr>
      </w:pPr>
    </w:p>
    <w:p>
      <w:pPr>
        <w:ind w:left="2460" w:right="659" w:hanging="440"/>
        <w:spacing w:after="0" w:line="266" w:lineRule="auto"/>
        <w:tabs>
          <w:tab w:leader="none" w:pos="2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non-binding advisory resolution to approve the compensation paid to Galectin’s named executive officers, as disclosed in the proxy statement accompanying this letter.</w:t>
      </w:r>
    </w:p>
    <w:p>
      <w:pPr>
        <w:spacing w:after="0" w:line="202" w:lineRule="exact"/>
        <w:rPr>
          <w:rFonts w:ascii="Times New Roman" w:cs="Times New Roman" w:eastAsia="Times New Roman" w:hAnsi="Times New Roman"/>
          <w:sz w:val="18"/>
          <w:szCs w:val="18"/>
          <w:color w:val="auto"/>
        </w:rPr>
      </w:pPr>
    </w:p>
    <w:p>
      <w:pPr>
        <w:ind w:left="2460" w:right="419" w:hanging="440"/>
        <w:spacing w:after="0" w:line="282" w:lineRule="auto"/>
        <w:tabs>
          <w:tab w:leader="none" w:pos="2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recommend, by non-binding vote, the frequency with which Galectin will conduct stockholder advisory votes on executive compensation.</w:t>
      </w:r>
    </w:p>
    <w:p>
      <w:pPr>
        <w:spacing w:after="0" w:line="188" w:lineRule="exact"/>
        <w:rPr>
          <w:rFonts w:ascii="Times New Roman" w:cs="Times New Roman" w:eastAsia="Times New Roman" w:hAnsi="Times New Roman"/>
          <w:sz w:val="18"/>
          <w:szCs w:val="18"/>
          <w:color w:val="auto"/>
        </w:rPr>
      </w:pPr>
    </w:p>
    <w:p>
      <w:pPr>
        <w:ind w:left="2460" w:right="499" w:hanging="440"/>
        <w:spacing w:after="0" w:line="266" w:lineRule="auto"/>
        <w:tabs>
          <w:tab w:leader="none" w:pos="2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Cherry Bekaert LLP as our independent registered public accounting firm for the fiscal year ending December 31, 2025.</w:t>
      </w:r>
    </w:p>
    <w:p>
      <w:pPr>
        <w:spacing w:after="0" w:line="202" w:lineRule="exact"/>
        <w:rPr>
          <w:rFonts w:ascii="Times New Roman" w:cs="Times New Roman" w:eastAsia="Times New Roman" w:hAnsi="Times New Roman"/>
          <w:sz w:val="18"/>
          <w:szCs w:val="18"/>
          <w:color w:val="auto"/>
        </w:rPr>
      </w:pPr>
    </w:p>
    <w:p>
      <w:pPr>
        <w:ind w:left="2460" w:right="799" w:hanging="440"/>
        <w:spacing w:after="0" w:line="282" w:lineRule="auto"/>
        <w:tabs>
          <w:tab w:leader="none" w:pos="2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adjournments of the 2025 Annual Meeting.</w:t>
      </w:r>
    </w:p>
    <w:p>
      <w:pPr>
        <w:spacing w:after="0" w:line="185" w:lineRule="exact"/>
        <w:rPr>
          <w:sz w:val="20"/>
          <w:szCs w:val="20"/>
          <w:color w:val="auto"/>
        </w:rPr>
      </w:pPr>
    </w:p>
    <w:p>
      <w:pPr>
        <w:ind w:left="2020" w:right="339" w:hanging="1727"/>
        <w:spacing w:after="0" w:line="282" w:lineRule="auto"/>
        <w:tabs>
          <w:tab w:leader="none" w:pos="2000" w:val="left"/>
        </w:tabs>
        <w:rPr>
          <w:sz w:val="20"/>
          <w:szCs w:val="20"/>
          <w:color w:val="auto"/>
        </w:rPr>
      </w:pPr>
      <w:r>
        <w:rPr>
          <w:rFonts w:ascii="Times New Roman" w:cs="Times New Roman" w:eastAsia="Times New Roman" w:hAnsi="Times New Roman"/>
          <w:sz w:val="18"/>
          <w:szCs w:val="18"/>
          <w:b w:val="1"/>
          <w:bCs w:val="1"/>
          <w:color w:val="auto"/>
        </w:rPr>
        <w:t>Who Can Vote:</w:t>
      </w:r>
      <w:r>
        <w:rPr>
          <w:sz w:val="20"/>
          <w:szCs w:val="20"/>
          <w:color w:val="auto"/>
        </w:rPr>
        <w:tab/>
      </w:r>
      <w:r>
        <w:rPr>
          <w:rFonts w:ascii="Times New Roman" w:cs="Times New Roman" w:eastAsia="Times New Roman" w:hAnsi="Times New Roman"/>
          <w:sz w:val="18"/>
          <w:szCs w:val="18"/>
          <w:color w:val="auto"/>
        </w:rPr>
        <w:t>You can vote if you were a stockholder of record of our Common Stock or our Series A 12% Convertible Preferred Stock, as of the close of business on October 7, 2025.</w:t>
      </w:r>
    </w:p>
    <w:p>
      <w:pPr>
        <w:spacing w:after="0" w:line="189" w:lineRule="exact"/>
        <w:rPr>
          <w:sz w:val="20"/>
          <w:szCs w:val="20"/>
          <w:color w:val="auto"/>
        </w:rPr>
      </w:pPr>
    </w:p>
    <w:p>
      <w:pPr>
        <w:ind w:left="2020" w:right="479" w:hanging="1727"/>
        <w:spacing w:after="0" w:line="266" w:lineRule="auto"/>
        <w:tabs>
          <w:tab w:leader="none" w:pos="2000" w:val="left"/>
        </w:tabs>
        <w:rPr>
          <w:sz w:val="20"/>
          <w:szCs w:val="20"/>
          <w:color w:val="auto"/>
        </w:rPr>
      </w:pPr>
      <w:r>
        <w:rPr>
          <w:rFonts w:ascii="Times New Roman" w:cs="Times New Roman" w:eastAsia="Times New Roman" w:hAnsi="Times New Roman"/>
          <w:sz w:val="18"/>
          <w:szCs w:val="18"/>
          <w:b w:val="1"/>
          <w:bCs w:val="1"/>
          <w:color w:val="auto"/>
        </w:rPr>
        <w:t>Proxy Materials:</w:t>
      </w:r>
      <w:r>
        <w:rPr>
          <w:sz w:val="20"/>
          <w:szCs w:val="20"/>
          <w:color w:val="auto"/>
        </w:rPr>
        <w:tab/>
      </w:r>
      <w:r>
        <w:rPr>
          <w:rFonts w:ascii="Times New Roman" w:cs="Times New Roman" w:eastAsia="Times New Roman" w:hAnsi="Times New Roman"/>
          <w:sz w:val="18"/>
          <w:szCs w:val="18"/>
          <w:color w:val="auto"/>
        </w:rPr>
        <w:t xml:space="preserve">You may access our Annual Report and this Notice and proxy statement at www.proxyvote.com and on our website at www.galectintherapeutics.com. Instructions on how to obtain paper copies of the proxy materials are on page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 xml:space="preserve"> of this notice.</w:t>
      </w:r>
    </w:p>
    <w:p>
      <w:pPr>
        <w:spacing w:after="0" w:line="203" w:lineRule="exact"/>
        <w:rPr>
          <w:sz w:val="20"/>
          <w:szCs w:val="20"/>
          <w:color w:val="auto"/>
        </w:rPr>
      </w:pPr>
    </w:p>
    <w:p>
      <w:pPr>
        <w:ind w:left="2020" w:right="659" w:hanging="1727"/>
        <w:spacing w:after="0" w:line="282" w:lineRule="auto"/>
        <w:tabs>
          <w:tab w:leader="none" w:pos="2000" w:val="left"/>
        </w:tabs>
        <w:rPr>
          <w:sz w:val="20"/>
          <w:szCs w:val="20"/>
          <w:color w:val="auto"/>
        </w:rPr>
      </w:pPr>
      <w:r>
        <w:rPr>
          <w:rFonts w:ascii="Times New Roman" w:cs="Times New Roman" w:eastAsia="Times New Roman" w:hAnsi="Times New Roman"/>
          <w:sz w:val="18"/>
          <w:szCs w:val="18"/>
          <w:b w:val="1"/>
          <w:bCs w:val="1"/>
          <w:color w:val="auto"/>
        </w:rPr>
        <w:t>Date of Mailing:</w:t>
      </w:r>
      <w:r>
        <w:rPr>
          <w:sz w:val="20"/>
          <w:szCs w:val="20"/>
          <w:color w:val="auto"/>
        </w:rPr>
        <w:tab/>
      </w:r>
      <w:r>
        <w:rPr>
          <w:rFonts w:ascii="Times New Roman" w:cs="Times New Roman" w:eastAsia="Times New Roman" w:hAnsi="Times New Roman"/>
          <w:sz w:val="18"/>
          <w:szCs w:val="18"/>
          <w:color w:val="auto"/>
        </w:rPr>
        <w:t>This Notice, the proxy statement and the form of proxy are first being made available to stockholders on or about October 23, 2025.</w:t>
      </w:r>
    </w:p>
    <w:p>
      <w:pPr>
        <w:spacing w:after="0" w:line="108" w:lineRule="exact"/>
        <w:rPr>
          <w:sz w:val="20"/>
          <w:szCs w:val="20"/>
          <w:color w:val="auto"/>
        </w:rPr>
      </w:pPr>
    </w:p>
    <w:p>
      <w:pPr>
        <w:ind w:left="300" w:right="439"/>
        <w:spacing w:after="0" w:line="268" w:lineRule="auto"/>
        <w:rPr>
          <w:sz w:val="20"/>
          <w:szCs w:val="20"/>
          <w:color w:val="auto"/>
        </w:rPr>
      </w:pPr>
      <w:r>
        <w:rPr>
          <w:rFonts w:ascii="Times New Roman" w:cs="Times New Roman" w:eastAsia="Times New Roman" w:hAnsi="Times New Roman"/>
          <w:sz w:val="18"/>
          <w:szCs w:val="18"/>
          <w:b w:val="1"/>
          <w:bCs w:val="1"/>
          <w:color w:val="auto"/>
        </w:rPr>
        <w:t>WHETHER OR NOT YOU EXPECT TO ATTEND THE ANNUAL MEETING, PLEASE SUBMIT PROMPTLY VOTE YOUR SHARES BY FOLLOWING THE INSTRUCTIONS ON THE NOTICE CARD OR PROXY CARD.</w:t>
      </w:r>
    </w:p>
    <w:p>
      <w:pPr>
        <w:spacing w:after="0" w:line="103" w:lineRule="exact"/>
        <w:rPr>
          <w:sz w:val="20"/>
          <w:szCs w:val="20"/>
          <w:color w:val="auto"/>
        </w:rPr>
      </w:pPr>
    </w:p>
    <w:p>
      <w:pPr>
        <w:ind w:left="2460" w:right="2099" w:hanging="420"/>
        <w:spacing w:after="0" w:line="317" w:lineRule="auto"/>
        <w:rPr>
          <w:sz w:val="20"/>
          <w:szCs w:val="20"/>
          <w:color w:val="auto"/>
        </w:rPr>
      </w:pPr>
      <w:r>
        <w:rPr>
          <w:rFonts w:ascii="Times New Roman" w:cs="Times New Roman" w:eastAsia="Times New Roman" w:hAnsi="Times New Roman"/>
          <w:sz w:val="17"/>
          <w:szCs w:val="17"/>
          <w:b w:val="1"/>
          <w:bCs w:val="1"/>
          <w:u w:val="single" w:color="auto"/>
          <w:color w:val="auto"/>
        </w:rPr>
        <w:t>Important Notice Regarding the Availability of Proxy Materials for the Annual Meeting to be Held December 3, 2025.</w:t>
      </w:r>
    </w:p>
    <w:p>
      <w:pPr>
        <w:spacing w:after="0" w:line="24" w:lineRule="exact"/>
        <w:rPr>
          <w:sz w:val="20"/>
          <w:szCs w:val="20"/>
          <w:color w:val="auto"/>
        </w:rPr>
      </w:pPr>
    </w:p>
    <w:p>
      <w:pPr>
        <w:ind w:left="300" w:right="4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Letter to Stockholders, Notice of Meeting, Proxy Statement, and Annual Report on Form 10-K, are available at: www.proxyvote.com</w:t>
      </w:r>
    </w:p>
    <w:p>
      <w:pPr>
        <w:spacing w:after="0" w:line="19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26035</wp:posOffset>
            </wp:positionV>
            <wp:extent cx="1156970" cy="368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56970" cy="3689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Jack W. Callicutt</w:t>
      </w:r>
    </w:p>
    <w:p>
      <w:pPr>
        <w:spacing w:after="0" w:line="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Chief Financial Officer and</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5880" w:type="dxa"/>
            <w:vAlign w:val="bottom"/>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PROXY STATEMENT FOR 2025 ANNUAL MEETING OF STOCKHOLDERS</w:t>
            </w:r>
          </w:p>
        </w:tc>
        <w:tc>
          <w:tcPr>
            <w:tcW w:w="2240" w:type="dxa"/>
            <w:vAlign w:val="bottom"/>
            <w:gridSpan w:val="6"/>
            <w:shd w:val="clear" w:color="auto" w:fill="CCEEFF"/>
          </w:tcPr>
          <w:p>
            <w:pPr>
              <w:spacing w:after="0"/>
              <w:rPr>
                <w:sz w:val="17"/>
                <w:szCs w:val="17"/>
                <w:color w:val="auto"/>
              </w:rPr>
            </w:pPr>
          </w:p>
        </w:tc>
        <w:tc>
          <w:tcPr>
            <w:tcW w:w="240" w:type="dxa"/>
            <w:vAlign w:val="bottom"/>
            <w:tcBorders>
              <w:right w:val="single" w:sz="8" w:color="CCEEFF"/>
            </w:tcBorders>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right w:val="single" w:sz="8" w:color="CCEEFF"/>
            </w:tcBorders>
            <w:shd w:val="clear" w:color="auto" w:fill="CCEEFF"/>
          </w:tcPr>
          <w:p>
            <w:pPr>
              <w:spacing w:after="0"/>
              <w:rPr>
                <w:sz w:val="2"/>
                <w:szCs w:val="2"/>
                <w:color w:val="auto"/>
              </w:rPr>
            </w:pPr>
          </w:p>
        </w:tc>
        <w:tc>
          <w:tcPr>
            <w:tcW w:w="118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QUESTIONS AND ANSWERS ABOUT THE ANNUAL MEETING AND VOTING</w:t>
            </w:r>
          </w:p>
        </w:tc>
        <w:tc>
          <w:tcPr>
            <w:tcW w:w="2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6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672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1400" w:type="dxa"/>
            <w:vAlign w:val="bottom"/>
            <w:gridSpan w:val="4"/>
            <w:shd w:val="clear" w:color="auto" w:fill="CCEEFF"/>
          </w:tcPr>
          <w:p>
            <w:pPr>
              <w:spacing w:after="0"/>
              <w:rPr>
                <w:sz w:val="16"/>
                <w:szCs w:val="16"/>
                <w:color w:val="auto"/>
              </w:rPr>
            </w:pPr>
          </w:p>
        </w:tc>
        <w:tc>
          <w:tcPr>
            <w:tcW w:w="2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right w:val="single" w:sz="8" w:color="CCEEFF"/>
            </w:tcBorders>
            <w:shd w:val="clear" w:color="auto" w:fill="CCEEFF"/>
          </w:tcPr>
          <w:p>
            <w:pPr>
              <w:spacing w:after="0"/>
              <w:rPr>
                <w:sz w:val="2"/>
                <w:szCs w:val="2"/>
                <w:color w:val="auto"/>
              </w:rPr>
            </w:pPr>
          </w:p>
        </w:tc>
        <w:tc>
          <w:tcPr>
            <w:tcW w:w="118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67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SECTION 16(a) BENEFICIAL OWNERSHIP REPORTING COMPLIANCE</w:t>
            </w:r>
          </w:p>
        </w:tc>
        <w:tc>
          <w:tcPr>
            <w:tcW w:w="1400" w:type="dxa"/>
            <w:vAlign w:val="bottom"/>
            <w:gridSpan w:val="4"/>
          </w:tcPr>
          <w:p>
            <w:pPr>
              <w:spacing w:after="0"/>
              <w:rPr>
                <w:sz w:val="16"/>
                <w:szCs w:val="16"/>
                <w:color w:val="auto"/>
              </w:rPr>
            </w:pPr>
          </w:p>
        </w:tc>
        <w:tc>
          <w:tcPr>
            <w:tcW w:w="2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6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64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NO. 1 ELECTION OF DIRECTORS</w:t>
            </w:r>
          </w:p>
        </w:tc>
        <w:tc>
          <w:tcPr>
            <w:tcW w:w="4480" w:type="dxa"/>
            <w:vAlign w:val="bottom"/>
            <w:gridSpan w:val="10"/>
            <w:shd w:val="clear" w:color="auto" w:fill="CCEEFF"/>
          </w:tcPr>
          <w:p>
            <w:pPr>
              <w:spacing w:after="0"/>
              <w:rPr>
                <w:sz w:val="16"/>
                <w:szCs w:val="16"/>
                <w:color w:val="auto"/>
              </w:rPr>
            </w:pP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right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64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EE"/>
              </w:rPr>
              <w:t>EXECUTIVE OFFICERS</w:t>
            </w:r>
          </w:p>
        </w:tc>
        <w:tc>
          <w:tcPr>
            <w:tcW w:w="4480" w:type="dxa"/>
            <w:vAlign w:val="bottom"/>
            <w:gridSpan w:val="10"/>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14</w:t>
            </w:r>
          </w:p>
        </w:tc>
      </w:tr>
      <w:tr>
        <w:trPr>
          <w:trHeight w:val="34"/>
        </w:trPr>
        <w:tc>
          <w:tcPr>
            <w:tcW w:w="18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CORPORATE GOVERNANCE</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14</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right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DIRECTOR COMPENSATION</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22</w:t>
            </w:r>
          </w:p>
        </w:tc>
      </w:tr>
      <w:tr>
        <w:trPr>
          <w:trHeight w:val="34"/>
        </w:trPr>
        <w:tc>
          <w:tcPr>
            <w:tcW w:w="18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44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5680" w:type="dxa"/>
            <w:vAlign w:val="bottom"/>
            <w:gridSpan w:val="14"/>
            <w:shd w:val="clear" w:color="auto" w:fill="CCEEFF"/>
          </w:tcPr>
          <w:p>
            <w:pPr>
              <w:spacing w:after="0"/>
              <w:rPr>
                <w:sz w:val="16"/>
                <w:szCs w:val="16"/>
                <w:color w:val="auto"/>
              </w:rPr>
            </w:pP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24</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right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SUMMARY COMPENSATION TABLE</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29</w:t>
            </w:r>
          </w:p>
        </w:tc>
      </w:tr>
      <w:tr>
        <w:trPr>
          <w:trHeight w:val="34"/>
        </w:trPr>
        <w:tc>
          <w:tcPr>
            <w:tcW w:w="18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508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OUTSTANDING EQUITY AWARDS AT FISCAL YEAR-END 2024</w:t>
            </w:r>
          </w:p>
        </w:tc>
        <w:tc>
          <w:tcPr>
            <w:tcW w:w="3040" w:type="dxa"/>
            <w:vAlign w:val="bottom"/>
            <w:gridSpan w:val="8"/>
            <w:shd w:val="clear" w:color="auto" w:fill="CCEEFF"/>
          </w:tcPr>
          <w:p>
            <w:pPr>
              <w:spacing w:after="0"/>
              <w:rPr>
                <w:sz w:val="16"/>
                <w:szCs w:val="16"/>
                <w:color w:val="auto"/>
              </w:rPr>
            </w:pP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30</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right w:val="single" w:sz="8" w:color="CCEEFF"/>
            </w:tcBorders>
            <w:shd w:val="clear" w:color="auto" w:fill="CCEEFF"/>
          </w:tcPr>
          <w:p>
            <w:pPr>
              <w:spacing w:after="0"/>
              <w:rPr>
                <w:sz w:val="2"/>
                <w:szCs w:val="2"/>
                <w:color w:val="auto"/>
              </w:rPr>
            </w:pPr>
          </w:p>
        </w:tc>
        <w:tc>
          <w:tcPr>
            <w:tcW w:w="118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7000" w:type="dxa"/>
            <w:vAlign w:val="bottom"/>
            <w:tcBorders>
              <w:bottom w:val="single" w:sz="8" w:color="0000EE"/>
            </w:tcBorders>
            <w:gridSpan w:val="18"/>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NO. 2 NON-BINDING ADVISORY RESOLUTION TO APPROVE EXECUTIVE</w:t>
            </w:r>
          </w:p>
        </w:tc>
        <w:tc>
          <w:tcPr>
            <w:tcW w:w="112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180" w:type="dxa"/>
            <w:vAlign w:val="bottom"/>
          </w:tcPr>
          <w:p>
            <w:pPr>
              <w:spacing w:after="0"/>
              <w:rPr>
                <w:sz w:val="17"/>
                <w:szCs w:val="17"/>
                <w:color w:val="auto"/>
              </w:rPr>
            </w:pPr>
          </w:p>
        </w:tc>
        <w:tc>
          <w:tcPr>
            <w:tcW w:w="79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COMPENSATION</w:t>
            </w:r>
          </w:p>
        </w:tc>
        <w:tc>
          <w:tcPr>
            <w:tcW w:w="300" w:type="dxa"/>
            <w:vAlign w:val="bottom"/>
            <w:gridSpan w:val="4"/>
          </w:tcPr>
          <w:p>
            <w:pPr>
              <w:jc w:val="right"/>
              <w:ind w:right="60"/>
              <w:spacing w:after="0" w:line="196" w:lineRule="exact"/>
              <w:rPr>
                <w:sz w:val="20"/>
                <w:szCs w:val="20"/>
                <w:color w:val="auto"/>
              </w:rPr>
            </w:pPr>
            <w:r>
              <w:rPr>
                <w:rFonts w:ascii="Times New Roman" w:cs="Times New Roman" w:eastAsia="Times New Roman" w:hAnsi="Times New Roman"/>
                <w:sz w:val="18"/>
                <w:szCs w:val="18"/>
                <w:color w:val="0000EE"/>
              </w:rPr>
              <w:t>36</w:t>
            </w:r>
          </w:p>
        </w:tc>
      </w:tr>
      <w:tr>
        <w:trPr>
          <w:trHeight w:val="34"/>
        </w:trPr>
        <w:tc>
          <w:tcPr>
            <w:tcW w:w="180" w:type="dxa"/>
            <w:vAlign w:val="bottom"/>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PROPOSAL NO. 3 NON-BINDING ADVISORY VOTE ON THE FREQUENCY OF STOCKHOLDER</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7420" w:type="dxa"/>
            <w:vAlign w:val="bottom"/>
            <w:tcBorders>
              <w:top w:val="single" w:sz="8" w:color="0000EE"/>
            </w:tcBorders>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APPROVAL OF EXECUTIVE COMPENSATION</w:t>
            </w:r>
          </w:p>
        </w:tc>
        <w:tc>
          <w:tcPr>
            <w:tcW w:w="5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gridSpan w:val="4"/>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0000EE"/>
              </w:rPr>
              <w:t>37</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right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PROPOSAL NO. 4 RATIFICATION OF APPOINTMENT OF INDEPENDENT AUDITORS</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38</w:t>
            </w:r>
          </w:p>
        </w:tc>
      </w:tr>
      <w:tr>
        <w:trPr>
          <w:trHeight w:val="34"/>
        </w:trPr>
        <w:tc>
          <w:tcPr>
            <w:tcW w:w="18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14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FEES PAID TO CHERRY BEKAERT LLP</w:t>
            </w:r>
          </w:p>
        </w:tc>
        <w:tc>
          <w:tcPr>
            <w:tcW w:w="4980" w:type="dxa"/>
            <w:vAlign w:val="bottom"/>
            <w:gridSpan w:val="11"/>
            <w:shd w:val="clear" w:color="auto" w:fill="CCEEFF"/>
          </w:tcPr>
          <w:p>
            <w:pPr>
              <w:spacing w:after="0"/>
              <w:rPr>
                <w:sz w:val="16"/>
                <w:szCs w:val="16"/>
                <w:color w:val="auto"/>
              </w:rPr>
            </w:pP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38</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right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14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EE"/>
              </w:rPr>
              <w:t>PROPOSALS OF STOCKHOLDERS</w:t>
            </w:r>
          </w:p>
        </w:tc>
        <w:tc>
          <w:tcPr>
            <w:tcW w:w="4980" w:type="dxa"/>
            <w:vAlign w:val="bottom"/>
            <w:gridSpan w:val="11"/>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39</w:t>
            </w:r>
          </w:p>
        </w:tc>
      </w:tr>
      <w:tr>
        <w:trPr>
          <w:trHeight w:val="34"/>
        </w:trPr>
        <w:tc>
          <w:tcPr>
            <w:tcW w:w="18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4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ANNUAL REPORT</w:t>
            </w:r>
          </w:p>
        </w:tc>
        <w:tc>
          <w:tcPr>
            <w:tcW w:w="6640" w:type="dxa"/>
            <w:vAlign w:val="bottom"/>
            <w:gridSpan w:val="18"/>
            <w:shd w:val="clear" w:color="auto" w:fill="CCEEFF"/>
          </w:tcPr>
          <w:p>
            <w:pPr>
              <w:spacing w:after="0"/>
              <w:rPr>
                <w:sz w:val="16"/>
                <w:szCs w:val="16"/>
                <w:color w:val="auto"/>
              </w:rPr>
            </w:pP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40</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right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HOW TO ATTEND THE 2025 ANNUAL MEETING</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41</w:t>
            </w:r>
          </w:p>
        </w:tc>
      </w:tr>
      <w:tr>
        <w:trPr>
          <w:trHeight w:val="20"/>
        </w:trPr>
        <w:tc>
          <w:tcPr>
            <w:tcW w:w="1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4960 Peachtree Industrial Blvd., Suite 240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Norcross, Georgia 30071</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2025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December 3, 2025</w:t>
      </w:r>
    </w:p>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proxy statement contains information about the 2025 annual meeting of stockholders</w:t>
      </w:r>
    </w:p>
    <w:p>
      <w:pPr>
        <w:spacing w:after="0" w:line="27" w:lineRule="exact"/>
        <w:rPr>
          <w:sz w:val="20"/>
          <w:szCs w:val="20"/>
          <w:color w:val="auto"/>
        </w:rPr>
      </w:pPr>
    </w:p>
    <w:p>
      <w:pPr>
        <w:ind w:left="300" w:right="399"/>
        <w:spacing w:after="0" w:line="250" w:lineRule="auto"/>
        <w:rPr>
          <w:sz w:val="20"/>
          <w:szCs w:val="20"/>
          <w:color w:val="auto"/>
        </w:rPr>
      </w:pPr>
      <w:r>
        <w:rPr>
          <w:rFonts w:ascii="Times New Roman" w:cs="Times New Roman" w:eastAsia="Times New Roman" w:hAnsi="Times New Roman"/>
          <w:sz w:val="18"/>
          <w:szCs w:val="18"/>
          <w:color w:val="auto"/>
        </w:rPr>
        <w:t>(“2025 Annual Meeting”) of Galectin Therapeutics Inc. (referred to in this proxy statement as “Galectin”, “Galectin Therapeutics”, “the Company”, “we”, “our” or “us”). The 2025 Annual Meeting will be held virtually over the internet on Wednesday, December 3, 2025, beginning at 11:00 a.m. Eastern Standard Time,</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 www.virtualshareholdermeeting.com/GALT2025. Online access begins at 10:45 a.m. on the date of the</w:t>
      </w:r>
    </w:p>
    <w:p>
      <w:pPr>
        <w:spacing w:after="0" w:line="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 xml:space="preserve">2025 Annual Meeting. Due to the cost savings and other efficiencies resulting from conducting a virtual meeting, the Company is conducting an online-only format for the 2025 annual meeting. Stockholders will be able to listen, vote, and submit questions from their home or any remote location with internet connectivity. The 2025 Annual Meeting has been designed to provide the same rights to participate as you would have at an in-person meeting. Information on how to participate in this year’s virtual meeting can be found on page </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our Board of Directors for use at the 2025 Annual Meeting. All proxies will be voted in accordance with the instructions they contain. If you do not specify your voting instructions on your proxy, it will be voted in accordance with the recommendations of our Board of Directors.</w:t>
      </w:r>
    </w:p>
    <w:p>
      <w:pPr>
        <w:spacing w:after="0" w:line="72"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These proxy materials, together with our Annual Report to stockholders on Form 10-K for our 2024 fiscal year, are first being made available to stockholders on or about October 22, 2025 and are also available online at www.proxyvote.com and at www.galectintherapeutics.com. For ease of voting, stockholders are encouraged to vote using the Internet. We encourage you to access and review all of the important information in the proxy materials before voting.</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Instructions on How to Attend the 2025 Annual Meeting</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This year our annual meeting will be a virtual online-only meeting. There will be no physical meeting location. The meeting will only be conducted via live webcast. To participate in the 2025 Annual Meeting, visit www.virtualshareholdermeeting.com/GALT2025 and enter the 16-digit control number included on your notice of Internet availability of the proxy materials, on your proxy card, or on the instructions that accompanied your proxy materials. You may begin to log into the meeting platform beginning at 10:45 a.m. Eastern Standard Time on December 3, 2025. The meeting will begin promptly at 11:00 a.m. Eastern Standard Time on December 3, 2025.</w:t>
      </w:r>
    </w:p>
    <w:p>
      <w:pPr>
        <w:spacing w:after="0" w:line="79"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virtual meeting platform is fully supported across browsers (Microsoft Edge, Firefox, Chrome,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w:t>
      </w:r>
    </w:p>
    <w:p>
      <w:pPr>
        <w:spacing w:after="0" w:line="75"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If you want to submit question during the meeting, log into the virtual meeting platform at www.virtualshareholdermeeting.com/GALT2025, type your question into the “Ask a Question” field, and click “Submit.” Questions pertinent to meeting matters will be answered during the meeting, subject to time constraints. Questions regarding personal matters, including those related to employment, product or service issues, or suggestions for product innovations, are not pertinent to meeting matters and therefore will not be answered. The 2025 Annual Meeting has been designed to provide the same rights to participate as you would have at an in-person meeting. If you encounter any difficulties accessing the 2025 Annual Meeting during the check-in or meeting time, please call the technical support number that will be posted on the Virtual Shareholder Meeting log in page at www.virtualshareholdermeeting.com/GALT2025.</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QUESTIONS AND ANSWERS ABOUT THE ANNUAL MEETING AND VOTING</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is the annual meeting held in a virtual, online-only format this year?</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We are holding our 2025 annual meeting in a virtual, online-only format this year due cost savings and other efficiencies resulting from conducting a virtual meeting. We believe that the virtual meeting format will facilitate stockholder attendance and participation at the annual meeting by enabling stockholders to participate remotely from any location without incurring the travel costs and time of attending the meeting in-person.</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purpose of the annual meeting?</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2025 Annual Meeting will be held for the following purposes:</w:t>
      </w:r>
    </w:p>
    <w:p>
      <w:pPr>
        <w:spacing w:after="0" w:line="117" w:lineRule="exact"/>
        <w:rPr>
          <w:sz w:val="20"/>
          <w:szCs w:val="20"/>
          <w:color w:val="auto"/>
        </w:rPr>
      </w:pPr>
    </w:p>
    <w:p>
      <w:pPr>
        <w:ind w:left="1000" w:right="79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eleven nominees named in this proxy statement for director to hold office until the 2025 annual meeting of our stockholders.</w:t>
      </w:r>
    </w:p>
    <w:p>
      <w:pPr>
        <w:spacing w:after="0" w:line="54" w:lineRule="exact"/>
        <w:rPr>
          <w:sz w:val="20"/>
          <w:szCs w:val="20"/>
          <w:color w:val="auto"/>
        </w:rPr>
      </w:pPr>
    </w:p>
    <w:p>
      <w:pPr>
        <w:ind w:left="1000" w:right="8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non-binding advisory resolution to approve the compensation paid to Galectin’s named executive officers, as disclosed in the proxy statement accompanying this letter.</w:t>
      </w:r>
    </w:p>
    <w:p>
      <w:pPr>
        <w:spacing w:after="0" w:line="54" w:lineRule="exact"/>
        <w:rPr>
          <w:sz w:val="20"/>
          <w:szCs w:val="20"/>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recommend, by non-binding vote, the frequency with which Galectin will conduct stockholder advisory votes on executive compensation.</w:t>
      </w:r>
    </w:p>
    <w:p>
      <w:pPr>
        <w:spacing w:after="0" w:line="53"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Cherry Bekaert LLP as our independent registered public accounting firm for the fiscal year ending December 31, 2025.</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adjournments of the 2025 Annual Meeting.</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may vote if you were a stockholder of Galectin Therapeutics as of the close of business on the record date,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October 7, 2025. Shares outstanding on the record date are the following:</w:t>
      </w:r>
    </w:p>
    <w:p>
      <w:pPr>
        <w:spacing w:after="0" w:line="99"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64,479,210 shares of common stock, par value $0.001 per share (“Common Stock”)</w:t>
      </w:r>
    </w:p>
    <w:p>
      <w:pPr>
        <w:spacing w:after="0" w:line="117"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1,210,000 shares of Series A 12% Convertible Preferred Stock, par value $0.01 per share (“Series A Preferred Stock”).</w:t>
      </w:r>
    </w:p>
    <w:p>
      <w:pPr>
        <w:spacing w:after="0" w:line="54" w:lineRule="exact"/>
        <w:rPr>
          <w:sz w:val="20"/>
          <w:szCs w:val="20"/>
          <w:color w:val="auto"/>
        </w:rPr>
      </w:pPr>
    </w:p>
    <w:p>
      <w:pPr>
        <w:jc w:val="both"/>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The shares of Series A Preferred Stock vote on an as-converted basis with the shares of Common Stock. The shares of our Series C Super Dividend Convertible Preferred Stock, par value $0.01 per share (“Series C Preferred Stock”) do not have voting rights prior to conversion to Common Stock. The shares of the Series A Preferred Stock and the Series C Preferred Stock are hereafter referred to as the “Preferred Stock”.</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Each share of our Common Stock that you own on the record date entitles you to one vote on each matter subject to a vote. Each share of Series A Preferred Stock that you own on the record date entitles you to one-sixth vote (i.e. six shares of Series A Preferred Stock equals one vote) on each matter that is submitted to a vote of holders of our Common Stock.</w:t>
      </w:r>
    </w:p>
    <w:p>
      <w:pPr>
        <w:spacing w:after="0" w:line="72"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Directors and executive officers of Galectin Therapeutics own or control the voting of 12,288,534 shares of Common Stock or the common equivalent of voting Preferred Stock, representing approximately 19% of the total outstanding voting shares at the record date. We expect all of these shares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all of the proposals, and to recommend that Galectin conduct a stockholder advisory vote on executive compensation every </w:t>
      </w:r>
      <w:r>
        <w:rPr>
          <w:rFonts w:ascii="Times New Roman" w:cs="Times New Roman" w:eastAsia="Times New Roman" w:hAnsi="Times New Roman"/>
          <w:sz w:val="18"/>
          <w:szCs w:val="18"/>
          <w:b w:val="1"/>
          <w:bCs w:val="1"/>
          <w:color w:val="auto"/>
        </w:rPr>
        <w:t>THREE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YEARS </w:t>
      </w:r>
      <w:r>
        <w:rPr>
          <w:rFonts w:ascii="Times New Roman" w:cs="Times New Roman" w:eastAsia="Times New Roman" w:hAnsi="Times New Roman"/>
          <w:sz w:val="18"/>
          <w:szCs w:val="18"/>
          <w:color w:val="auto"/>
        </w:rPr>
        <w:t>as described in this proxy statement.</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300" w:right="839" w:firstLine="360"/>
        <w:spacing w:after="0" w:line="282" w:lineRule="auto"/>
        <w:rPr>
          <w:sz w:val="20"/>
          <w:szCs w:val="20"/>
          <w:color w:val="auto"/>
        </w:rPr>
      </w:pPr>
      <w:r>
        <w:rPr>
          <w:rFonts w:ascii="Times New Roman" w:cs="Times New Roman" w:eastAsia="Times New Roman" w:hAnsi="Times New Roman"/>
          <w:sz w:val="18"/>
          <w:szCs w:val="18"/>
          <w:color w:val="auto"/>
        </w:rPr>
        <w:t>If you are the record holder of your shares, meaning that you own your shares in your own name and not through a bank or brokerage firm, you may vote as follows:</w:t>
      </w:r>
    </w:p>
    <w:p>
      <w:pPr>
        <w:spacing w:after="0" w:line="50" w:lineRule="exact"/>
        <w:rPr>
          <w:sz w:val="20"/>
          <w:szCs w:val="20"/>
          <w:color w:val="auto"/>
        </w:rPr>
      </w:pPr>
    </w:p>
    <w:p>
      <w:pPr>
        <w:ind w:left="1000" w:right="419" w:hanging="348"/>
        <w:spacing w:after="0" w:line="28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may vote by mail</w:t>
      </w:r>
      <w:r>
        <w:rPr>
          <w:rFonts w:ascii="Times New Roman" w:cs="Times New Roman" w:eastAsia="Times New Roman" w:hAnsi="Times New Roman"/>
          <w:sz w:val="18"/>
          <w:szCs w:val="18"/>
          <w:color w:val="auto"/>
        </w:rPr>
        <w:t>. You may vote by completing and signing the proxy card enclosed with this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(or by requesting a paper copy of the materials if you only received an electronic</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20" w:right="339"/>
        <w:spacing w:after="0" w:line="258" w:lineRule="auto"/>
        <w:rPr>
          <w:sz w:val="20"/>
          <w:szCs w:val="20"/>
          <w:color w:val="auto"/>
        </w:rPr>
      </w:pPr>
      <w:r>
        <w:rPr>
          <w:rFonts w:ascii="Times New Roman" w:cs="Times New Roman" w:eastAsia="Times New Roman" w:hAnsi="Times New Roman"/>
          <w:sz w:val="18"/>
          <w:szCs w:val="18"/>
          <w:color w:val="auto"/>
        </w:rPr>
        <w:t>version) and promptly mailing it in the enclosed postage-prepaid envelope. You do not need to put a stamp on the enclosed envelope if you mail it from the United States. The shares you own will be voted according to your instructions on the proxy card you mail. If you return the proxy card, but do not give any instructions on a particular matter described in this proxy statement, the shares you own will be voted in accordance with the recommendations of our Board of Directors.</w:t>
      </w:r>
    </w:p>
    <w:p>
      <w:pPr>
        <w:spacing w:after="0" w:line="71" w:lineRule="exact"/>
        <w:rPr>
          <w:sz w:val="20"/>
          <w:szCs w:val="20"/>
          <w:color w:val="auto"/>
        </w:rPr>
      </w:pPr>
    </w:p>
    <w:p>
      <w:pPr>
        <w:ind w:left="1000" w:right="419" w:hanging="348"/>
        <w:spacing w:after="0" w:line="257"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may vote by Internet prior to the 2025 Annual Meeting</w:t>
      </w:r>
      <w:r>
        <w:rPr>
          <w:rFonts w:ascii="Times New Roman" w:cs="Times New Roman" w:eastAsia="Times New Roman" w:hAnsi="Times New Roman"/>
          <w:sz w:val="18"/>
          <w:szCs w:val="18"/>
          <w:color w:val="auto"/>
        </w:rPr>
        <w:t>. You may vote over the Internet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instructed on the proxy card enclosed with this proxy statement and accessing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The shares you own will be voted according to your instructions on the proxy card submitted electronically. If you return the proxy card, but do not give any instructions on a particular matter described in this proxy statement, the shares you own will be voted in accordance with the recommendations of our Board of Directors.</w:t>
      </w:r>
    </w:p>
    <w:p>
      <w:pPr>
        <w:spacing w:after="0" w:line="74" w:lineRule="exact"/>
        <w:rPr>
          <w:rFonts w:ascii="Times New Roman" w:cs="Times New Roman" w:eastAsia="Times New Roman" w:hAnsi="Times New Roman"/>
          <w:sz w:val="18"/>
          <w:szCs w:val="18"/>
          <w:color w:val="auto"/>
        </w:rPr>
      </w:pPr>
    </w:p>
    <w:p>
      <w:pPr>
        <w:ind w:left="1000" w:right="559" w:hanging="348"/>
        <w:spacing w:after="0" w:line="259"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may vote during the 2025 Annual Meeting</w:t>
      </w:r>
      <w:r>
        <w:rPr>
          <w:rFonts w:ascii="Times New Roman" w:cs="Times New Roman" w:eastAsia="Times New Roman" w:hAnsi="Times New Roman"/>
          <w:sz w:val="18"/>
          <w:szCs w:val="18"/>
          <w:color w:val="auto"/>
        </w:rPr>
        <w:t>. If you attend the 2025 Annual Meeting virtually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visiting www.virtualshareholdermeeting.com/GALT2025 at 11:00 a.m. Eastern Standard Time on December 3, 2025, you may vote during the 2025 Annual Meeting. You will need the 16-digit control number included on your notice of Internet availability of the proxy materials, on your proxy card or on the instructions that accompanied your proxy materials.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 on the proposals?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recommends that you vote:</w:t>
      </w:r>
    </w:p>
    <w:p>
      <w:pPr>
        <w:spacing w:after="0" w:line="113" w:lineRule="exact"/>
        <w:rPr>
          <w:sz w:val="20"/>
          <w:szCs w:val="20"/>
          <w:color w:val="auto"/>
        </w:rPr>
      </w:pPr>
    </w:p>
    <w:p>
      <w:pPr>
        <w:ind w:left="300" w:right="11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each of the eleven nominees to serve as directors on the Board of Directors until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annual meeting of stockholders.</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approving, on a nonbinding advisory basis, the compensation of the named executive officers.</w:t>
      </w:r>
    </w:p>
    <w:p>
      <w:pPr>
        <w:spacing w:after="0" w:line="117"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 </w:t>
      </w:r>
      <w:r>
        <w:rPr>
          <w:rFonts w:ascii="Times New Roman" w:cs="Times New Roman" w:eastAsia="Times New Roman" w:hAnsi="Times New Roman"/>
          <w:sz w:val="18"/>
          <w:szCs w:val="18"/>
          <w:color w:val="auto"/>
        </w:rPr>
        <w:t>recommend, by non-binding vote, that Galectin conduct a stockholder advisory vote on executive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every </w:t>
      </w:r>
      <w:r>
        <w:rPr>
          <w:rFonts w:ascii="Times New Roman" w:cs="Times New Roman" w:eastAsia="Times New Roman" w:hAnsi="Times New Roman"/>
          <w:sz w:val="18"/>
          <w:szCs w:val="18"/>
          <w:b w:val="1"/>
          <w:bCs w:val="1"/>
          <w:color w:val="auto"/>
        </w:rPr>
        <w:t>THREE YEARS</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300" w:right="5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selection of Cherry Bekaert LLP, as our independent registered public accounting firm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2025 fiscal year.</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Is my vote important?</w:t>
      </w:r>
    </w:p>
    <w:p>
      <w:pPr>
        <w:spacing w:after="0" w:line="12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Your vote is important no matter how many shares you own. Please take the time to vote. Take a moment to read the instructions in this proxy statement. Choose the way to vote that is the easiest and most convenient for you and cast your vote as soon as possible.</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return a proxy card but do not make specific choices?</w:t>
      </w:r>
    </w:p>
    <w:p>
      <w:pPr>
        <w:spacing w:after="0" w:line="117"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Any proxy card returned without directions given will be voted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nominees presented in this proxy statement to the Board of Directors,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approving, on a nonbinding advisory basis, the compensation of the named executive offices, (3) to recommend, on a nonbinding advisory basis, an advisory vote on executive compensation every “</w:t>
      </w:r>
      <w:r>
        <w:rPr>
          <w:rFonts w:ascii="Times New Roman" w:cs="Times New Roman" w:eastAsia="Times New Roman" w:hAnsi="Times New Roman"/>
          <w:sz w:val="18"/>
          <w:szCs w:val="18"/>
          <w:b w:val="1"/>
          <w:bCs w:val="1"/>
          <w:color w:val="auto"/>
        </w:rPr>
        <w:t>THREE YEARS</w:t>
      </w:r>
      <w:r>
        <w:rPr>
          <w:rFonts w:ascii="Times New Roman" w:cs="Times New Roman" w:eastAsia="Times New Roman" w:hAnsi="Times New Roman"/>
          <w:sz w:val="18"/>
          <w:szCs w:val="18"/>
          <w:color w:val="auto"/>
        </w:rPr>
        <w:t>”, (4)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Cherry Bekaert LLP as our independent registered public accounting firm to audit the financial statements for our 2025 fiscal year, and (5) as to any other business that may come before the 2025 Annual Meeting, in accordance with the judgment of the person or persons named in the proxy.</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my shares be voted if I do not provide my proxy?</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Your shares may be voted if they are held in the name of a brokerage firm, even if you do not provide the brokerage firm with voting instructions. Brokerage firms have the authority to vote shares for which their customers do not provide voting instructions on certain “routine” matters.</w:t>
      </w:r>
    </w:p>
    <w:p>
      <w:pPr>
        <w:spacing w:after="0" w:line="68"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 proposals relating to (i) the election of directors, (ii) “say-on-pay” and (iii) frequency of “say-on-pay” votes are considered not a routine matter When a proposal is not a routine matter and the brokerage firm has not received voting instructions from the beneficial owner of the shares with respect to that proposal, the brokerage firm cannot vote the shares on this proposal. This is called a “broker non-vote.”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The proposal to ratify the selection of Cherry Bekaert LLP as our independent auditor for fiscal year 2025, is considered a routine matter for which brokerage firms may (or may not) vote shares for which they have not received voting instructions. Several large brokerage firms, such as Charles Schwab have announced that they have eliminated discretionary voting for even “routine” matters. Therefore, if you hold your shares through such brokerage firms, then your shares might not be voted, even for “routine” matters if you do not give voting instruction to your broker. Therefore, we urge every shareholder to vote their shares.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I have mailed my proxy card or after I have voted my shares?</w:t>
      </w:r>
    </w:p>
    <w:p>
      <w:pPr>
        <w:spacing w:after="0" w:line="121" w:lineRule="exact"/>
        <w:rPr>
          <w:sz w:val="20"/>
          <w:szCs w:val="20"/>
          <w:color w:val="auto"/>
        </w:rPr>
      </w:pPr>
    </w:p>
    <w:p>
      <w:pPr>
        <w:ind w:left="300" w:right="759" w:firstLine="360"/>
        <w:spacing w:after="0" w:line="282" w:lineRule="auto"/>
        <w:rPr>
          <w:sz w:val="20"/>
          <w:szCs w:val="20"/>
          <w:color w:val="auto"/>
        </w:rPr>
      </w:pPr>
      <w:r>
        <w:rPr>
          <w:rFonts w:ascii="Times New Roman" w:cs="Times New Roman" w:eastAsia="Times New Roman" w:hAnsi="Times New Roman"/>
          <w:sz w:val="18"/>
          <w:szCs w:val="18"/>
          <w:color w:val="auto"/>
        </w:rPr>
        <w:t>Yes. You can change your vote and revoke your proxy at any time before the polls close at the meeting by doing any one of the following things:</w:t>
      </w:r>
    </w:p>
    <w:p>
      <w:pPr>
        <w:spacing w:after="0" w:line="54" w:lineRule="exact"/>
        <w:rPr>
          <w:sz w:val="20"/>
          <w:szCs w:val="20"/>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another proxy with a later date;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our Corporate Secretary, Jack W. Callicutt, written notice to that effect. He may be contacted at</w:t>
      </w:r>
    </w:p>
    <w:p>
      <w:pPr>
        <w:spacing w:after="0" w:line="27" w:lineRule="exact"/>
        <w:rPr>
          <w:rFonts w:ascii="Times New Roman" w:cs="Times New Roman" w:eastAsia="Times New Roman" w:hAnsi="Times New Roman"/>
          <w:sz w:val="18"/>
          <w:szCs w:val="18"/>
          <w:color w:val="auto"/>
        </w:rPr>
      </w:pPr>
    </w:p>
    <w:p>
      <w:pPr>
        <w:ind w:left="1000" w:right="8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4960 Peachtree Industrial Blvd., Suite 240, Norcross, GA 30071; telephone: 678-620-3186; e-mail: callicutt@galectintherapeutics.com;</w:t>
      </w:r>
    </w:p>
    <w:p>
      <w:pPr>
        <w:spacing w:after="0" w:line="73"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again prior to the time at which the Internet voting facilities close by following the procedures applicable to that method of voting, as directed on the enclosed proxy card;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2025 Annual Meeting virtually via the Internet and voting during the meeting.</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access the proxy materials over the internet?</w:t>
      </w:r>
    </w:p>
    <w:p>
      <w:pPr>
        <w:spacing w:after="0" w:line="121"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You may view and also download our proxy materials, including the 2024 Annual Report, our Form 10-K for the year ended December 31, 2024, and the Notice by accessing www.proxyvote.com and on our website at www.galectintherapeutics.com</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pays for the solicitation of Proxies?</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solicitation of proxies in the enclosed form is made on behalf of the Board of Directors. Our officers, directors and employees may solicit proxies but will not be additionally compensated for such activities. We are also working with brokerage houses and other custodians, nominees and fiduciaries to forward solicitation materials to the beneficial owners of shares held of record by such institutions and persons. We will reimburse their reasonable expenses.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at least one-third of the outstanding shares entitled to vote are represented by stockholders present at the meeting or by proxy. On the record date, there were 64,479,210 shares of Common Stock outstanding or deemed outstanding based on voting rights of Series A Preferred Stock on an as-converted basis. Thus, 21,493,071 shares must be represented by stockholders present at the meeting or by proxy to have a quorum.</w:t>
      </w:r>
    </w:p>
    <w:p>
      <w:pPr>
        <w:spacing w:after="0" w:line="75"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or if you vote in person at the meeting. Abstentions and broker non-votes will be counted towards the quorum requirement. If a quorum is not present, the meeting will be adjourned until a quorum is obtained.</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vote is required for each item to pass?</w:t>
      </w:r>
    </w:p>
    <w:p>
      <w:pPr>
        <w:spacing w:after="0" w:line="117" w:lineRule="exact"/>
        <w:rPr>
          <w:sz w:val="20"/>
          <w:szCs w:val="20"/>
          <w:color w:val="auto"/>
        </w:rPr>
      </w:pPr>
    </w:p>
    <w:p>
      <w:pPr>
        <w:ind w:left="300" w:right="49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Election of Directors. </w:t>
      </w:r>
      <w:r>
        <w:rPr>
          <w:rFonts w:ascii="Times New Roman" w:cs="Times New Roman" w:eastAsia="Times New Roman" w:hAnsi="Times New Roman"/>
          <w:sz w:val="18"/>
          <w:szCs w:val="18"/>
          <w:color w:val="auto"/>
        </w:rPr>
        <w:t>Directors are elected by a plurality of the votes cast by the holders of shares entitled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vote in the election. There are eleven nominees and eleven positions to be filled; this means that the eleven individuals receiving the most votes will be elected. Abstentions and broker non-votes will not be relevant to the outcome, but abstentions and votes “withheld” are counted for the purpose of establishing a quorum.</w:t>
      </w:r>
    </w:p>
    <w:p>
      <w:pPr>
        <w:spacing w:after="0" w:line="68" w:lineRule="exact"/>
        <w:rPr>
          <w:sz w:val="20"/>
          <w:szCs w:val="20"/>
          <w:color w:val="auto"/>
        </w:rPr>
      </w:pPr>
    </w:p>
    <w:p>
      <w:pPr>
        <w:ind w:left="300" w:right="3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Advisory approval of executive compensation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advisory vote regarding the approval of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will be determined by a majority of votes cast by the holders of shares entitled to vote in the election. Accordingly, abstentions and broker non-votes will not be relevant to the outcome.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33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Advisory approval of frequency of stockholder advisory vote on executive compensation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advisory vote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regarding the frequency with which Galectin will conduct shareholder advisory votes on executive compensation will be determined by a plurality of votes cast by the holders of shares entitled to vote in the election. Accordingly, abstentions and broker non-votes will not be relevant to the outcome. Stockholders may choose an annual, biennial, or triennial frequency, i.e., every year, every two years, every three years, or they may abstain. The frequency option that receives the most votes will be deemed the option chosen by the advisory vote.</w:t>
      </w:r>
    </w:p>
    <w:p>
      <w:pPr>
        <w:spacing w:after="0" w:line="74" w:lineRule="exact"/>
        <w:rPr>
          <w:sz w:val="20"/>
          <w:szCs w:val="20"/>
          <w:color w:val="auto"/>
        </w:rPr>
      </w:pPr>
    </w:p>
    <w:p>
      <w:pPr>
        <w:ind w:left="300" w:right="339" w:firstLine="3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Ratification of independent registered public accounting firm. </w:t>
      </w:r>
      <w:r>
        <w:rPr>
          <w:rFonts w:ascii="Times New Roman" w:cs="Times New Roman" w:eastAsia="Times New Roman" w:hAnsi="Times New Roman"/>
          <w:sz w:val="17"/>
          <w:szCs w:val="17"/>
          <w:color w:val="auto"/>
        </w:rPr>
        <w:t>The votes cast “for” must exceed the votes cast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“against” in order to ratify the selection of Cherry Bekaert LLP, as our independent registered public accounting firm. Abstentions will be counted for the purpose of establishing a quorum but will not be relevant to the outcome.</w:t>
      </w:r>
    </w:p>
    <w:p>
      <w:pPr>
        <w:spacing w:after="0" w:line="49"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 proposals relating to (i) the election of directors , (ii) “say-on-pay” and (iii) frequency of “say-on-pay” votes are not considered “routine” under applicable rules. When a proposal is not a routine matter and the brokerage firm has not received voting instructions from the beneficial owner of the shares with respect to that proposal, the brokerage firm cannot vote the shares on this proposal. This is called a “broker non-vote.”</w:t>
      </w:r>
    </w:p>
    <w:p>
      <w:pPr>
        <w:spacing w:after="0" w:line="72"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If your shares are held in street name and you do not provide voting instructions to your broker, bank or other nominee, your broker is entitled to vote your shares with respect to the proposals to ratify the selection of Cherry Bekaert LLP as our independent auditor for fiscal year 2025, because these proposals are considered routine matters for which brokerage firms may (or may not) vote shares for which they have not received voting instructions. Several large brokerage firms, such as Charles Schwab have announced that they have eliminated discretionary voting for even “routine” matters. Therefore, we urge every shareholder to vote their shares.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“householding”?</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SEC rules permit companies and intermediaries such as brokers to satisfy delivery requirements for proxy statements with respect to two or more stockholders sharing the same address by delivering a single proxy statement addressed to those stockholders. This process is called “householding.” This reduces the volume of duplicate information received at your household and helps to reduce costs. We may household your materials based on your prior express or implied consent. A number of brokerage firms have instituted householding. Once a stockholder has received notice from his or her broker that the broker will be householding communications to the stockholder’s address, householding will continue until the stockholder is notified otherwise or until one or more of the stockholders revokes his or her consent.</w:t>
      </w:r>
    </w:p>
    <w:p>
      <w:pPr>
        <w:spacing w:after="0" w:line="84"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you would like to receive your own set of our proxy statement and related materials now or in the future, or if you share an address with another Galectin Therapeutics stockholder and together both of you would like to receive only a single set of our proxy materials in the future, please contact your broker (if you hold your shares in “street name”). Be sure to indicate your name, the name of your brokerage firm or bank, and your account number(s). You can also request prompt delivery of a copy of the proxy statement and related materials by contacting our Corporate Secretary at Galectin Therapeutics, 4960 Peachtree Industrial Blvd., Suite 240, Norcross, GA 30071, Attention: Corporate Secretary; telephone: 678-620-3186; e-mail: callicutt@galectintherapeutics.com.</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and when may I submit a stockholder proposal for next year’s annual meeting?</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must be submitted in writing to our Corporate Secretary at 4960 Peachtree Industrial Blvd., Suite 240, Norcross, GA 30071. With respect to proposals made pursuant to Rule 14a-8 promulgated under the Securities Exchange Act of 1934 (the “Exchange Act”), the proposal must be received by our Corporate Secretary by June 24, 2026 for inclusion in our proxy statement and form of proxy. In addition, all stockholder proposals submitted outside of the stockholder proposal rules promulgated pursuant to Rule 14a-8 under the Exchange Act, including nominations of director candidates, must be received by our Corporate Secretary by no later than September 4, 2026 nor earlier than August 5, 2026, in order to be considered timely.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the date of the 2026 annual meeting of stockholders is scheduled to take place on a date that is more than 30 calendar days from the one year anniversary of the 2025 Annual Meeting of Stockholders, then we will promptly disclose, by in a Quarterly Report on Form 10-Q or in a current report on Form 8-K, the date by which a nominating stockholder or nominating-stockholder group must submit a proposal to us (i) pursuant to Rule 14a-8 promulgated under the Exchange Act or (ii) outside of the stockholder proposal rules promulgated pursuant to Rule 14a-8 under the Exchange Act, including nominations of director candidates.</w:t>
      </w:r>
    </w:p>
    <w:p>
      <w:pPr>
        <w:spacing w:after="0" w:line="79"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You are also advised to review our bylaws, which contain additional requirements about advance notice of stockholder proposals and director nominations.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w:t>
      </w:r>
    </w:p>
    <w:p>
      <w:pPr>
        <w:spacing w:after="0" w:line="121"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We will report the voting results on Form 8-K within four business days after the end of our 2025 Annual Meeting of stockholders. If final voting results are not available to us in time to file a current report on Form 8-K within four business days after the 2025 Annual Meeting, we intend to file a current report on Form 8-K to publish preliminary results and, within four business days after the final results are known to us, file an additional current report on Form 8-K to publish the final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The following table sets forth, as of September 22, 2025, certain information concerning the beneficial ownership of our Common Stock and Series A Preferred Stock by (i) each person known by us to own beneficially five percent (5%) or more of the outstanding shares of each class, (ii) each of our directors, new director nominee and named executive officers, and (iii) all of our executive officers, directors and new director nominee as a group. The table also sets forth, in its final column, the combined voting power of the voting securities on all matters presented to the stockholders for their approval at the 2025 Annual Meeting.</w:t>
      </w:r>
    </w:p>
    <w:p>
      <w:pPr>
        <w:spacing w:after="0" w:line="79"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October 1, 2025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30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3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0" w:type="dxa"/>
            <w:vAlign w:val="bottom"/>
          </w:tcPr>
          <w:p>
            <w:pPr>
              <w:spacing w:after="0"/>
              <w:rPr>
                <w:sz w:val="1"/>
                <w:szCs w:val="1"/>
                <w:color w:val="auto"/>
              </w:rPr>
            </w:pPr>
          </w:p>
        </w:tc>
      </w:tr>
      <w:tr>
        <w:trPr>
          <w:trHeight w:val="148"/>
        </w:trPr>
        <w:tc>
          <w:tcPr>
            <w:tcW w:w="4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r>
              <w:rPr>
                <w:rFonts w:ascii="Times New Roman" w:cs="Times New Roman" w:eastAsia="Times New Roman" w:hAnsi="Times New Roman"/>
                <w:sz w:val="23"/>
                <w:szCs w:val="23"/>
                <w:b w:val="1"/>
                <w:bCs w:val="1"/>
                <w:color w:val="auto"/>
                <w:vertAlign w:val="superscript"/>
              </w:rPr>
              <w:t>(1)</w:t>
            </w:r>
          </w:p>
        </w:tc>
        <w:tc>
          <w:tcPr>
            <w:tcW w:w="3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3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5"/>
              </w:rPr>
              <w:t>Owned</w:t>
            </w:r>
            <w:r>
              <w:rPr>
                <w:rFonts w:ascii="Times New Roman" w:cs="Times New Roman" w:eastAsia="Times New Roman" w:hAnsi="Times New Roman"/>
                <w:sz w:val="23"/>
                <w:szCs w:val="23"/>
                <w:b w:val="1"/>
                <w:bCs w:val="1"/>
                <w:color w:val="auto"/>
                <w:w w:val="95"/>
                <w:vertAlign w:val="superscript"/>
              </w:rPr>
              <w:t>(2)</w:t>
            </w:r>
          </w:p>
        </w:tc>
        <w:tc>
          <w:tcPr>
            <w:tcW w:w="300" w:type="dxa"/>
            <w:vAlign w:val="bottom"/>
          </w:tcPr>
          <w:p>
            <w:pPr>
              <w:spacing w:after="0"/>
              <w:rPr>
                <w:sz w:val="18"/>
                <w:szCs w:val="18"/>
                <w:color w:val="auto"/>
              </w:rPr>
            </w:pPr>
          </w:p>
        </w:tc>
        <w:tc>
          <w:tcPr>
            <w:tcW w:w="6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3"/>
              </w:rPr>
              <w:t>Stock</w:t>
            </w:r>
            <w:r>
              <w:rPr>
                <w:rFonts w:ascii="Times New Roman" w:cs="Times New Roman" w:eastAsia="Times New Roman" w:hAnsi="Times New Roman"/>
                <w:sz w:val="23"/>
                <w:szCs w:val="23"/>
                <w:b w:val="1"/>
                <w:bCs w:val="1"/>
                <w:color w:val="auto"/>
                <w:w w:val="93"/>
                <w:vertAlign w:val="superscript"/>
              </w:rPr>
              <w:t>(3)</w:t>
            </w:r>
          </w:p>
        </w:tc>
        <w:tc>
          <w:tcPr>
            <w:tcW w:w="28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300" w:type="dxa"/>
            <w:vAlign w:val="bottom"/>
          </w:tcPr>
          <w:p>
            <w:pPr>
              <w:spacing w:after="0"/>
              <w:rPr>
                <w:sz w:val="18"/>
                <w:szCs w:val="18"/>
                <w:color w:val="auto"/>
              </w:rPr>
            </w:pPr>
          </w:p>
        </w:tc>
        <w:tc>
          <w:tcPr>
            <w:tcW w:w="6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3"/>
              </w:rPr>
              <w:t>Stock</w:t>
            </w:r>
            <w:r>
              <w:rPr>
                <w:rFonts w:ascii="Times New Roman" w:cs="Times New Roman" w:eastAsia="Times New Roman" w:hAnsi="Times New Roman"/>
                <w:sz w:val="23"/>
                <w:szCs w:val="23"/>
                <w:b w:val="1"/>
                <w:bCs w:val="1"/>
                <w:color w:val="auto"/>
                <w:w w:val="93"/>
                <w:vertAlign w:val="superscript"/>
              </w:rPr>
              <w:t>(4)</w:t>
            </w:r>
          </w:p>
        </w:tc>
        <w:tc>
          <w:tcPr>
            <w:tcW w:w="0" w:type="dxa"/>
            <w:vAlign w:val="bottom"/>
          </w:tcPr>
          <w:p>
            <w:pPr>
              <w:spacing w:after="0"/>
              <w:rPr>
                <w:sz w:val="1"/>
                <w:szCs w:val="1"/>
                <w:color w:val="auto"/>
              </w:rPr>
            </w:pPr>
          </w:p>
        </w:tc>
      </w:tr>
      <w:tr>
        <w:trPr>
          <w:trHeight w:val="25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1360" w:type="dxa"/>
            <w:vAlign w:val="bottom"/>
            <w:gridSpan w:val="2"/>
          </w:tcPr>
          <w:p>
            <w:pPr>
              <w:jc w:val="right"/>
              <w:ind w:right="23"/>
              <w:spacing w:after="0" w:line="284" w:lineRule="exact"/>
              <w:rPr>
                <w:sz w:val="20"/>
                <w:szCs w:val="20"/>
                <w:color w:val="auto"/>
              </w:rPr>
            </w:pPr>
            <w:r>
              <w:rPr>
                <w:rFonts w:ascii="Times New Roman" w:cs="Times New Roman" w:eastAsia="Times New Roman" w:hAnsi="Times New Roman"/>
                <w:sz w:val="18"/>
                <w:szCs w:val="18"/>
                <w:color w:val="auto"/>
              </w:rPr>
              <w:t>6,984,415</w:t>
            </w:r>
            <w:r>
              <w:rPr>
                <w:rFonts w:ascii="Times New Roman" w:cs="Times New Roman" w:eastAsia="Times New Roman" w:hAnsi="Times New Roman"/>
                <w:sz w:val="29"/>
                <w:szCs w:val="29"/>
                <w:color w:val="auto"/>
                <w:vertAlign w:val="superscript"/>
              </w:rPr>
              <w:t>(5)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12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100,000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83"/>
        </w:trPr>
        <w:tc>
          <w:tcPr>
            <w:tcW w:w="402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10X Fund, L.P.</w:t>
            </w:r>
            <w:r>
              <w:rPr>
                <w:rFonts w:ascii="Times New Roman" w:cs="Times New Roman" w:eastAsia="Times New Roman" w:hAnsi="Times New Roman"/>
                <w:sz w:val="29"/>
                <w:szCs w:val="29"/>
                <w:color w:val="auto"/>
                <w:vertAlign w:val="superscript"/>
              </w:rPr>
              <w:t>(8)</w:t>
            </w:r>
          </w:p>
        </w:tc>
        <w:tc>
          <w:tcPr>
            <w:tcW w:w="1360" w:type="dxa"/>
            <w:vAlign w:val="bottom"/>
            <w:gridSpan w:val="2"/>
            <w:shd w:val="clear" w:color="auto" w:fill="CCEEFF"/>
          </w:tcPr>
          <w:p>
            <w:pPr>
              <w:jc w:val="right"/>
              <w:ind w:right="23"/>
              <w:spacing w:after="0" w:line="284" w:lineRule="exact"/>
              <w:rPr>
                <w:sz w:val="20"/>
                <w:szCs w:val="20"/>
                <w:color w:val="auto"/>
              </w:rPr>
            </w:pPr>
            <w:r>
              <w:rPr>
                <w:rFonts w:ascii="Times New Roman" w:cs="Times New Roman" w:eastAsia="Times New Roman" w:hAnsi="Times New Roman"/>
                <w:sz w:val="18"/>
                <w:szCs w:val="18"/>
                <w:color w:val="auto"/>
              </w:rPr>
              <w:t>5,922,207</w:t>
            </w:r>
            <w:r>
              <w:rPr>
                <w:rFonts w:ascii="Times New Roman" w:cs="Times New Roman" w:eastAsia="Times New Roman" w:hAnsi="Times New Roman"/>
                <w:sz w:val="29"/>
                <w:szCs w:val="29"/>
                <w:color w:val="auto"/>
                <w:vertAlign w:val="superscript"/>
              </w:rPr>
              <w:t>(6)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402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David Smith</w:t>
            </w:r>
            <w:r>
              <w:rPr>
                <w:rFonts w:ascii="Times New Roman" w:cs="Times New Roman" w:eastAsia="Times New Roman" w:hAnsi="Times New Roman"/>
                <w:sz w:val="29"/>
                <w:szCs w:val="29"/>
                <w:color w:val="auto"/>
                <w:vertAlign w:val="superscript"/>
              </w:rPr>
              <w:t>(7)</w:t>
            </w:r>
          </w:p>
        </w:tc>
        <w:tc>
          <w:tcPr>
            <w:tcW w:w="300" w:type="dxa"/>
            <w:vAlign w:val="bottom"/>
          </w:tcPr>
          <w:p>
            <w:pPr>
              <w:spacing w:after="0"/>
              <w:rPr>
                <w:sz w:val="24"/>
                <w:szCs w:val="24"/>
                <w:color w:val="auto"/>
              </w:rPr>
            </w:pPr>
          </w:p>
        </w:tc>
        <w:tc>
          <w:tcPr>
            <w:tcW w:w="1060" w:type="dxa"/>
            <w:vAlign w:val="bottom"/>
          </w:tcPr>
          <w:p>
            <w:pPr>
              <w:jc w:val="right"/>
              <w:ind w:right="18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68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175,000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83"/>
        </w:trPr>
        <w:tc>
          <w:tcPr>
            <w:tcW w:w="402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Early Equities LLC</w:t>
            </w:r>
            <w:r>
              <w:rPr>
                <w:rFonts w:ascii="Times New Roman" w:cs="Times New Roman" w:eastAsia="Times New Roman" w:hAnsi="Times New Roman"/>
                <w:sz w:val="29"/>
                <w:szCs w:val="29"/>
                <w:color w:val="auto"/>
                <w:vertAlign w:val="superscript"/>
              </w:rPr>
              <w:t>(9)</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100,000</w:t>
            </w:r>
            <w:r>
              <w:rPr>
                <w:rFonts w:ascii="Times New Roman" w:cs="Times New Roman" w:eastAsia="Times New Roman" w:hAnsi="Times New Roman"/>
                <w:sz w:val="29"/>
                <w:szCs w:val="29"/>
                <w:color w:val="auto"/>
                <w:vertAlign w:val="superscript"/>
              </w:rPr>
              <w:t>(8)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83"/>
        </w:trPr>
        <w:tc>
          <w:tcPr>
            <w:tcW w:w="402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Richard E. Uihlein</w:t>
            </w:r>
            <w:r>
              <w:rPr>
                <w:rFonts w:ascii="Times New Roman" w:cs="Times New Roman" w:eastAsia="Times New Roman" w:hAnsi="Times New Roman"/>
                <w:sz w:val="29"/>
                <w:szCs w:val="29"/>
                <w:color w:val="auto"/>
                <w:vertAlign w:val="superscript"/>
              </w:rPr>
              <w:t>(11)</w:t>
            </w:r>
          </w:p>
        </w:tc>
        <w:tc>
          <w:tcPr>
            <w:tcW w:w="1360" w:type="dxa"/>
            <w:vAlign w:val="bottom"/>
            <w:gridSpan w:val="2"/>
          </w:tcPr>
          <w:p>
            <w:pPr>
              <w:ind w:left="300"/>
              <w:spacing w:after="0" w:line="284" w:lineRule="exact"/>
              <w:rPr>
                <w:sz w:val="20"/>
                <w:szCs w:val="20"/>
                <w:color w:val="auto"/>
              </w:rPr>
            </w:pPr>
            <w:r>
              <w:rPr>
                <w:rFonts w:ascii="Times New Roman" w:cs="Times New Roman" w:eastAsia="Times New Roman" w:hAnsi="Times New Roman"/>
                <w:sz w:val="18"/>
                <w:szCs w:val="18"/>
                <w:color w:val="auto"/>
                <w:w w:val="91"/>
              </w:rPr>
              <w:t>50,841,404</w:t>
            </w:r>
            <w:r>
              <w:rPr>
                <w:rFonts w:ascii="Times New Roman" w:cs="Times New Roman" w:eastAsia="Times New Roman" w:hAnsi="Times New Roman"/>
                <w:sz w:val="29"/>
                <w:szCs w:val="29"/>
                <w:color w:val="auto"/>
                <w:w w:val="91"/>
                <w:vertAlign w:val="superscript"/>
              </w:rPr>
              <w:t>(13)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80" w:type="dxa"/>
            <w:vAlign w:val="bottom"/>
          </w:tcPr>
          <w:p>
            <w:pPr>
              <w:spacing w:after="0"/>
              <w:rPr>
                <w:sz w:val="24"/>
                <w:szCs w:val="24"/>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Directors, New Director Nominee and Other Named</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Gilbert F. Amelio, Ph.D.</w:t>
            </w:r>
          </w:p>
        </w:tc>
        <w:tc>
          <w:tcPr>
            <w:tcW w:w="1360" w:type="dxa"/>
            <w:vAlign w:val="bottom"/>
            <w:gridSpan w:val="2"/>
          </w:tcPr>
          <w:p>
            <w:pPr>
              <w:jc w:val="right"/>
              <w:ind w:right="183"/>
              <w:spacing w:after="0"/>
              <w:rPr>
                <w:sz w:val="20"/>
                <w:szCs w:val="20"/>
                <w:color w:val="auto"/>
              </w:rPr>
            </w:pPr>
            <w:r>
              <w:rPr>
                <w:rFonts w:ascii="Times New Roman" w:cs="Times New Roman" w:eastAsia="Times New Roman" w:hAnsi="Times New Roman"/>
                <w:sz w:val="18"/>
                <w:szCs w:val="18"/>
                <w:color w:val="auto"/>
              </w:rPr>
              <w:t>375,614</w:t>
            </w: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Benjamin S. Carson, Sr. M.D.</w:t>
            </w:r>
          </w:p>
        </w:tc>
        <w:tc>
          <w:tcPr>
            <w:tcW w:w="136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150,000</w:t>
            </w: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Kary Eldred</w:t>
            </w:r>
          </w:p>
        </w:tc>
        <w:tc>
          <w:tcPr>
            <w:tcW w:w="1360" w:type="dxa"/>
            <w:vAlign w:val="bottom"/>
            <w:gridSpan w:val="2"/>
          </w:tcPr>
          <w:p>
            <w:pPr>
              <w:jc w:val="right"/>
              <w:spacing w:after="0" w:line="284" w:lineRule="exact"/>
              <w:rPr>
                <w:sz w:val="20"/>
                <w:szCs w:val="20"/>
                <w:color w:val="auto"/>
              </w:rPr>
            </w:pPr>
            <w:r>
              <w:rPr>
                <w:rFonts w:ascii="Times New Roman" w:cs="Times New Roman" w:eastAsia="Times New Roman" w:hAnsi="Times New Roman"/>
                <w:sz w:val="18"/>
                <w:szCs w:val="18"/>
                <w:color w:val="auto"/>
              </w:rPr>
              <w:t>849,108</w:t>
            </w:r>
            <w:r>
              <w:rPr>
                <w:rFonts w:ascii="Times New Roman" w:cs="Times New Roman" w:eastAsia="Times New Roman" w:hAnsi="Times New Roman"/>
                <w:sz w:val="29"/>
                <w:szCs w:val="29"/>
                <w:color w:val="auto"/>
                <w:vertAlign w:val="superscript"/>
              </w:rPr>
              <w:t>(13)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80" w:type="dxa"/>
            <w:vAlign w:val="bottom"/>
          </w:tcPr>
          <w:p>
            <w:pPr>
              <w:spacing w:after="0"/>
              <w:rPr>
                <w:sz w:val="24"/>
                <w:szCs w:val="24"/>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Freeman</w:t>
            </w:r>
          </w:p>
        </w:tc>
        <w:tc>
          <w:tcPr>
            <w:tcW w:w="1360" w:type="dxa"/>
            <w:vAlign w:val="bottom"/>
            <w:gridSpan w:val="2"/>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870,134</w:t>
            </w:r>
            <w:r>
              <w:rPr>
                <w:rFonts w:ascii="Times New Roman" w:cs="Times New Roman" w:eastAsia="Times New Roman" w:hAnsi="Times New Roman"/>
                <w:sz w:val="29"/>
                <w:szCs w:val="29"/>
                <w:color w:val="auto"/>
                <w:vertAlign w:val="superscript"/>
              </w:rPr>
              <w:t>(10)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Joel Lewis</w:t>
            </w:r>
          </w:p>
        </w:tc>
        <w:tc>
          <w:tcPr>
            <w:tcW w:w="1360" w:type="dxa"/>
            <w:vAlign w:val="bottom"/>
            <w:gridSpan w:val="2"/>
          </w:tcPr>
          <w:p>
            <w:pPr>
              <w:jc w:val="right"/>
              <w:ind w:right="183"/>
              <w:spacing w:after="0"/>
              <w:rPr>
                <w:sz w:val="20"/>
                <w:szCs w:val="20"/>
                <w:color w:val="auto"/>
              </w:rPr>
            </w:pPr>
            <w:r>
              <w:rPr>
                <w:rFonts w:ascii="Times New Roman" w:cs="Times New Roman" w:eastAsia="Times New Roman" w:hAnsi="Times New Roman"/>
                <w:sz w:val="18"/>
                <w:szCs w:val="18"/>
                <w:color w:val="auto"/>
              </w:rPr>
              <w:t>1,728,054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20"/>
                <w:szCs w:val="20"/>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S. Omenn, M.D., Ph.D.</w:t>
            </w:r>
          </w:p>
        </w:tc>
        <w:tc>
          <w:tcPr>
            <w:tcW w:w="136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500,990</w:t>
            </w: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50,000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Marc Rubin, M.D.</w:t>
            </w:r>
          </w:p>
        </w:tc>
        <w:tc>
          <w:tcPr>
            <w:tcW w:w="1360" w:type="dxa"/>
            <w:vAlign w:val="bottom"/>
            <w:gridSpan w:val="2"/>
          </w:tcPr>
          <w:p>
            <w:pPr>
              <w:jc w:val="right"/>
              <w:ind w:right="183"/>
              <w:spacing w:after="0"/>
              <w:rPr>
                <w:sz w:val="20"/>
                <w:szCs w:val="20"/>
                <w:color w:val="auto"/>
              </w:rPr>
            </w:pPr>
            <w:r>
              <w:rPr>
                <w:rFonts w:ascii="Times New Roman" w:cs="Times New Roman" w:eastAsia="Times New Roman" w:hAnsi="Times New Roman"/>
                <w:sz w:val="18"/>
                <w:szCs w:val="18"/>
                <w:color w:val="auto"/>
              </w:rPr>
              <w:t>358,146</w:t>
            </w: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Elissa J. Schwartz, Ph.D.</w:t>
            </w:r>
          </w:p>
        </w:tc>
        <w:tc>
          <w:tcPr>
            <w:tcW w:w="136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241,000</w:t>
            </w: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1360" w:type="dxa"/>
            <w:vAlign w:val="bottom"/>
            <w:gridSpan w:val="2"/>
          </w:tcPr>
          <w:p>
            <w:pPr>
              <w:jc w:val="right"/>
              <w:ind w:right="183"/>
              <w:spacing w:after="0"/>
              <w:rPr>
                <w:sz w:val="20"/>
                <w:szCs w:val="20"/>
                <w:color w:val="auto"/>
              </w:rPr>
            </w:pPr>
            <w:r>
              <w:rPr>
                <w:rFonts w:ascii="Times New Roman" w:cs="Times New Roman" w:eastAsia="Times New Roman" w:hAnsi="Times New Roman"/>
                <w:sz w:val="18"/>
                <w:szCs w:val="18"/>
                <w:color w:val="auto"/>
              </w:rPr>
              <w:t>610,206</w:t>
            </w: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8"/>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E. Uihlein</w:t>
            </w:r>
          </w:p>
        </w:tc>
        <w:tc>
          <w:tcPr>
            <w:tcW w:w="1360" w:type="dxa"/>
            <w:vAlign w:val="bottom"/>
            <w:gridSpan w:val="2"/>
            <w:shd w:val="clear" w:color="auto" w:fill="CCEEFF"/>
          </w:tcPr>
          <w:p>
            <w:pPr>
              <w:ind w:left="300"/>
              <w:spacing w:after="0" w:line="288" w:lineRule="exact"/>
              <w:rPr>
                <w:sz w:val="20"/>
                <w:szCs w:val="20"/>
                <w:color w:val="auto"/>
              </w:rPr>
            </w:pPr>
            <w:r>
              <w:rPr>
                <w:rFonts w:ascii="Times New Roman" w:cs="Times New Roman" w:eastAsia="Times New Roman" w:hAnsi="Times New Roman"/>
                <w:sz w:val="18"/>
                <w:szCs w:val="18"/>
                <w:color w:val="auto"/>
                <w:w w:val="91"/>
              </w:rPr>
              <w:t>50,841,404</w:t>
            </w:r>
            <w:r>
              <w:rPr>
                <w:rFonts w:ascii="Times New Roman" w:cs="Times New Roman" w:eastAsia="Times New Roman" w:hAnsi="Times New Roman"/>
                <w:sz w:val="29"/>
                <w:szCs w:val="29"/>
                <w:color w:val="auto"/>
                <w:w w:val="91"/>
                <w:vertAlign w:val="superscript"/>
              </w:rPr>
              <w:t>(12)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Richard A. Zordani</w:t>
            </w:r>
          </w:p>
        </w:tc>
        <w:tc>
          <w:tcPr>
            <w:tcW w:w="1360" w:type="dxa"/>
            <w:vAlign w:val="bottom"/>
            <w:gridSpan w:val="2"/>
          </w:tcPr>
          <w:p>
            <w:pPr>
              <w:jc w:val="right"/>
              <w:ind w:right="183"/>
              <w:spacing w:after="0"/>
              <w:rPr>
                <w:sz w:val="20"/>
                <w:szCs w:val="20"/>
                <w:color w:val="auto"/>
              </w:rPr>
            </w:pPr>
            <w:r>
              <w:rPr>
                <w:rFonts w:ascii="Times New Roman" w:cs="Times New Roman" w:eastAsia="Times New Roman" w:hAnsi="Times New Roman"/>
                <w:sz w:val="18"/>
                <w:szCs w:val="18"/>
                <w:color w:val="auto"/>
              </w:rPr>
              <w:t>284,853</w:t>
            </w: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Khurram Jamil, M.D.</w:t>
            </w:r>
          </w:p>
        </w:tc>
        <w:tc>
          <w:tcPr>
            <w:tcW w:w="136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226,250</w:t>
            </w: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1360" w:type="dxa"/>
            <w:vAlign w:val="bottom"/>
            <w:gridSpan w:val="2"/>
          </w:tcPr>
          <w:p>
            <w:pPr>
              <w:jc w:val="right"/>
              <w:ind w:right="183"/>
              <w:spacing w:after="0"/>
              <w:rPr>
                <w:sz w:val="20"/>
                <w:szCs w:val="20"/>
                <w:color w:val="auto"/>
              </w:rPr>
            </w:pPr>
            <w:r>
              <w:rPr>
                <w:rFonts w:ascii="Times New Roman" w:cs="Times New Roman" w:eastAsia="Times New Roman" w:hAnsi="Times New Roman"/>
                <w:sz w:val="18"/>
                <w:szCs w:val="18"/>
                <w:color w:val="auto"/>
              </w:rPr>
              <w:t>663,199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(13 persons)</w:t>
            </w:r>
          </w:p>
        </w:tc>
        <w:tc>
          <w:tcPr>
            <w:tcW w:w="13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57,698,958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12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50,000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54"/>
        </w:trPr>
        <w:tc>
          <w:tcPr>
            <w:tcW w:w="40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42" w:lineRule="exact"/>
        <w:rPr>
          <w:sz w:val="20"/>
          <w:szCs w:val="20"/>
          <w:color w:val="auto"/>
        </w:rPr>
      </w:pPr>
    </w:p>
    <w:p>
      <w:pPr>
        <w:ind w:left="640" w:right="439" w:hanging="348"/>
        <w:spacing w:after="0" w:line="26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indicated, the address for each named person is c/o Galectin Therapeutics Inc., 4960 Peachtree Industrial Blvd., Suite 240, Norcross, GA 30071.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40" w:right="479" w:hanging="348"/>
        <w:spacing w:after="0" w:line="26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following number of shares of our Common Stock issuable upon exercise of outstanding stock options granted to our named executive officers and directors that are exercisable within 60 days after October 1, 2025.</w:t>
      </w:r>
    </w:p>
    <w:p>
      <w:pPr>
        <w:spacing w:after="0" w:line="174"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Directors, Nominees and Named Executive Officers</w:t>
            </w:r>
          </w:p>
        </w:tc>
        <w:tc>
          <w:tcPr>
            <w:tcW w:w="100" w:type="dxa"/>
            <w:vAlign w:val="bottom"/>
          </w:tcPr>
          <w:p>
            <w:pPr>
              <w:spacing w:after="0"/>
              <w:rPr>
                <w:sz w:val="16"/>
                <w:szCs w:val="16"/>
                <w:color w:val="auto"/>
              </w:rPr>
            </w:pPr>
          </w:p>
        </w:tc>
        <w:tc>
          <w:tcPr>
            <w:tcW w:w="2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Options Exercisable Within 60 Days</w:t>
            </w:r>
          </w:p>
        </w:tc>
      </w:tr>
      <w:tr>
        <w:trPr>
          <w:trHeight w:val="23"/>
        </w:trPr>
        <w:tc>
          <w:tcPr>
            <w:tcW w:w="5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Gilbert F. Amelio, Ph.D.</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315,000</w:t>
            </w:r>
          </w:p>
        </w:tc>
        <w:tc>
          <w:tcPr>
            <w:tcW w:w="840" w:type="dxa"/>
            <w:vAlign w:val="bottom"/>
            <w:shd w:val="clear" w:color="auto" w:fill="CCEEFF"/>
          </w:tcPr>
          <w:p>
            <w:pPr>
              <w:spacing w:after="0"/>
              <w:rPr>
                <w:sz w:val="17"/>
                <w:szCs w:val="17"/>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Benjamin S. Carson, Sr., M.D.</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840" w:type="dxa"/>
            <w:vAlign w:val="bottom"/>
          </w:tcPr>
          <w:p>
            <w:pPr>
              <w:spacing w:after="0"/>
              <w:rPr>
                <w:sz w:val="16"/>
                <w:szCs w:val="16"/>
                <w:color w:val="auto"/>
              </w:rPr>
            </w:pPr>
          </w:p>
        </w:tc>
      </w:tr>
      <w:tr>
        <w:trPr>
          <w:trHeight w:val="19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Kary Eldred</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341,875</w:t>
            </w:r>
          </w:p>
        </w:tc>
        <w:tc>
          <w:tcPr>
            <w:tcW w:w="840" w:type="dxa"/>
            <w:vAlign w:val="bottom"/>
            <w:shd w:val="clear" w:color="auto" w:fill="CCEEFF"/>
          </w:tcPr>
          <w:p>
            <w:pPr>
              <w:spacing w:after="0"/>
              <w:rPr>
                <w:sz w:val="16"/>
                <w:szCs w:val="16"/>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Kevin Freeman</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403,125</w:t>
            </w:r>
          </w:p>
        </w:tc>
        <w:tc>
          <w:tcPr>
            <w:tcW w:w="840" w:type="dxa"/>
            <w:vAlign w:val="bottom"/>
          </w:tcPr>
          <w:p>
            <w:pPr>
              <w:spacing w:after="0"/>
              <w:rPr>
                <w:sz w:val="16"/>
                <w:szCs w:val="16"/>
                <w:color w:val="auto"/>
              </w:rPr>
            </w:pPr>
          </w:p>
        </w:tc>
      </w:tr>
      <w:tr>
        <w:trPr>
          <w:trHeight w:val="19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Joel Lewis</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806,250</w:t>
            </w:r>
          </w:p>
        </w:tc>
        <w:tc>
          <w:tcPr>
            <w:tcW w:w="840" w:type="dxa"/>
            <w:vAlign w:val="bottom"/>
            <w:shd w:val="clear" w:color="auto" w:fill="CCEEFF"/>
          </w:tcPr>
          <w:p>
            <w:pPr>
              <w:spacing w:after="0"/>
              <w:rPr>
                <w:sz w:val="16"/>
                <w:szCs w:val="16"/>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Gilbert S. Omenn, M.D., Ph.D.</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418,750</w:t>
            </w:r>
          </w:p>
        </w:tc>
        <w:tc>
          <w:tcPr>
            <w:tcW w:w="840" w:type="dxa"/>
            <w:vAlign w:val="bottom"/>
          </w:tcPr>
          <w:p>
            <w:pPr>
              <w:spacing w:after="0"/>
              <w:rPr>
                <w:sz w:val="16"/>
                <w:szCs w:val="16"/>
                <w:color w:val="auto"/>
              </w:rPr>
            </w:pPr>
          </w:p>
        </w:tc>
      </w:tr>
      <w:tr>
        <w:trPr>
          <w:trHeight w:val="19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 Rubin, M.D.</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344,565</w:t>
            </w:r>
          </w:p>
        </w:tc>
        <w:tc>
          <w:tcPr>
            <w:tcW w:w="840" w:type="dxa"/>
            <w:vAlign w:val="bottom"/>
            <w:shd w:val="clear" w:color="auto" w:fill="CCEEFF"/>
          </w:tcPr>
          <w:p>
            <w:pPr>
              <w:spacing w:after="0"/>
              <w:rPr>
                <w:sz w:val="16"/>
                <w:szCs w:val="16"/>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Elissa J. Schwartz</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240,000</w:t>
            </w:r>
          </w:p>
        </w:tc>
        <w:tc>
          <w:tcPr>
            <w:tcW w:w="840" w:type="dxa"/>
            <w:vAlign w:val="bottom"/>
          </w:tcPr>
          <w:p>
            <w:pPr>
              <w:spacing w:after="0"/>
              <w:rPr>
                <w:sz w:val="16"/>
                <w:szCs w:val="16"/>
                <w:color w:val="auto"/>
              </w:rPr>
            </w:pPr>
          </w:p>
        </w:tc>
      </w:tr>
      <w:tr>
        <w:trPr>
          <w:trHeight w:val="19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Harold Shlevin, Ph.D.</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595,000</w:t>
            </w:r>
          </w:p>
        </w:tc>
        <w:tc>
          <w:tcPr>
            <w:tcW w:w="840" w:type="dxa"/>
            <w:vAlign w:val="bottom"/>
            <w:shd w:val="clear" w:color="auto" w:fill="CCEEFF"/>
          </w:tcPr>
          <w:p>
            <w:pPr>
              <w:spacing w:after="0"/>
              <w:rPr>
                <w:sz w:val="16"/>
                <w:szCs w:val="16"/>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Richard E. Uihlein</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306,362</w:t>
            </w:r>
          </w:p>
        </w:tc>
        <w:tc>
          <w:tcPr>
            <w:tcW w:w="840" w:type="dxa"/>
            <w:vAlign w:val="bottom"/>
          </w:tcPr>
          <w:p>
            <w:pPr>
              <w:spacing w:after="0"/>
              <w:rPr>
                <w:sz w:val="16"/>
                <w:szCs w:val="16"/>
                <w:color w:val="auto"/>
              </w:rPr>
            </w:pPr>
          </w:p>
        </w:tc>
      </w:tr>
      <w:tr>
        <w:trPr>
          <w:trHeight w:val="19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Richard A. Zordani</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240,000</w:t>
            </w:r>
          </w:p>
        </w:tc>
        <w:tc>
          <w:tcPr>
            <w:tcW w:w="840" w:type="dxa"/>
            <w:vAlign w:val="bottom"/>
            <w:shd w:val="clear" w:color="auto" w:fill="CCEEFF"/>
          </w:tcPr>
          <w:p>
            <w:pPr>
              <w:spacing w:after="0"/>
              <w:rPr>
                <w:sz w:val="16"/>
                <w:szCs w:val="16"/>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Khurram Jamil, M.D.</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166,250</w:t>
            </w:r>
          </w:p>
        </w:tc>
        <w:tc>
          <w:tcPr>
            <w:tcW w:w="840" w:type="dxa"/>
            <w:vAlign w:val="bottom"/>
          </w:tcPr>
          <w:p>
            <w:pPr>
              <w:spacing w:after="0"/>
              <w:rPr>
                <w:sz w:val="16"/>
                <w:szCs w:val="16"/>
                <w:color w:val="auto"/>
              </w:rPr>
            </w:pPr>
          </w:p>
        </w:tc>
      </w:tr>
      <w:tr>
        <w:trPr>
          <w:trHeight w:val="189"/>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Jack Callicutt</w:t>
            </w:r>
          </w:p>
        </w:tc>
        <w:tc>
          <w:tcPr>
            <w:tcW w:w="940" w:type="dxa"/>
            <w:vAlign w:val="bottom"/>
            <w:tcBorders>
              <w:bottom w:val="single" w:sz="8" w:color="CCEEFF"/>
            </w:tcBorders>
            <w:gridSpan w:val="2"/>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595,000</w:t>
            </w:r>
          </w:p>
        </w:tc>
        <w:tc>
          <w:tcPr>
            <w:tcW w:w="840" w:type="dxa"/>
            <w:vAlign w:val="bottom"/>
            <w:tcBorders>
              <w:bottom w:val="single" w:sz="8" w:color="CCEEFF"/>
            </w:tcBorders>
            <w:shd w:val="clear" w:color="auto" w:fill="CCEEFF"/>
          </w:tcPr>
          <w:p>
            <w:pPr>
              <w:spacing w:after="0"/>
              <w:rPr>
                <w:sz w:val="16"/>
                <w:szCs w:val="16"/>
                <w:color w:val="auto"/>
              </w:rPr>
            </w:pPr>
          </w:p>
        </w:tc>
      </w:tr>
      <w:tr>
        <w:trPr>
          <w:trHeight w:val="200"/>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All executive officers and directors as a group</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4,922,177</w:t>
            </w:r>
          </w:p>
        </w:tc>
        <w:tc>
          <w:tcPr>
            <w:tcW w:w="840" w:type="dxa"/>
            <w:vAlign w:val="bottom"/>
          </w:tcPr>
          <w:p>
            <w:pPr>
              <w:spacing w:after="0"/>
              <w:rPr>
                <w:sz w:val="17"/>
                <w:szCs w:val="17"/>
                <w:color w:val="auto"/>
              </w:rPr>
            </w:pPr>
          </w:p>
        </w:tc>
      </w:tr>
    </w:tbl>
    <w:p>
      <w:pPr>
        <w:spacing w:after="0" w:line="68" w:lineRule="exact"/>
        <w:rPr>
          <w:sz w:val="20"/>
          <w:szCs w:val="20"/>
          <w:color w:val="auto"/>
        </w:rPr>
      </w:pPr>
    </w:p>
    <w:p>
      <w:pPr>
        <w:ind w:left="640" w:right="399" w:hanging="348"/>
        <w:spacing w:after="0" w:line="236"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named person and group included in this table, percentage ownership of our Common Stock is calculated by dividing the number of shares of our Common Stock beneficially owned by such person or group by the sum of (i) 62,308,075 shares of our Common Stock outstanding as of September 22, 2025 and (ii) the number of shares of our Common Stock that such person has the right to acquire within 60 days after September 22, 2025.</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1,210,000 shares of Series A preferred stock outstanding as of September 22, 2025.</w:t>
      </w:r>
    </w:p>
    <w:p>
      <w:pPr>
        <w:spacing w:after="0" w:line="41" w:lineRule="exact"/>
        <w:rPr>
          <w:rFonts w:ascii="Times New Roman" w:cs="Times New Roman" w:eastAsia="Times New Roman" w:hAnsi="Times New Roman"/>
          <w:sz w:val="14"/>
          <w:szCs w:val="14"/>
          <w:color w:val="auto"/>
        </w:rPr>
      </w:pPr>
    </w:p>
    <w:p>
      <w:pPr>
        <w:ind w:left="640" w:right="459" w:hanging="348"/>
        <w:spacing w:after="0" w:line="236"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5,922,207 common shares as to which Mr. Czirr, in his capacity as a managing member of 10X Capital Management Fund, LLC, a Florida limited liability company and general partner of 10X Fund (referred to herein as 10X Management) has shared voting and investment power, and disclaims beneficial ownership; also includes 1,045,541 shares of Common Stock owned by Mr. Czirr, and 16,667 shares of our Common Stock issuable upon conversion of Series A preferred stock owned by Mr. Czirr.</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5,922,207 common shares.</w:t>
      </w:r>
    </w:p>
    <w:p>
      <w:pPr>
        <w:spacing w:after="0" w:line="41" w:lineRule="exact"/>
        <w:rPr>
          <w:rFonts w:ascii="Times New Roman" w:cs="Times New Roman" w:eastAsia="Times New Roman" w:hAnsi="Times New Roman"/>
          <w:sz w:val="14"/>
          <w:szCs w:val="14"/>
          <w:color w:val="auto"/>
        </w:rPr>
      </w:pPr>
    </w:p>
    <w:p>
      <w:pPr>
        <w:ind w:left="640" w:right="939" w:hanging="348"/>
        <w:spacing w:after="0" w:line="261"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Smith is the manager of Early Equities LLC, a Connecticut limited liability company, and may be deemed to have voting and investment control over, but disclaims beneficial ownership of, the shares of Series A preferred stock.</w:t>
      </w:r>
    </w:p>
    <w:p>
      <w:pPr>
        <w:ind w:left="640" w:right="799" w:hanging="348"/>
        <w:spacing w:after="0" w:line="261"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Contact: c/o 10X Capital Management, LLC at Davis Gillett Mottern &amp; Sims LLC attn: Bob Mottern 545 Dutch Valley Road, N.E., Suite A, Atlanta, GA 30309.</w:t>
      </w:r>
    </w:p>
    <w:p>
      <w:pPr>
        <w:ind w:left="640" w:hanging="34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Contact: c/o David Smith 34 Shorehaven Road E., Norwalk, CT 06855.</w:t>
      </w:r>
    </w:p>
    <w:p>
      <w:pPr>
        <w:spacing w:after="0" w:line="41" w:lineRule="exact"/>
        <w:rPr>
          <w:rFonts w:ascii="Times New Roman" w:cs="Times New Roman" w:eastAsia="Times New Roman" w:hAnsi="Times New Roman"/>
          <w:sz w:val="14"/>
          <w:szCs w:val="14"/>
          <w:color w:val="auto"/>
        </w:rPr>
      </w:pPr>
    </w:p>
    <w:p>
      <w:pPr>
        <w:ind w:left="640" w:right="639" w:hanging="348"/>
        <w:spacing w:after="0" w:line="236"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243,745 shares of the Company’s Common Stock and warrants for the purchase of 75,432 shares of the Company’s Common Stock managed by Cross Consulting and Services, LLC, a Texas limited liability company, d/b/a Freeman Global Investment Counsel. Mr. Freeman, in his capacity as CEO of Freeman Global Investment Counsel, has voting and investment control over, but disclaims beneficial ownership of, these shares.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Contact: c/o Uline Corporation, 12575 Uline Drive, Pleasant Prairie, WI 53158</w:t>
      </w:r>
    </w:p>
    <w:p>
      <w:pPr>
        <w:spacing w:after="0" w:line="41" w:lineRule="exact"/>
        <w:rPr>
          <w:rFonts w:ascii="Times New Roman" w:cs="Times New Roman" w:eastAsia="Times New Roman" w:hAnsi="Times New Roman"/>
          <w:sz w:val="14"/>
          <w:szCs w:val="14"/>
          <w:color w:val="auto"/>
        </w:rPr>
      </w:pPr>
    </w:p>
    <w:p>
      <w:pPr>
        <w:ind w:left="640" w:right="639" w:hanging="348"/>
        <w:spacing w:after="0" w:line="236"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10,348,981 shares of common stock, (ii) 2,520,180 common shares issuable upon the exercise of Common Stock purchase warrants, (iii) 7,479,217 common shares issuable upon conversion of notes payable, (iv) 30,103,330 common shares issuable upon conversion of notes payable from line of credit, (v) 83,334 common shares issuable upon conversion of Series C preferred non-voting stock, and (vi) 306,362 common shares issuable upon the exercise of common stock options.</w:t>
      </w:r>
    </w:p>
    <w:p>
      <w:pPr>
        <w:spacing w:after="0" w:line="14" w:lineRule="exact"/>
        <w:rPr>
          <w:rFonts w:ascii="Times New Roman" w:cs="Times New Roman" w:eastAsia="Times New Roman" w:hAnsi="Times New Roman"/>
          <w:sz w:val="14"/>
          <w:szCs w:val="14"/>
          <w:color w:val="auto"/>
        </w:rPr>
      </w:pPr>
    </w:p>
    <w:p>
      <w:pPr>
        <w:ind w:left="640" w:right="379" w:hanging="348"/>
        <w:spacing w:after="0" w:line="241"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54,138 shares of Common Stock and 6,599 Common Stock purchase warrants personally owned by Mr. Eldred, 431,527 shares of Common Stock, and 4,425 shares of Common Stock held in a trust or for a minor child; however, Mr. Eldred disclaims beneficial ownership of the shares and warrants owned by such private foundations or trusts.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21" w:lineRule="exact"/>
        <w:rPr>
          <w:sz w:val="20"/>
          <w:szCs w:val="20"/>
          <w:color w:val="auto"/>
        </w:rPr>
      </w:pPr>
    </w:p>
    <w:p>
      <w:pPr>
        <w:jc w:val="both"/>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officers and directors, and persons who beneficially own more than ten percent of our common stock, to file reports of ownership and changes of ownership of such securities with the SEC. All reports were timely filed during the fiscal year ended December 31, 2024.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99"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of our Board of Directors, or “Board”, has nominated eleven members currently serving on our Board, identified below, to be re-elected at the 2025 Annual Meeting to serve until the 2026 annual meeting of stockholders and until their respective successors are elected and qualified. Each of the director nominees has agreed to serve on the Board, if elected.</w:t>
      </w:r>
    </w:p>
    <w:p>
      <w:pPr>
        <w:spacing w:after="0" w:line="72"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Set forth below is information regarding the nominees, as of December 3, 2025, including their ages, positions with Galectin Therapeutics, recent employment and other directorships.</w:t>
      </w:r>
    </w:p>
    <w:p>
      <w:pPr>
        <w:spacing w:after="0" w:line="2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RECOMMENDS A VOTE “FOR”</w:t>
      </w:r>
    </w:p>
    <w:p>
      <w:pPr>
        <w:spacing w:after="0" w:line="3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i w:val="1"/>
          <w:iCs w:val="1"/>
          <w:color w:val="auto"/>
        </w:rPr>
        <w:t>THE ELECTION TO THE BOARD OF EACH NOMINEE.</w:t>
      </w:r>
    </w:p>
    <w:p>
      <w:pPr>
        <w:spacing w:after="0" w:line="99"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The persons who have been nominated for election at the 2025 Annual Meeting to serve on our Board of Directors are named in the table below. Proxies cannot be voted for a greater number of persons than the number of nominees named.</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Nominees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23"/>
        </w:trPr>
        <w:tc>
          <w:tcPr>
            <w:tcW w:w="6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91"/>
        </w:trPr>
        <w:tc>
          <w:tcPr>
            <w:tcW w:w="672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Gilbert F. Amelio, Ph.D.</w:t>
            </w:r>
            <w:r>
              <w:rPr>
                <w:rFonts w:ascii="Times New Roman" w:cs="Times New Roman" w:eastAsia="Times New Roman" w:hAnsi="Times New Roman"/>
                <w:sz w:val="29"/>
                <w:szCs w:val="29"/>
                <w:color w:val="auto"/>
                <w:vertAlign w:val="superscript"/>
              </w:rPr>
              <w:t>(2)(3)</w:t>
            </w:r>
          </w:p>
        </w:tc>
        <w:tc>
          <w:tcPr>
            <w:tcW w:w="6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88"/>
              </w:rPr>
              <w:t>82</w:t>
            </w:r>
          </w:p>
        </w:tc>
        <w:tc>
          <w:tcPr>
            <w:tcW w:w="10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4"/>
              </w:rPr>
              <w:t>2009</w:t>
            </w:r>
          </w:p>
        </w:tc>
      </w:tr>
      <w:tr>
        <w:trPr>
          <w:trHeight w:val="23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Benjamin S. Carson, Sr., M.D.</w:t>
            </w:r>
          </w:p>
        </w:tc>
        <w:tc>
          <w:tcPr>
            <w:tcW w:w="6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88"/>
              </w:rPr>
              <w:t>74</w:t>
            </w:r>
          </w:p>
        </w:tc>
        <w:tc>
          <w:tcPr>
            <w:tcW w:w="10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4"/>
              </w:rPr>
              <w:t>2023</w:t>
            </w:r>
          </w:p>
        </w:tc>
      </w:tr>
      <w:tr>
        <w:trPr>
          <w:trHeight w:val="288"/>
        </w:trPr>
        <w:tc>
          <w:tcPr>
            <w:tcW w:w="6720" w:type="dxa"/>
            <w:vAlign w:val="bottom"/>
            <w:shd w:val="clear" w:color="auto" w:fill="CCEEFF"/>
          </w:tcPr>
          <w:p>
            <w:pPr>
              <w:spacing w:after="0" w:line="288" w:lineRule="exact"/>
              <w:rPr>
                <w:sz w:val="20"/>
                <w:szCs w:val="20"/>
                <w:color w:val="auto"/>
              </w:rPr>
            </w:pPr>
            <w:r>
              <w:rPr>
                <w:rFonts w:ascii="Times New Roman" w:cs="Times New Roman" w:eastAsia="Times New Roman" w:hAnsi="Times New Roman"/>
                <w:sz w:val="18"/>
                <w:szCs w:val="18"/>
                <w:color w:val="auto"/>
              </w:rPr>
              <w:t>Kary Eldred</w:t>
            </w:r>
            <w:r>
              <w:rPr>
                <w:rFonts w:ascii="Times New Roman" w:cs="Times New Roman" w:eastAsia="Times New Roman" w:hAnsi="Times New Roman"/>
                <w:sz w:val="29"/>
                <w:szCs w:val="29"/>
                <w:color w:val="auto"/>
                <w:vertAlign w:val="superscript"/>
              </w:rPr>
              <w:t>(1)</w:t>
            </w:r>
          </w:p>
        </w:tc>
        <w:tc>
          <w:tcPr>
            <w:tcW w:w="6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88"/>
              </w:rPr>
              <w:t>51</w:t>
            </w:r>
          </w:p>
        </w:tc>
        <w:tc>
          <w:tcPr>
            <w:tcW w:w="10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4"/>
              </w:rPr>
              <w:t>2018</w:t>
            </w:r>
          </w:p>
        </w:tc>
      </w:tr>
      <w:tr>
        <w:trPr>
          <w:trHeight w:val="283"/>
        </w:trPr>
        <w:tc>
          <w:tcPr>
            <w:tcW w:w="672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Kevin D. Freeman</w:t>
            </w:r>
            <w:r>
              <w:rPr>
                <w:rFonts w:ascii="Times New Roman" w:cs="Times New Roman" w:eastAsia="Times New Roman" w:hAnsi="Times New Roman"/>
                <w:sz w:val="29"/>
                <w:szCs w:val="29"/>
                <w:color w:val="auto"/>
                <w:vertAlign w:val="superscript"/>
              </w:rPr>
              <w:t>(1)(2)(3)</w:t>
            </w:r>
          </w:p>
        </w:tc>
        <w:tc>
          <w:tcPr>
            <w:tcW w:w="6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88"/>
              </w:rPr>
              <w:t>64</w:t>
            </w:r>
          </w:p>
        </w:tc>
        <w:tc>
          <w:tcPr>
            <w:tcW w:w="10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4"/>
              </w:rPr>
              <w:t>2011</w:t>
            </w:r>
          </w:p>
        </w:tc>
      </w:tr>
      <w:tr>
        <w:trPr>
          <w:trHeight w:val="243"/>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6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88"/>
              </w:rPr>
              <w:t>55</w:t>
            </w:r>
          </w:p>
        </w:tc>
        <w:tc>
          <w:tcPr>
            <w:tcW w:w="10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4"/>
              </w:rPr>
              <w:t>2017</w:t>
            </w:r>
          </w:p>
        </w:tc>
      </w:tr>
      <w:tr>
        <w:trPr>
          <w:trHeight w:val="284"/>
        </w:trPr>
        <w:tc>
          <w:tcPr>
            <w:tcW w:w="672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Gilbert S. Omenn, M.D., Ph.D.</w:t>
            </w:r>
            <w:r>
              <w:rPr>
                <w:rFonts w:ascii="Times New Roman" w:cs="Times New Roman" w:eastAsia="Times New Roman" w:hAnsi="Times New Roman"/>
                <w:sz w:val="29"/>
                <w:szCs w:val="29"/>
                <w:color w:val="auto"/>
                <w:vertAlign w:val="superscript"/>
              </w:rPr>
              <w:t>(2)</w:t>
            </w:r>
          </w:p>
        </w:tc>
        <w:tc>
          <w:tcPr>
            <w:tcW w:w="6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88"/>
              </w:rPr>
              <w:t>84</w:t>
            </w:r>
          </w:p>
        </w:tc>
        <w:tc>
          <w:tcPr>
            <w:tcW w:w="10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4"/>
              </w:rPr>
              <w:t>2014</w:t>
            </w:r>
          </w:p>
        </w:tc>
      </w:tr>
      <w:tr>
        <w:trPr>
          <w:trHeight w:val="283"/>
        </w:trPr>
        <w:tc>
          <w:tcPr>
            <w:tcW w:w="672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Marc Rubin, M.D.</w:t>
            </w:r>
            <w:r>
              <w:rPr>
                <w:rFonts w:ascii="Times New Roman" w:cs="Times New Roman" w:eastAsia="Times New Roman" w:hAnsi="Times New Roman"/>
                <w:sz w:val="29"/>
                <w:szCs w:val="29"/>
                <w:color w:val="auto"/>
                <w:vertAlign w:val="superscript"/>
              </w:rPr>
              <w:t>(3)</w:t>
            </w:r>
          </w:p>
        </w:tc>
        <w:tc>
          <w:tcPr>
            <w:tcW w:w="6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88"/>
              </w:rPr>
              <w:t>70</w:t>
            </w:r>
          </w:p>
        </w:tc>
        <w:tc>
          <w:tcPr>
            <w:tcW w:w="10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4"/>
              </w:rPr>
              <w:t>2011</w:t>
            </w:r>
          </w:p>
        </w:tc>
      </w:tr>
      <w:tr>
        <w:trPr>
          <w:trHeight w:val="283"/>
        </w:trPr>
        <w:tc>
          <w:tcPr>
            <w:tcW w:w="672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Elissa J. Schwartz, Ph.D.</w:t>
            </w:r>
            <w:r>
              <w:rPr>
                <w:rFonts w:ascii="Times New Roman" w:cs="Times New Roman" w:eastAsia="Times New Roman" w:hAnsi="Times New Roman"/>
                <w:sz w:val="29"/>
                <w:szCs w:val="29"/>
                <w:color w:val="auto"/>
                <w:vertAlign w:val="superscript"/>
              </w:rPr>
              <w:t>(3)</w:t>
            </w:r>
          </w:p>
        </w:tc>
        <w:tc>
          <w:tcPr>
            <w:tcW w:w="6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88"/>
              </w:rPr>
              <w:t>55</w:t>
            </w:r>
          </w:p>
        </w:tc>
        <w:tc>
          <w:tcPr>
            <w:tcW w:w="10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4"/>
              </w:rPr>
              <w:t>2020</w:t>
            </w:r>
          </w:p>
        </w:tc>
      </w:tr>
      <w:tr>
        <w:trPr>
          <w:trHeight w:val="243"/>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6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88"/>
              </w:rPr>
              <w:t>76</w:t>
            </w:r>
          </w:p>
        </w:tc>
        <w:tc>
          <w:tcPr>
            <w:tcW w:w="10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4"/>
              </w:rPr>
              <w:t>2019</w:t>
            </w:r>
          </w:p>
        </w:tc>
      </w:tr>
      <w:tr>
        <w:trPr>
          <w:trHeight w:val="23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Richard E. Uihlein, Chairman</w:t>
            </w:r>
          </w:p>
        </w:tc>
        <w:tc>
          <w:tcPr>
            <w:tcW w:w="6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88"/>
              </w:rPr>
              <w:t>80</w:t>
            </w:r>
          </w:p>
        </w:tc>
        <w:tc>
          <w:tcPr>
            <w:tcW w:w="10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4"/>
              </w:rPr>
              <w:t>2017</w:t>
            </w:r>
          </w:p>
        </w:tc>
      </w:tr>
      <w:tr>
        <w:trPr>
          <w:trHeight w:val="274"/>
        </w:trPr>
        <w:tc>
          <w:tcPr>
            <w:tcW w:w="6720" w:type="dxa"/>
            <w:vAlign w:val="bottom"/>
            <w:shd w:val="clear" w:color="auto" w:fill="CCEEFF"/>
          </w:tcPr>
          <w:p>
            <w:pPr>
              <w:spacing w:after="0" w:line="274" w:lineRule="exact"/>
              <w:rPr>
                <w:sz w:val="20"/>
                <w:szCs w:val="20"/>
                <w:color w:val="auto"/>
              </w:rPr>
            </w:pPr>
            <w:r>
              <w:rPr>
                <w:rFonts w:ascii="Times New Roman" w:cs="Times New Roman" w:eastAsia="Times New Roman" w:hAnsi="Times New Roman"/>
                <w:sz w:val="18"/>
                <w:szCs w:val="18"/>
                <w:color w:val="auto"/>
              </w:rPr>
              <w:t>Richard A. Zordani</w:t>
            </w:r>
            <w:r>
              <w:rPr>
                <w:rFonts w:ascii="Times New Roman" w:cs="Times New Roman" w:eastAsia="Times New Roman" w:hAnsi="Times New Roman"/>
                <w:sz w:val="29"/>
                <w:szCs w:val="29"/>
                <w:color w:val="auto"/>
                <w:vertAlign w:val="superscript"/>
              </w:rPr>
              <w:t>(1)</w:t>
            </w:r>
          </w:p>
        </w:tc>
        <w:tc>
          <w:tcPr>
            <w:tcW w:w="6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88"/>
              </w:rPr>
              <w:t>53</w:t>
            </w:r>
          </w:p>
        </w:tc>
        <w:tc>
          <w:tcPr>
            <w:tcW w:w="10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4"/>
              </w:rPr>
              <w:t>2020</w:t>
            </w:r>
          </w:p>
        </w:tc>
      </w:tr>
      <w:tr>
        <w:trPr>
          <w:trHeight w:val="54"/>
        </w:trPr>
        <w:tc>
          <w:tcPr>
            <w:tcW w:w="67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audit committee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compensation committee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nominating and governance committee</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Gilbert F. Amelio, Ph.D</w:t>
      </w:r>
      <w:r>
        <w:rPr>
          <w:rFonts w:ascii="Times New Roman" w:cs="Times New Roman" w:eastAsia="Times New Roman" w:hAnsi="Times New Roman"/>
          <w:sz w:val="18"/>
          <w:szCs w:val="18"/>
          <w:color w:val="auto"/>
        </w:rPr>
        <w:t>., a director since February 2009, began his career at Bell Labs in Murray Hill,</w:t>
      </w:r>
    </w:p>
    <w:p>
      <w:pPr>
        <w:spacing w:after="0" w:line="29" w:lineRule="exact"/>
        <w:rPr>
          <w:sz w:val="20"/>
          <w:szCs w:val="20"/>
          <w:color w:val="auto"/>
        </w:rPr>
      </w:pPr>
    </w:p>
    <w:p>
      <w:pPr>
        <w:ind w:left="300" w:right="379"/>
        <w:spacing w:after="0" w:line="251" w:lineRule="auto"/>
        <w:rPr>
          <w:sz w:val="20"/>
          <w:szCs w:val="20"/>
          <w:color w:val="auto"/>
        </w:rPr>
      </w:pPr>
      <w:r>
        <w:rPr>
          <w:rFonts w:ascii="Times New Roman" w:cs="Times New Roman" w:eastAsia="Times New Roman" w:hAnsi="Times New Roman"/>
          <w:sz w:val="18"/>
          <w:szCs w:val="18"/>
          <w:color w:val="auto"/>
        </w:rPr>
        <w:t>New Jersey. Since January 1, 2012, Dr. Amelio has provided consulting and advisory services through GFA, LLC, a California limited liability company. He was a Senior Partner of Sienna Ventures (a privately held venture capital firm in Sausalito, California) from April 2001 until the fund closed per plan on December 31, 2011. Dr. Amelio was Chairman and Chief Executive Officer of Jazz Technologies, Inc. (now a wholly owned subsidiary of Tower Semiconductor Ltd., an independent specialty wafer foundry) from August 2005 until his retirement in September 2008 (when he was named Chairman Emeritus). Dr. Amelio was Chairman and Chief Executive Officer of Beneventure Capital, LLC (a full-service venture capital firm in San Francisco, California) from 1999 to 2005 and was Principal of Aircraft Ventures, LLC (a consulting firm in Newport Beach, California) from April 1997 to December 2004. Dr. Amelio was elected a Director of AT&amp;T in February 2001 and had previously served as an Advisory Director of AT&amp;T (then known as SBC Communications Inc.) from April 1997 to February 2001. He served as a Director of Pacific Telesis Group from 1995 until the company was acquired by AT&amp;T in 1997. Prior to 1997, he served as Chairman, President and CEO of National Semiconductor (1991-1996) and Apple Computer (1996-1997). We believe Dr. Amelio’s qualifications to sit on our Board of Directors include his executive leadership and management experience, as well as his extensive experience with global companies, his financial expertise and his years of experience providing strategic advisory services to organizations.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Dr. Benjamin S. Carson, Sr., </w:t>
      </w:r>
      <w:r>
        <w:rPr>
          <w:rFonts w:ascii="Times New Roman" w:cs="Times New Roman" w:eastAsia="Times New Roman" w:hAnsi="Times New Roman"/>
          <w:sz w:val="18"/>
          <w:szCs w:val="18"/>
          <w:color w:val="auto"/>
        </w:rPr>
        <w:t>a director since 2023. Dr. Carson served as the 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Secretary of the</w:t>
      </w:r>
    </w:p>
    <w:p>
      <w:pPr>
        <w:ind w:left="300" w:right="339"/>
        <w:spacing w:after="0" w:line="251" w:lineRule="auto"/>
        <w:rPr>
          <w:sz w:val="20"/>
          <w:szCs w:val="20"/>
          <w:color w:val="auto"/>
        </w:rPr>
      </w:pPr>
      <w:r>
        <w:rPr>
          <w:rFonts w:ascii="Times New Roman" w:cs="Times New Roman" w:eastAsia="Times New Roman" w:hAnsi="Times New Roman"/>
          <w:sz w:val="18"/>
          <w:szCs w:val="18"/>
          <w:color w:val="auto"/>
        </w:rPr>
        <w:t>U.S. Department of Housing and Urban Development (“HUD”) from 2017 to 2021. Dr. Carson is a world-renowned neurosurgeon who prior to serving as HUD Secretary was involved with more than 15,000 surgical procedures and was the recipient of numerous awards, including the Presidential Medal of Freedom, more than 70 honorary doctorate degrees and the Spingarn Medal, the NAACP’s highest honor. Dr. Carson serves on the Board of Directors for D.R. Horton, Inc. (NYSE: DHI), Covenant Logistics Group, Inc. (NASDAQ: CVLG), and Sinclair Broadcast Group, Inc. (NASDAQ: SBGI). In addition, Dr. Carson previously served on the Board of Directors of both The Kellogg Company (NYSE: K) and Costco Wholesale Corporation (NASDAQ: COST). Dr. Carson is the founder and current Chairman of the American Cornerstone Institute. Dr. Carson is on the Board of Directors of the Carson Scholars Fund, an organization he and his wife, Mrs. Candy Carson, founded in 1994. Throughout his distinguished career, Dr. Carson contributed to the field of medicine through the thousands of surgeries he performed and the many leadership positions he held, including serving as Director of the Division of Pediatric Neurosurgery at The Johns Hopkins Medical Institutions from 1984 to 2013 as well a Professor of Neurological Surgery, Oncology, Plastic Surgery, and Pediatrics at The Johns Hopkins Medical Institutions from 1999 to 2013. The Board believes that Dr. Carson’s extensive medical, management, director, leadership, financial, and information security experience make him highly qualified to serve as a member of our Board.</w:t>
      </w:r>
    </w:p>
    <w:p>
      <w:pPr>
        <w:spacing w:after="0" w:line="7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Kary Eldred, </w:t>
      </w:r>
      <w:r>
        <w:rPr>
          <w:rFonts w:ascii="Times New Roman" w:cs="Times New Roman" w:eastAsia="Times New Roman" w:hAnsi="Times New Roman"/>
          <w:sz w:val="18"/>
          <w:szCs w:val="18"/>
          <w:color w:val="auto"/>
        </w:rPr>
        <w:t>is a director since 2018 and Chief Investment Officer for the Living Stones Foundation since July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2015 and has been an active private equity investor for many years. In these capacities, he serves and has served on a number of corporate boards of companies with potential for and driving toward initial public offerings and is currently serving as a board member in Buy It Installed (since 2017), Babywise and Wise King Media (since 2015). Kary Eldred also served on the board and audit committee of GCT Semiconductor. From January 2011 through October 2014, Mr. Eldred was CEO &amp; Chairman of Altadona, S.A. a software integration company based in Europe and prior to that was a principal in Parakletos Ventures, an institutional venture capital firm with several investments in companies that went on to be acquired or become publicly listed on different exchanges around the world including the NASDAQ, KOSDAQ and the GEM market. Mr. Eldred has an Executive MBA from IE Business School and a BA in Foreign Service from Baylor University. We believe that Mr. Eldred’s qualifications to sit on our board include his experience serving on boards of several companies and experience in venture capital and private equity investing.</w:t>
      </w:r>
    </w:p>
    <w:p>
      <w:pPr>
        <w:spacing w:after="0" w:line="82"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Kevin D. Freeman, </w:t>
      </w:r>
      <w:r>
        <w:rPr>
          <w:rFonts w:ascii="Times New Roman" w:cs="Times New Roman" w:eastAsia="Times New Roman" w:hAnsi="Times New Roman"/>
          <w:sz w:val="18"/>
          <w:szCs w:val="18"/>
          <w:color w:val="auto"/>
        </w:rPr>
        <w:t>a director since May 2011, holds the Chartered Financial Analyst designation and is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of Cross Consulting and Services, LLC, an investment advisory and consulting firm founded in 2004. He is also author of a New York Times best-selling book about the stock market and economy and the host of a television program (Economic War Room with Kevin Freeman) that airs on BlazeTV. Formerly he was Chairman of Separate Account Solutions, Inc. and held several offices at Franklin Templeton Investment Services from 1991 to 2000. He holds a B.S. in business administration from University of Tulsa, Tulsa, Oklahoma. We believe Mr. Freeman’s qualifications to sit on our Board of Directors include his extensive financial expertise and his years of experience providing financial advisory services.</w:t>
      </w:r>
    </w:p>
    <w:p>
      <w:pPr>
        <w:spacing w:after="0" w:line="77"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Joel Lewis, </w:t>
      </w:r>
      <w:r>
        <w:rPr>
          <w:rFonts w:ascii="Times New Roman" w:cs="Times New Roman" w:eastAsia="Times New Roman" w:hAnsi="Times New Roman"/>
          <w:sz w:val="18"/>
          <w:szCs w:val="18"/>
          <w:color w:val="auto"/>
        </w:rPr>
        <w:t>a director since 2017, became our President and Chief Executive Officer on September 2,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he was the Managing Director of Shareholder Services at Uline, Inc. (a distributor of shipping, packaging and industrial supplies), a position he held from 2007 through 2019. Mr. Lewis is a financial executive with over 26 years of experience started his career in public accounting in 1992. Prior to his employment with Uline Inc., Mr. Lewis served as a Tax and Accounting Manager for Century America LLC from 2001 to 2006 and a Tax Manager for Deloitte &amp; Touche from 1998 to 2001. After spending a decade in public accounting where he specialized in both financial reporting and taxation, Mr. Lewis migrated to privately held companies focusing on high-net-worth family businesses. Mr. Lewis has a wide range of expertise including working in a variety of industries and disciplines including taxation, restructuring, acquisition and private equity ventures. Mr. Lewis is a registered CPA in the state of Illinois. He holds a B.S. in Accountancy from the University of Illinois and a Masters in Taxation from DePaul University. We believe that Mr. Lewis’ qualifications to sit on our Board include his business and financial expertise and his service as a board observer on our Board during 2017.</w:t>
      </w:r>
    </w:p>
    <w:p>
      <w:pPr>
        <w:spacing w:after="0" w:line="82"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Gilbert S. Omenn, M.D., Ph.D.</w:t>
      </w:r>
      <w:r>
        <w:rPr>
          <w:rFonts w:ascii="Times New Roman" w:cs="Times New Roman" w:eastAsia="Times New Roman" w:hAnsi="Times New Roman"/>
          <w:sz w:val="18"/>
          <w:szCs w:val="18"/>
          <w:color w:val="auto"/>
        </w:rPr>
        <w:t>, a director since September 2014, served on the board of directors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Amgen Inc. for 27 years and of Rohm &amp; Haas Company for 22 years. He currently serves on the boards of Oncofusion Therapeutics and MedsynBio LLC of Ann Arbor, MI. Dr. Omenn is the Harold T. Shapiro Distinguished University Professor of Computational Medicine &amp; Bioinformatics, Internal Medicine,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Human Genetics, and Public Health and Director of the university-wide Center for Computational Medicine and Bioinformatics at the University of Michigan. Dr. Omenn served as executive vice president for medical affairs and as chief executive officer of the University of Michigan Health System from 1997 to 2002. Prior, he was dean of the School of Public Health and Community Medicine and professor of medicine and a Howard Hughes Medical Institute investigator at the University of Washington and Member of the Fred Hutchinson Cancer Research Center. Earlier he was Associate Director of the White House Office of Science and Technology Policy and of the Office of Management and Budget. He is the author of 600 research papers and scientific reviews and author/editor of 18 books. Dr. Omenn received his B.A. summa cum laude from Princeton University, M.D. magna cum laude from Harvard Medical School, and Ph.D. in genetics from the University of Washington. We believe Dr. Omenn’s qualifications to sit on our Board of Directors include his extensive executive leadership and management experience in the medical industry and his continuing cutting-edge research.</w:t>
      </w:r>
    </w:p>
    <w:p>
      <w:pPr>
        <w:spacing w:after="0" w:line="82"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Marc Rubin, M.D, </w:t>
      </w:r>
      <w:r>
        <w:rPr>
          <w:rFonts w:ascii="Times New Roman" w:cs="Times New Roman" w:eastAsia="Times New Roman" w:hAnsi="Times New Roman"/>
          <w:sz w:val="18"/>
          <w:szCs w:val="18"/>
          <w:color w:val="auto"/>
        </w:rPr>
        <w:t>a director since October 2011 and Chairman of the Board from January 2016 through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is Executive Chairman of the Board of Directors of Titan Pharmaceuticals, Inc. (TTNP: OTC BB) and served as its President and Chief Executive Officer from October 2007 to January 2009. Until February 2007, Dr. Rubin served as Head of Global Research and Development for Bayer Schering Pharma, as well as a member of the Executive Committee of Bayer Healthcare and the Board of Management of Bayer Schering Pharma. Prior to the merger of Bayer Pharmaceuticals and Schering AG in June 2006, Dr. Rubin was a member of the Executive Board of Schering AG since joining the company in October 2003, as well as Chairman of Schering Berlin Inc. and President of Berlex Pharmaceuticals, a division of Schering AG. From 1990 until August 2003, Dr. Rubin was employed by GlaxoSmithKline where he held positions of responsibility in global clinical and commercial development overseeing programs in the United States, Europe, Asia and Latin America. From 2001 through 2003 at GlaxoSmithKline, he was Senior Vice President of Global Clinical Pharmacology &amp; Discovery Medicine. Dr. Rubin holds an M.D. from Cornell University Medical College and is board certified in internal medicine with subspecialties in medical oncology and infectious diseases. Dr. Rubin is a member of the Board of Directors of Curis Inc. (Nasdaq: CRIS) and formerly served on the Board of Directors of Medarex, Inc., now a subsidiary of Bristol-Myers Squibb Company. We believe Dr. Rubin’s qualifications to sit on our Board of Directors include his extensive executive leadership and management experience in the pharmaceutical industry.</w:t>
      </w:r>
    </w:p>
    <w:p>
      <w:pPr>
        <w:spacing w:after="0" w:line="87"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Elissa J. Schwartz, Ph.D., </w:t>
      </w:r>
      <w:r>
        <w:rPr>
          <w:rFonts w:ascii="Times New Roman" w:cs="Times New Roman" w:eastAsia="Times New Roman" w:hAnsi="Times New Roman"/>
          <w:sz w:val="18"/>
          <w:szCs w:val="18"/>
          <w:color w:val="auto"/>
        </w:rPr>
        <w:t>a director appointed by the board in September 2020, is a disease modeler who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a professor of biological sciences and mathematics at Washington State University (WSU). She received a PhD in Biomedical Sciences from Mount Sinai–NYU, a BA in Mathematics from UC Berkeley, and interdisciplinary postdoctoral training in Biomathematics and Biostatistics from UCLA. She is also affiliated with the WSU College of Veterinary Medicine in microbiology and pathology. Dr. Schwartz is the author of over 40 scientific publications on infectious disease, the immune response, and biological modeling. She has served on the Board of Directors for the Society for Mathematical Biology, and she previously consulted for Pharmerit International, LP, a pharmaceutical economics company. Dr. Schwartz has held fellowships with the Mathematical Biosciences Institute (Ohio State University) and the African Institute for Mathematical Sciences (Cape Town, South Africa), and she served on the teaching faculty for courses in British Columbia, India, and Nepal. We believe Dr. Schwartz’ qualifications to sit on our Board of Directors include her extensive expertise in biomathematics and biostatistics in the pharmaceutical industry.</w:t>
      </w:r>
    </w:p>
    <w:p>
      <w:pPr>
        <w:spacing w:after="0" w:line="82" w:lineRule="exact"/>
        <w:rPr>
          <w:sz w:val="20"/>
          <w:szCs w:val="20"/>
          <w:color w:val="auto"/>
        </w:rPr>
      </w:pPr>
    </w:p>
    <w:p>
      <w:pPr>
        <w:ind w:left="300" w:right="37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Harold Shlevin, Ph.D., </w:t>
      </w:r>
      <w:r>
        <w:rPr>
          <w:rFonts w:ascii="Times New Roman" w:cs="Times New Roman" w:eastAsia="Times New Roman" w:hAnsi="Times New Roman"/>
          <w:sz w:val="18"/>
          <w:szCs w:val="18"/>
          <w:color w:val="auto"/>
        </w:rPr>
        <w:t>retired from being our President and Chief Executive Officer on September 2, 2020,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 he had held since June 14, 2018; however, Dr. Shlevin has entered into a consulting agreement with the Company which ran through December 31, 2021. Dr. Shlevin previously served as our Chief Operating Officer and Secretary from October 1, 2012. Dr. Shlevin previously had been employed at the Georgia Institute of Technology’s Advanced Technology Development Center as Principle and Manager of bioscience commercialization efforts since November 2009, where he has assisted faculty in identifying technology worthy of commercialization, catalyzed formation of new start-up bioscience companies, and mentored new company management. From October 2008 to November 2009, he served as Head of Operations and Commercial Development for Altea Therapeutics Corporation, an advanced drug delivery company focused on the delivery of therapeutic levels of water-soluble biotherapeutics and small drugs through the skin. At Altea, he was responsible for pharmaceutical research and development, clinical research, regulatory affairs, engineering, clinical and commercial manufacturing, quality assurance, information technology, facility operations and finance. From July 2006 to September 2008, Dr. Shlevin served as the President and Chief Executive Officer of Tikvah Therapeutics, Inc., a start-up pharmaceutical enterprise focused on later-stage development of neuroscience therapeutics. From May 2000 to January 2006, he served as President and CEO of Solvay Pharmaceuticals, Inc.</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(US). In January 2006, he was promoted to a global senior Vice President role within Solvay Pharmaceuticals, SA and member of the Board of Solvay Pharmaceuticals, SA. Previously, Dr. Shlevin served on the Board of Directors of Cardiome Pharma Corporation (NASDAQ: CRME), now known as Correvio Pharma Corp. (NASDAQ: CORV) from 2004 to June 2016. He was Chair of the Compensation Committee and member of the Corporate Governance Committee and Audit Committees. Dr. Shlevin currently serves on the Board of Directors of Moonlight Therapeutics. We believe Dr. Shlevin’s qualifications to sit on our Board of Directors include his extensive executive leadership and management experience in the pharmaceutical industry.</w:t>
      </w:r>
    </w:p>
    <w:p>
      <w:pPr>
        <w:spacing w:after="0" w:line="79" w:lineRule="exact"/>
        <w:rPr>
          <w:sz w:val="20"/>
          <w:szCs w:val="20"/>
          <w:color w:val="auto"/>
        </w:rPr>
      </w:pPr>
    </w:p>
    <w:p>
      <w:pPr>
        <w:ind w:left="300" w:right="3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Richard E. Uihlein, </w:t>
      </w:r>
      <w:r>
        <w:rPr>
          <w:rFonts w:ascii="Times New Roman" w:cs="Times New Roman" w:eastAsia="Times New Roman" w:hAnsi="Times New Roman"/>
          <w:sz w:val="18"/>
          <w:szCs w:val="18"/>
          <w:color w:val="auto"/>
        </w:rPr>
        <w:t>a director since 2017 and Chairman since May 2018, co-founded Uline, Inc. (a leading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 of shipping, packaging and industrial supplies) in 1980, and has served as its Chief Executive Officer and Chairman since its founding. Prior to founding Uline Inc., Mr. Uihlein was employed at General Bindings Corp., Northbrook, IL from 1967 to 1980. Mr. Uihlein graduated from Stanford University, Palo Alto, CA. with a BA degree in history in 1967. We believe Mr. Uihlein’s qualifications to sit on our Board include his extensive executive leadership and management experience.</w:t>
      </w:r>
    </w:p>
    <w:p>
      <w:pPr>
        <w:spacing w:after="0" w:line="74"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Richard A. Zordani, </w:t>
      </w:r>
      <w:r>
        <w:rPr>
          <w:rFonts w:ascii="Times New Roman" w:cs="Times New Roman" w:eastAsia="Times New Roman" w:hAnsi="Times New Roman"/>
          <w:sz w:val="18"/>
          <w:szCs w:val="18"/>
          <w:color w:val="auto"/>
        </w:rPr>
        <w:t>a director appointed by the board in September 2020, has been the Director of Shareholder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at Uline, Inc. (a distributor of shipping, packaging and industrial supplies) since 2013. Prior to joining Uline, Mr. Zordani served as a Director and Vice President for Diversified Financial Management Corp. (Pritzker family office) where he advised on complex legal and tax structures for domestic and foreign entities and trusts from 2003 through 2013 and an Audit Manager for Altschuler, Melvoin &amp; Glasser LLP (now RSM McGladrey) from 1996 through 2003. Mr. Zordani received his undergraduate degree from the University of Illinois at Urbana/Champaign and is a Registered CPA in the state of Illinois. We believe that Mr. Zordani’s qualifications to sit on our Board include his business and financial expertise.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Joel Lewis, </w:t>
      </w:r>
      <w:r>
        <w:rPr>
          <w:rFonts w:ascii="Times New Roman" w:cs="Times New Roman" w:eastAsia="Times New Roman" w:hAnsi="Times New Roman"/>
          <w:sz w:val="18"/>
          <w:szCs w:val="18"/>
          <w:color w:val="auto"/>
        </w:rPr>
        <w:t>see above under Nominees.</w:t>
      </w:r>
    </w:p>
    <w:p>
      <w:pPr>
        <w:spacing w:after="0" w:line="117"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Jack W. Callicutt, </w:t>
      </w:r>
      <w:r>
        <w:rPr>
          <w:rFonts w:ascii="Times New Roman" w:cs="Times New Roman" w:eastAsia="Times New Roman" w:hAnsi="Times New Roman"/>
          <w:sz w:val="18"/>
          <w:szCs w:val="18"/>
          <w:color w:val="auto"/>
        </w:rPr>
        <w:t>age 58, became our Chief Financial Officer on July 1, 2013. From August 2012 through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Mr. Callicutt was the Chief Financial Officer of REACH Health, Inc., a telemedicine technology company headquartered in Alpharetta, GA. From April 2010 through August 2012, Mr. Callicutt was the Chief Financial Officer of Vystar Corporation, a publicly traded company that holds proprietary technology to remove antigenic proteins from natural rubber latex. Prior to that Mr. Callicutt was Chief Financial Officer of IVOX, Inc., Tikvah Therapeutics and Corautus Genetics, a publicly traded biotechnology company which was developing gene therapy for the treatment of cardiovascular disease. Mr. Callicutt previously spent more than fourteen years in public accounting, most recently as a senior manager at Deloitte, where he specialized in technology companies from 1989 to 2003. Mr. Callicutt is a Certified Public Accountant and graduated with honors from Delta State University with a B.B.A. in accounting and computer information systems.</w:t>
      </w:r>
    </w:p>
    <w:p>
      <w:pPr>
        <w:spacing w:after="0" w:line="77"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Khurram Jamil, M.D</w:t>
      </w:r>
      <w:r>
        <w:rPr>
          <w:rFonts w:ascii="Times New Roman" w:cs="Times New Roman" w:eastAsia="Times New Roman" w:hAnsi="Times New Roman"/>
          <w:sz w:val="18"/>
          <w:szCs w:val="18"/>
          <w:color w:val="auto"/>
        </w:rPr>
        <w:t>. age 50, become the Company’s Chief Medical Officer on August 1, 2024.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joining the Company, Dr. Jamil was employed at Mallinckrodt Pharmaceuticals from July 2015 to February 2024, where he was Vice President Hepatology and led the development teams that achieved approval of two compounds in the U.S. and Japan, conducted trials in liver cirrhosis and its complications, and designed and executed the largest trial in Hepatorenal Syndrome. Earlier in his career he held positions in medical affairs in Ikaria Inc and Organon Pharmaceuticals USA where he led successful launches of first-in-class therapies and developed strategies to assess disease burden, cost-effectiveness, and value proposition of approved drugs in new therapeutic areas. He holds 7 patents, has given over 95 poster and oral presentations and published over 40 manuscripts, including in the prestigious New England Journal of Medicine. Dr. Jamil is board certified in General Surgery. He completed his residency in Seaton Hall University, NJ, and earned his M.B.B.S. from King Edward Medical University at Lahore, Pakistan.</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We believe that good corporate governance is important to ensure that Galectin Therapeutics is managed for the long-term benefit of our stockholders. Our Board of Directors is responsible for establishing our corporate policies and overseeing the management of the Company. Senior management, including our President and Chief Executive Officer, Chief Medical Officer and Chief Financial Officer, are responsible for our day-to-day operations. The Board evaluates our corporate performance and approves, among other things, corporate strategies, objectives, operating plans, significant policies and major commitments of corporate resources. The Board also evaluates and elects our executive officers and determines their compensation.</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1"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Our Board has a standing Audit Committee, Compensation Committee, and Nominating and Corporate Governance Committee. From time to time, the Board may also create various ad hoc committees for special purposes. The membership during the last fiscal year and the function of each of the Audit, Compensation, and Nominating and Corporate Governance committees are described below. The Board has determined that all of the members of each of the Audit, Compensation, and Nominating and Corporate Governance Committees are independent as defined under the rules of the NASDAQ Stock Market, including, in the case of all members of the Audit Committee, the independence requirements contemplated by Rule 10A-3 under the Exchange Act. The charters of each of the Audit Committee, the Compensation Committee, the Nominating and Corporate Governance Committee are available on the Company’s website at </w:t>
      </w:r>
      <w:r>
        <w:rPr>
          <w:rFonts w:ascii="Times New Roman" w:cs="Times New Roman" w:eastAsia="Times New Roman" w:hAnsi="Times New Roman"/>
          <w:sz w:val="18"/>
          <w:szCs w:val="18"/>
          <w:u w:val="single" w:color="auto"/>
          <w:color w:val="auto"/>
        </w:rPr>
        <w:t>www.galectintherapeutics.com</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The Compensation Committee met once in 2024. Dr. Gilbert S. Omenn (chair), Gilbert F. Amelio, Ph.D. and Kevin F. Freeman are the members of the Compensation Committee. The Committee is responsible for reviewing and recommending compensation policies and programs, management and corporate goals, as well as salary and benefit levels for our executive officers and other significant employees. Its responsibilities include supervision and oversight of the administration of our incentive compensation and stock programs. As such, the Compensation Committee is responsible for the administration of grants and awards to directors, officers, employees, consultants and advisors under our equity plan.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Audit Committee met 4 times in 2024. The members of this committee are Richard A. Zordani (chair), Kary Eldred and Kevin D. Freeman. The Audit Committee is responsible for oversight of the quality and integrity of the accounting, auditing and reporting practices of Galectin Therapeutics.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 (v) the audit, accounting and financial reporting processes generally. The Committee is also responsible for review and approval of related-party transactions. The Board has determined that Mr. Zordani is an “audit committee financial expert” within the meaning of SEC rules. The Audit Committee has the authority to obtain advice and assistance from, and receive appropriate funding from the Company for, outside legal, accounting or other advisors as it deems necessary to carry out its duties.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met once in 2024. Gilbert F. Amelio, Ph.D. (chair), Marc Rubin, Kevin Freeman and Elissa Schwartz are the members of the Nominating and Corporate Governance Committee. The Nominating and Corporate Governance Committee is responsible for identifying individuals qualified to become members of the Board, recommending candidates for election or re-election as directors to the Board, and reviewing our governance policies in light of the corporate governance rules of the SEC. Under its charter, the Nominating and Corporate Governance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Nominating and Corporate Governance Committee believes candidates for the Board should have the ability to exercise objectivity and independence in making informed business decisions; extensive knowledge, experience and judgment; the highest integrity; loyalty to the interests of Galectin Therapeutics and its stockholders; a willingness to devote the extensive time necessary to fulfill a director’s duties; the ability to contribute to the diversity of perspectives present in board deliberations, and an appreciation of the role of the corporation in society. The Committee will consider candidates meeting these criteria who are suggested by directors, management, stockholders and other advisers hired to identify and evaluate qualified candidates. This committee also monitors the ethical behavior of our employees, officers and directors.</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Determination of Director Independence</w:t>
      </w:r>
    </w:p>
    <w:p>
      <w:pPr>
        <w:spacing w:after="0" w:line="121"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Our board of directors has reviewed the materiality of any relationship that each of our directors has with the Company, either directly or indirectly. Based upon this review, our board has determined that all of our current directors and the director nominees other than Mr. Lewis and Dr. Carson are “independent directors” as defined by The NASDAQ Stock Market. Our board of directors also determined that Drs. Amelio, Rubin, and Mr. Freeman, who comprise our nominating and governance committee, all satisfy the independence standards for such committees established by the SEC and the NASDAQ Marketplace Rules, as applicable. With respect to our audit committee, our board of directors has determined that Messrs. Zordani, Freeman and Eldred satisfy the independence standards for such committee established by Rule 10A-3 under the Exchange Act, the SEC and the NASDAQ Marketplace Rules, as applicable. Furthermore, the Nominating and Corporate Governance Committee, with concurrence by the Board, has determined that Mr. Zordani is an “audit committee financial expert” within the meaning of SEC rules. With respect to our compensation committee, our board of directors has determined that Drs. Omenn and Amelio and Mr. Freeman satisfy the independence standards for such committee established by Rule 10C-1 under the Exchange Act, the SEC and the NASDAQ Marketplace Rules, as applicable.</w:t>
      </w:r>
    </w:p>
    <w:p>
      <w:pPr>
        <w:spacing w:after="0" w:line="7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In making such determinations, the board of directors considered the relationships that each such non-employee director or director nominee has with our company and all other facts and circumstances the board of directors deemed relevant in determining their independence, including the beneficial ownership of our capital stock by each non-employee director. In considering the independence of our directors, our board of directors considered the association of each such non-employee director has with us and all other facts and circumstances our board of directors deemed relevant in determining independence.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We have adopted a Code of Ethics that applies to all our directors, officers and employees. The Code of Ethics is publicly available on our website at www.galectintherapeutics.com. Amendments to the Code of Ethics and any grant of a waiver from a provision of the Code of Ethics requiring disclosure under applicable SEC rules will be disclosed on our website.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Hedging Policy</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At this time, the Company has not adopted a policy regarding the ability of officers, directors and employees to purchase financial instruments (including prepaid variable forward contracts, equity swaps, collars, and exchange funds) or otherwise engage in transactions, that hedge or offset, or are designed to hedge or offset, any decrease in the market value of the Company’s equity securities.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The SEC adopted final rules implementing the incentive-based compensation recovery provisions of the Dodd-Frank Act, and Nasdaq has adopted listing standards consistent with the SEC rules. In compliance with those standards, we have adopted an incentive compensation recoupment policy, or “clawback” policy, which applies to our executive officers, within the meaning of Section 10D of the Exchange Act and Rule 10D-1 promulgated thereunder, who were employed by the Company during the applicable recovery period. Under the policy, in the event that the financial results upon which a cash or equity-based incentive award was predicated become the subject of a financial restatement that is required because of material non-compliance with financial reporting requirements, the Compensation Committee will conduct a review of awards covered by the policy and recoup any erroneously awarded incentive-based compensation to ensure that the ultimate payout gives retroactive effect to the financial results as restated. The Company may not indemnify any such covered officer against the loss of such recovered compensation.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have an Insider Trading Policy applicable to our directors, officers, and all employees of the Company (the “Insider Trading Policy”). The Insider Trading Policy governs the purchase, sale, and/or other dispositions of our securities and prohibits purchasing or selling any of our securities while a person covered by the Insider Trading Policy is aware of material, non-public information concerning. We believe that our Insider Trading Policy is reasonably designed to promote compliance with insider trading laws, rules and regulations, and the exchange listing standards of the Nasdaq Stock Market.</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Policies with Respect to Transactions with Related Persons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and the Board have adopted a Code of Ethics, which is available at www.galectintherapeutics.com, that sets forth various policies and procedures intended to promote the ethical behavior of the Company’s employees, officers and directors. The Code of Ethics describes our policy on conflicts of interest.</w:t>
      </w:r>
    </w:p>
    <w:p>
      <w:pPr>
        <w:spacing w:after="0" w:line="72"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 executive officers and the Board are also required to complete a questionnaire on an annual basis that requires them to disclose any related person transactions and potential conflicts of interest. The responses to these questionnaires are reviewed by outside corporate counsel, and, if a transaction is reported by an independent director or executive officer, the questionnaire is submitted to the Chairperson of the Audit Committee for review. If necessary, the Audit Committee will determine whether the relationship is material and will have any effect on the director’s independence. After making such determination, the Audit Committee will report its recommendation on whether the transaction should be approved or ratified by the entire Board.</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121"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Except as set forth below, since the beginning of fiscal year 2024, we did not participate in any transactions in which any of the Company Nominees, executive officers, any beneficial owner of more than 5% of our common stock, nor any of their immediate family members, had a direct or indirect material interest.</w:t>
      </w:r>
    </w:p>
    <w:p>
      <w:pPr>
        <w:spacing w:after="0" w:line="68"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Our Audit Committee Charter requires that members of the Audit Committee, all of whom are independent directors, conduct an appropriate review of, and be responsible for the oversight of, all related party transactions on an ongoing basis. Except as set forth below, there were no related party transactions during the fiscal year ended December 31,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39" w:firstLine="360"/>
        <w:spacing w:after="0" w:line="267" w:lineRule="auto"/>
        <w:rPr>
          <w:sz w:val="20"/>
          <w:szCs w:val="20"/>
          <w:color w:val="auto"/>
        </w:rPr>
      </w:pPr>
      <w:r>
        <w:rPr>
          <w:rFonts w:ascii="Times New Roman" w:cs="Times New Roman" w:eastAsia="Times New Roman" w:hAnsi="Times New Roman"/>
          <w:sz w:val="17"/>
          <w:szCs w:val="17"/>
          <w:color w:val="auto"/>
        </w:rPr>
        <w:t>On April 16, 2021, the Company and Richard E. Uihlein entered into a debt financing arrangement whereby Mr. Uihlein loaned ten million dollars to Company. In consideration for the loan, the Company issued a convertible promissory note (the “April 2021 Note”) in the principal amount of ten million dollars. The April 2021 Note has maturity date of April 16, 2025 and is convertible into the Company’s common stock at a conversion price equal to $5.00 per share at the option of the noteholder, which was 228% of the closing price of our stock on April 16, 2021. The April 2021 Note bears interest on at the rate of two percent (2%) per annum, compounded annually, and accrues additional interest at a rate of two and one-half percent (2.5%) per quarter (the “Additional Interest”) beginning on the date of issuance of the April 2021 Note and ending on the maturity date, provided however, that such Additional Interest is payable if and only if the noteholder elects to convert the entire balance of the April 2021 Note into the Company’s common stock. On May 14, 2024, Mr. Uihlein, as holder of the April 2021 Note irrevocably elected to convert the entire principal amount of such note, plus accrued and unpaid interest, into shares of common stock of the Company at a price of $5.00 per share, effective as of April 16, 2025, which is the maturity date of the</w:t>
      </w:r>
    </w:p>
    <w:p>
      <w:pPr>
        <w:spacing w:after="0" w:line="1" w:lineRule="exact"/>
        <w:rPr>
          <w:sz w:val="20"/>
          <w:szCs w:val="20"/>
          <w:color w:val="auto"/>
        </w:rPr>
      </w:pPr>
    </w:p>
    <w:p>
      <w:pPr>
        <w:ind w:left="300" w:right="559"/>
        <w:spacing w:after="0" w:line="260" w:lineRule="auto"/>
        <w:rPr>
          <w:sz w:val="20"/>
          <w:szCs w:val="20"/>
          <w:color w:val="auto"/>
        </w:rPr>
      </w:pPr>
      <w:r>
        <w:rPr>
          <w:rFonts w:ascii="Times New Roman" w:cs="Times New Roman" w:eastAsia="Times New Roman" w:hAnsi="Times New Roman"/>
          <w:sz w:val="18"/>
          <w:szCs w:val="18"/>
          <w:color w:val="auto"/>
        </w:rPr>
        <w:t>April 2021 Note. The April 2021 Note will remain outstanding and accrue interest until maturity and no shares of common stock will be issued as a result of this election until April 16, 2025.</w:t>
      </w:r>
    </w:p>
    <w:p>
      <w:pPr>
        <w:spacing w:after="0" w:line="73"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On September 17, 2021, the Company and Richard E. Uihlein entered into an additional debt financing arrangement for $20 million whereby Mr. Uihlein loaned ten million dollars to Company upon signing the agreement with an additional ten million dollar loan to close in December 2021. In consideration for the initial loan, the Company issued a convertible promissory note (the “September 2021 Note”) in the principal amount of ten million dollars. The September 2021 Note has maturity date of September 17, 2025 and is convertible into the Company’s common stock at a conversion price equal to $8.64 per share at the option of the noteholder, which is 228% of the closing price of our stock on September 16, 2021. The September 2021 Note bears interest at the rate of two percent (2%) per annum, compounded annually, and accrues additional interest at a rate of two and one-half percent (2.5%) per quarter (the “Additional Interest”) beginning on the date of issuance of the September 2021 Note and ending on the maturity date, provided however, that such Additional Interest is payable if and only if the noteholder elects to convert the entire balance of the September 2021 Note into the Company’s common stock.</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December 20, 2021, the second of the two promissory notes under the Loan Agreement was executed and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delivered, (the “December 2021 Note”) to evidence the second loan in the principal amount of $10,000,000.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December 2021 Note has a maturity date of December 20, 2025, is prepayable at the option of the Company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whole or in part at any time and is convertible into the Company’s common stock at a conversion price equal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$5.43 per share at the option of the noteholder, and accrues additional interest at a rate of two and one-half percent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(2.5%) per quarter (the “Additional Interest”) beginning on the date of issuance of the December 2021 Note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ending on the maturity date, provided however, that such Additional Interest is payable if and only if the noteholder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elects to convert the entire balance of the December 2021 Note into the Company’s common stock.</w:t>
      </w:r>
    </w:p>
    <w:p>
      <w:pPr>
        <w:spacing w:after="0" w:line="99"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The Company had a $10 million line of credit (“Line of Credit”) arrangement with Richard E. Uihlein that was entered into in December 2017. The Line of Credit was most recently extended in January 2019 to make one or more borrowings available until December 31, 2021, with repayment due on December 31, 2022. There have been no borrowings under the Line of Credit, and it will be terminated in connection with the December 17, 2021 additional debt financing described above.</w:t>
      </w:r>
    </w:p>
    <w:p>
      <w:pPr>
        <w:spacing w:after="0" w:line="75"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On July 25, 2022, the Company and Richard E. Uihlein (the “Lender”) entered into a Line of Credit Letter Agreement (the “Credit Agreement”), pursuant to which the Lender shall provide the Company a line of credit of up to $60.00 million (the “Line of Credit”) to finance the Company’s working capital needs. The Company may draw upon the Line of Credit through July 31, 2024.</w:t>
      </w:r>
    </w:p>
    <w:p>
      <w:pPr>
        <w:spacing w:after="0" w:line="72"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Each advance made pursuant to the Credit Agreement shall be evidenced by an unsecured, convertible promissory note (individually, a “Promissory Note,” and collectively, the “Promissory Notes”), and bear interest at the Applicable Federal Rate for short term loans (then 2.84%), plus two (2%) percent. Principal and interest on the Promissory Notes are due on or before January 31, 2026. Only with the consent of the Lender, may the Promissory Notes be prepaid, in whole or in part, at any time without premium or penalty, but with interest on the amount or amounts prepaid.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72"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the Credit Agreement, the Company agreed to issue the Lender warrants to purchase up to an aggregate of 1,700,000 shares of the Company’s common stock, par value $0.001 per share (collectively, the “2022 Lender Warrants”). Upon execution of the Credit Agreement, the Company issued the Lender the 2022 Lender Warrants to purchase up to 500,000 shares of Company’s Common Stock at an exercise price of $5.00 per share, which Warrant is exercisable upon issuance. Further, pursuant to the Credit Agreement, the Company shall issue to the Lender additional 2022 Lender Warrants to purchase up to the remaining 1,200,000 shares of the Company’s common stock, ratably, upon borrowings under the Credit Agreement, with exercise prices equal to 150% of the closing price of the Company’s common Stock on the date of the Promissory Note evidencing such draw, but in no event more than $10.00 per share nor less than $3.00 per share. The 2022 Lender Warrants expire on July 31, 2029.</w:t>
      </w:r>
    </w:p>
    <w:p>
      <w:pPr>
        <w:spacing w:after="0" w:line="86"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On March 29, 2024, the Company and Richard E. Uihlein (the “Lender”) entered into a Supplemental Line of Credit Letter Agreement (the “Supplemental Credit Agreement”), pursuant to which the Lender shall provide the Company a line of credit of up to $10.0 million (the “Supplemental Line of Credit”) to finance the Company’s working capital needs. The Company may draw upon the Supplemental Line of Credit through March 31, 2025.</w:t>
      </w:r>
    </w:p>
    <w:p>
      <w:pPr>
        <w:spacing w:after="0" w:line="72"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Each advance made pursuant to the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March 31, 2026.</w:t>
      </w:r>
    </w:p>
    <w:p>
      <w:pPr>
        <w:spacing w:after="0" w:line="72"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Only with the consent of the Lender, may the Promissory Notes be prepaid, in whole or in part, at any time without premium or penalty, but with interest on the amount or amounts prepaid. 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79" w:lineRule="exact"/>
        <w:rPr>
          <w:sz w:val="20"/>
          <w:szCs w:val="20"/>
          <w:color w:val="auto"/>
        </w:rPr>
      </w:pPr>
    </w:p>
    <w:p>
      <w:pPr>
        <w:ind w:left="300" w:right="319" w:firstLine="360"/>
        <w:spacing w:after="0" w:line="274" w:lineRule="auto"/>
        <w:rPr>
          <w:sz w:val="20"/>
          <w:szCs w:val="20"/>
          <w:color w:val="auto"/>
        </w:rPr>
      </w:pPr>
      <w:r>
        <w:rPr>
          <w:rFonts w:ascii="Times New Roman" w:cs="Times New Roman" w:eastAsia="Times New Roman" w:hAnsi="Times New Roman"/>
          <w:sz w:val="17"/>
          <w:szCs w:val="17"/>
          <w:color w:val="auto"/>
        </w:rPr>
        <w:t>In connection with the Supplemental Credit Agreement, the Company agreed to issue the Lender warrants to purchase up to an aggregate of 200,000 shares of the Company’s common stock, par value $0.001 per share (collectively, the “March 2024 Lender Warrants”). The Company shall issue to the Lender the 2024 Lender Warrants ratably, upon borrowings under the Supplemental Line of Credit, with exercise prices equal to 150% of the closing price of the Company’s common Stock on the date of the Promissory Note evidencing such draw, but in no event more than $10.00 per share nor less than $3.00 per share. The March 2024 Lender Warrants expire on July 31, 2029.</w:t>
      </w:r>
    </w:p>
    <w:p>
      <w:pPr>
        <w:spacing w:after="0" w:line="65"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On November 14, 2024, the Company and Richard E. Uihlein (the “Lender”) entered into an additional Supplemental Line of Credit Letter Agreement (the “November 2024 Supplemental Credit Agreement”), pursuant to which the Lender shall provide the Company a line of credit of up to $6.0 million (the “November 2024 Supplemental Line of Credit”) to finance the Company’s working capital needs. The Company may draw upon the November 2024 Supplemental Line of Credit through March 31, 2025.</w:t>
      </w:r>
    </w:p>
    <w:p>
      <w:pPr>
        <w:spacing w:after="0" w:line="75"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Each advance made pursuant to the November 2024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March 31, 2026. Only with the consent of the Lender, may the Promissory Notes be prepaid, in whole or in part, at any time without premium or penalty, but with interest on the amount or amounts prepaid.</w:t>
      </w:r>
    </w:p>
    <w:p>
      <w:pPr>
        <w:spacing w:after="0" w:line="79"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In connection with the November 2024 Supplemental Credit Agreement, the Company agreed to issue the Lender warrants to purchase up to an aggregate of 120,000 shares of the Company’s common stock, par value $0.001 per share (collectively, the “November 2024 Lender Warrants”). The Company shall issue to the Lender November 2024 Lender Warrants ratably, upon borrowings under the November 2024 Supplemental Line of Credit, with exercise prices equal to 150% of the closing price of the Company’s common Stock on the date of the Promissory Note evidencing such draw, but in no event more than $10.00 per share nor less than $3.00 per share. The November 2024 Lender Warrants expire on July 31, 2029.</w:t>
      </w:r>
    </w:p>
    <w:p>
      <w:pPr>
        <w:spacing w:after="0" w:line="8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On July 8, 2025, the Company and the “Lender entered into a Supplemental Line of Credit Letter Agreement (the “July 2025 Supplemental Credit Agreement”), pursuant to which the Lender shall provide the Company a line of credit of up to $10.0 million (the “July 2025 Supplemental Line of Credit”) to finance the Company’s working capital needs. The Company may draw upon the July 2025 Supplemental Line of Credit through April 30, 2026. Additionally, in connection with the July 2025 Supplemental Credit Agreement, the maturity dates of the Convertible Notes Payable – Related Party and all borrowings under the Convertible Lines of Credit – Related Party were extended to September 30, 2026.</w:t>
      </w:r>
    </w:p>
    <w:p>
      <w:pPr>
        <w:spacing w:after="0" w:line="8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Each advance made pursuant to the July 2025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September 30, 2026. Only with the consent of the Lender, may the Promissory Notes be prepaid, in whole or in part, at any time without premium or penalty, but with interest on the amount or amounts prepaid.</w:t>
      </w:r>
    </w:p>
    <w:p>
      <w:pPr>
        <w:spacing w:after="0" w:line="79"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72"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In connection with the July 2025 Supplemental Credit Agreement, the Company agreed to issue the Lender warrants to purchase up to an aggregate of 200,000 shares of the Company’s common stock, par value $0.001 per share (collectively, the “July 2025 Lender Warrants”). The Company shall issue to the July 2025 Lender Warrants ratably, upon borrowings under the July 2025 Supplemental Line of Credit, with exercise prices equal to 150% of the closing price of the Company’s common Stock on the date of the Promissory Note evidencing such draw, but in no event more than $10.00 per share nor less than $3.00 per share. The July 2025 Lender Warrants expire on July 31, 2029.</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None of our executive officers or directors serves as a member of the board of directors or compensation committee of any entity that has one or more of its executive officers serving as a member of our Board of Directors or Compensation Committee.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21" w:lineRule="exact"/>
        <w:rPr>
          <w:sz w:val="20"/>
          <w:szCs w:val="20"/>
          <w:color w:val="auto"/>
        </w:rPr>
      </w:pPr>
    </w:p>
    <w:p>
      <w:pPr>
        <w:jc w:val="both"/>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or Nominating Committee, is responsible for, among other things, selection of candidates for the annual slate of directors other than nominees, if any, nominated by parties that have a contractual right to nominate persons for election.</w:t>
      </w:r>
    </w:p>
    <w:p>
      <w:pPr>
        <w:spacing w:after="0" w:line="68"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When identifying and evaluating candidates, the Nominating Committee first determines whether there are any evolving needs of the Board that require an expert in a particular field. The Nominating Committee may retain a third-party search firm to assist it in locating qualified candidates that meet the needs of the Board at that time. The search firm would provide information on a number of candidates, which the Nominating Committee discusses. The Nominating Committee chair and some or all of the members of the Nominating Committee, and the Chief Executive Officer, will interview potential candidates that the Nominating Committee deems appropriate. If the Nominating Committee determines that a potential candidate meets the needs of the Board, has the qualifications, and meets the independence standards required by NASDAQ rules, it will recommend the nomination of the candidate to the Board. It is the Nominating Committee’s policy to consider director candidates recommended by stockholders, if such recommendations are properly submitted to the Company. Stockholders wishing to recommend persons for consideration by the Nominating Committee as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nominees for election to the Board can do so by writing to the Corporate Secretary of Galectin Therapeutics Inc. at 4960 Peachtree Industrial Blvd., Suite 240, Norcross, GA 30071. Recommendations must include the proposed nominee’s name, biographical data and qualifications, as well as a written statement from the proposed nominee consenting to be named and, if nominated and elected, to serve as a director. Recommendations must also follow the Company’s procedures for nomination of directors by stockholders (see the information under the subheadings “Nominating and Corporate Governance Committee” and “Criteria and Diversity”). The Nominating Committee will consider the candidate and the candidate’s qualifications in the same manner in which it evaluates nominees identified by the Nominating Committee. The Nominating Committee may contact the stockholder making the nomination to discuss the qualifications of the candidate and the stockholder’s reasons for making the nomination. The Nominating Committee may then interview the candidate if it deems the candidate to be appropriate. The Nominating Committee may use the services of a third-party search firm to provide additional information about the candidate prior to making a recommendation to the Board.</w:t>
      </w:r>
    </w:p>
    <w:p>
      <w:pPr>
        <w:spacing w:after="0" w:line="82"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The Nominating Committee’s nomination process is designed to ensure that the Nominating Committee fulfills its responsibility to recommend candidates who are properly qualified to serve the Company for the benefit of all of its stockholders, consistent with the standards established by the Nominating Committee under our corporate governance principles. The Nominating Committee did not receive any director nominee recommendations from stockholders for the 2025 Annual Meeting.</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Communication with the Board</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Board and management encourage communication from our stockholders. Stockholders who wish to communicate with our management should direct their communication to the Corporate Secretary of the Company, 4960 Peachtree Industrial Blvd., Suite 240, Norcross, GA 30071. Stockholders, or other interested parties, who wish to communicate with the non-management directors, or any individual director should direct their communication c/o the Corporate Secretary at the address above. The Secretary will forward communications intended for the Board to the Chairman of the Nominating and Corporate Governance Committee of the Board, currently Dr. Amelio, or, if intended for an individual director, to that director. If multiple communications are received on a similar topic, the Secretary may, in his or her discretion, forward only representative correspondence. Any communications that are abusive, in bad taste or present safety or security concerns may be handled differently.</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Our Board structure, which separates the positions of Chairman and Chief Executive Officer, allows the Chairman to focus on the management of the Board of Directors and the CEO to focus on the management of the Company and the research and clinical trials that it is undertaking. Independent directors and management have different perspectives and roles in strategy development. Our independent directors bring experience, oversight and expertise from outside the Company and industry. The Board believes that the separation of the roles of the Chairman and Chief Executive Officer promotes strategy development and execution, and facilitates information flow between management and the Board, which are essential to effective governance.</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Sessions</w:t>
      </w:r>
    </w:p>
    <w:p>
      <w:pPr>
        <w:spacing w:after="0" w:line="121"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Pursuant to our corporate governance principles or as required by NASDAQ rules, non-management directors of the Board meet from time to time without the presence of management. The Chairman generally chairs these sessions.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Meeting Attendance</w:t>
      </w:r>
    </w:p>
    <w:p>
      <w:pPr>
        <w:spacing w:after="0" w:line="121"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During 2024, there were 7 meetings of the Board. Each currently serving director attended at least 75% of the total meetings of the Board and committees of the Board of which the director was a member, during the time such person was a director. In addition to participation at Board and committee meetings, our directors discharge their responsibilities throughout the year through personal meetings and other communications, including considerable telephone contact with the Chairman and Chief Executive Officer and others regarding matters of interest and concern to the Company.</w:t>
      </w:r>
    </w:p>
    <w:p>
      <w:pPr>
        <w:spacing w:after="0" w:line="79"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We do not have a formal policy requiring members of the Board to attend the annual meeting, although all directors are strongly encouraged to attend. At the 2024 annual meeting of stockholders, which was held virtually online, all of the then current board members were present.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2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Board has an active role, as a whole and also at the committee level, in overseeing management of our risks. The Board regularly reviews information regarding our credit, liquidity and operations, as well as the risks associated with each. The Compensation Committee of our Board is responsible for overseeing the management of risks relating to our executive compensation plans and arrangements. The Audit Committee of our Board oversees management of financial risks. The Nominating and Corporate Governance Committee of our Board manages risks associated with the independence of the Board members and potential conflicts of interest. While each committee is responsible for evaluating certain risks and overseeing the management of such risks, the entire Board of Directors is regularly informed through committee reports about such risks.</w:t>
      </w:r>
    </w:p>
    <w:p>
      <w:pPr>
        <w:spacing w:after="0" w:line="84"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We believe that any risks arising from our policies and programs are not reasonably likely to have a material adverse effect on the Company. Our programs reflect sound risk management practices including:</w:t>
      </w:r>
    </w:p>
    <w:p>
      <w:pPr>
        <w:spacing w:after="0" w:line="54" w:lineRule="exact"/>
        <w:rPr>
          <w:sz w:val="20"/>
          <w:szCs w:val="20"/>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multiple compensation vehicles that provide a balance of long- and short-term incentives with fixed and variable components; and</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incentive awards that generally vest over several years, so while the potential compensation payable for equity incentive awards is tied directly to appreciation of our stock price, taking excessive risk for a short-term gain is discouraged because it would not maximize the value of equity incentive awards over the long-term.</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Audit Committee is responsible for providing independent, objective oversight of Galectin Therapeutics’ accounting functions and internal control over financial reporting. The Audit Committee has reviewed and discussed audited financial statements for Galectin Therapeutics with management. The Audit Committee also has discussed with Cherry Bekaert LLP the matters required to be discussed by the Statement on Auditing Standards No. 61, </w:t>
      </w:r>
      <w:r>
        <w:rPr>
          <w:rFonts w:ascii="Times New Roman" w:cs="Times New Roman" w:eastAsia="Times New Roman" w:hAnsi="Times New Roman"/>
          <w:sz w:val="18"/>
          <w:szCs w:val="18"/>
          <w:i w:val="1"/>
          <w:iCs w:val="1"/>
          <w:color w:val="auto"/>
        </w:rPr>
        <w:t xml:space="preserve">Communication With Audit Committees </w:t>
      </w:r>
      <w:r>
        <w:rPr>
          <w:rFonts w:ascii="Times New Roman" w:cs="Times New Roman" w:eastAsia="Times New Roman" w:hAnsi="Times New Roman"/>
          <w:sz w:val="18"/>
          <w:szCs w:val="18"/>
          <w:color w:val="auto"/>
        </w:rPr>
        <w:t>(as amended), which includes, among other items, matters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 of the annual audit of our Company’s financial statements. The Audit Committee has also received and reviewed the written disclosures and the letter from Cherry Bekaert LLP, as required by applicable requirements of the Public Company Accounting Oversight Board, regarding the communications by Cherry Bekaert LLP with the Audit Committee concerning independence and has discussed with Cherry Bekaert LLP its independence from Galectin Therapeutics.</w:t>
      </w:r>
    </w:p>
    <w:p>
      <w:pPr>
        <w:spacing w:after="0" w:line="86"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Based upon the review and discussions referred to above, the Audit Committee recommended to our Board of Directors that the audited financial statements of Galectin Therapeutics for the 2024 fiscal year be included in the Annual Report filed on Form 10-K for the year ended December 31, 2024.</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the Audit Committee of the Board of Directors of Galectin Therapeutic Inc.</w:t>
      </w:r>
    </w:p>
    <w:p>
      <w:pPr>
        <w:spacing w:after="0" w:line="19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Richard A. Zordani, Chair</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Kevin D. Freeman</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Kary Eldred</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details the total compensation earned by our non-employee directors during the year ended December 31, 2024.</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3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4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6"/>
                <w:szCs w:val="16"/>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0" w:type="dxa"/>
            <w:vAlign w:val="bottom"/>
          </w:tcPr>
          <w:p>
            <w:pPr>
              <w:spacing w:after="0"/>
              <w:rPr>
                <w:sz w:val="16"/>
                <w:szCs w:val="16"/>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1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1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8"/>
                <w:szCs w:val="18"/>
                <w:color w:val="auto"/>
              </w:rPr>
            </w:pPr>
          </w:p>
        </w:tc>
        <w:tc>
          <w:tcPr>
            <w:tcW w:w="6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(1)</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9"/>
                <w:vertAlign w:val="subscript"/>
              </w:rPr>
              <w:t>($)</w:t>
            </w:r>
            <w:r>
              <w:rPr>
                <w:rFonts w:ascii="Times New Roman" w:cs="Times New Roman" w:eastAsia="Times New Roman" w:hAnsi="Times New Roman"/>
                <w:sz w:val="11"/>
                <w:szCs w:val="11"/>
                <w:b w:val="1"/>
                <w:bCs w:val="1"/>
                <w:color w:val="auto"/>
                <w:w w:val="99"/>
              </w:rPr>
              <w:t>(2)</w:t>
            </w: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8"/>
                <w:szCs w:val="18"/>
                <w:color w:val="auto"/>
              </w:rPr>
            </w:pPr>
          </w:p>
        </w:tc>
        <w:tc>
          <w:tcPr>
            <w:tcW w:w="9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9"/>
                <w:vertAlign w:val="subscript"/>
              </w:rPr>
              <w:t>($)</w:t>
            </w:r>
            <w:r>
              <w:rPr>
                <w:rFonts w:ascii="Times New Roman" w:cs="Times New Roman" w:eastAsia="Times New Roman" w:hAnsi="Times New Roman"/>
                <w:sz w:val="11"/>
                <w:szCs w:val="11"/>
                <w:b w:val="1"/>
                <w:bCs w:val="1"/>
                <w:color w:val="auto"/>
                <w:w w:val="99"/>
              </w:rPr>
              <w:t>(3)</w:t>
            </w:r>
          </w:p>
        </w:tc>
        <w:tc>
          <w:tcPr>
            <w:tcW w:w="140" w:type="dxa"/>
            <w:vAlign w:val="bottom"/>
          </w:tcPr>
          <w:p>
            <w:pPr>
              <w:spacing w:after="0"/>
              <w:rPr>
                <w:sz w:val="18"/>
                <w:szCs w:val="18"/>
                <w:color w:val="auto"/>
              </w:rPr>
            </w:pPr>
          </w:p>
        </w:tc>
        <w:tc>
          <w:tcPr>
            <w:tcW w:w="6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F. Amelio, Ph.D.</w:t>
            </w:r>
          </w:p>
        </w:tc>
        <w:tc>
          <w:tcPr>
            <w:tcW w:w="9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55,500</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58,000</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113,500</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Benjamin S. Carson, Sr., M.D.</w:t>
            </w:r>
          </w:p>
        </w:tc>
        <w:tc>
          <w:tcPr>
            <w:tcW w:w="90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40,000</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58,000</w:t>
            </w:r>
          </w:p>
        </w:tc>
        <w:tc>
          <w:tcPr>
            <w:tcW w:w="140" w:type="dxa"/>
            <w:vAlign w:val="bottom"/>
          </w:tcPr>
          <w:p>
            <w:pPr>
              <w:spacing w:after="0"/>
              <w:rPr>
                <w:sz w:val="20"/>
                <w:szCs w:val="20"/>
                <w:color w:val="auto"/>
              </w:rPr>
            </w:pPr>
          </w:p>
        </w:tc>
        <w:tc>
          <w:tcPr>
            <w:tcW w:w="9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98,000</w:t>
            </w:r>
          </w:p>
        </w:tc>
        <w:tc>
          <w:tcPr>
            <w:tcW w:w="0" w:type="dxa"/>
            <w:vAlign w:val="bottom"/>
          </w:tcPr>
          <w:p>
            <w:pPr>
              <w:spacing w:after="0"/>
              <w:rPr>
                <w:sz w:val="1"/>
                <w:szCs w:val="1"/>
                <w:color w:val="auto"/>
              </w:rPr>
            </w:pPr>
          </w:p>
        </w:tc>
      </w:tr>
      <w:tr>
        <w:trPr>
          <w:trHeight w:val="247"/>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Kary Eldred</w:t>
            </w:r>
          </w:p>
        </w:tc>
        <w:tc>
          <w:tcPr>
            <w:tcW w:w="9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47,500</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58,000</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105,500</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Kevin D. Freeman</w:t>
            </w:r>
          </w:p>
        </w:tc>
        <w:tc>
          <w:tcPr>
            <w:tcW w:w="90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56,000</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58,000</w:t>
            </w:r>
          </w:p>
        </w:tc>
        <w:tc>
          <w:tcPr>
            <w:tcW w:w="140" w:type="dxa"/>
            <w:vAlign w:val="bottom"/>
          </w:tcPr>
          <w:p>
            <w:pPr>
              <w:spacing w:after="0"/>
              <w:rPr>
                <w:sz w:val="20"/>
                <w:szCs w:val="20"/>
                <w:color w:val="auto"/>
              </w:rPr>
            </w:pPr>
          </w:p>
        </w:tc>
        <w:tc>
          <w:tcPr>
            <w:tcW w:w="9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114,000</w:t>
            </w:r>
          </w:p>
        </w:tc>
        <w:tc>
          <w:tcPr>
            <w:tcW w:w="0" w:type="dxa"/>
            <w:vAlign w:val="bottom"/>
          </w:tcPr>
          <w:p>
            <w:pPr>
              <w:spacing w:after="0"/>
              <w:rPr>
                <w:sz w:val="1"/>
                <w:szCs w:val="1"/>
                <w:color w:val="auto"/>
              </w:rPr>
            </w:pPr>
          </w:p>
        </w:tc>
      </w:tr>
      <w:tr>
        <w:trPr>
          <w:trHeight w:val="247"/>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S. Omenn, M.D., Ph.D.</w:t>
            </w:r>
          </w:p>
        </w:tc>
        <w:tc>
          <w:tcPr>
            <w:tcW w:w="9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58,000</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108,000</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Marc Rubin, M.D.</w:t>
            </w:r>
          </w:p>
        </w:tc>
        <w:tc>
          <w:tcPr>
            <w:tcW w:w="90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43,500</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58,000</w:t>
            </w:r>
          </w:p>
        </w:tc>
        <w:tc>
          <w:tcPr>
            <w:tcW w:w="140" w:type="dxa"/>
            <w:vAlign w:val="bottom"/>
          </w:tcPr>
          <w:p>
            <w:pPr>
              <w:spacing w:after="0"/>
              <w:rPr>
                <w:sz w:val="20"/>
                <w:szCs w:val="20"/>
                <w:color w:val="auto"/>
              </w:rPr>
            </w:pPr>
          </w:p>
        </w:tc>
        <w:tc>
          <w:tcPr>
            <w:tcW w:w="9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101,500</w:t>
            </w:r>
          </w:p>
        </w:tc>
        <w:tc>
          <w:tcPr>
            <w:tcW w:w="0" w:type="dxa"/>
            <w:vAlign w:val="bottom"/>
          </w:tcPr>
          <w:p>
            <w:pPr>
              <w:spacing w:after="0"/>
              <w:rPr>
                <w:sz w:val="1"/>
                <w:szCs w:val="1"/>
                <w:color w:val="auto"/>
              </w:rPr>
            </w:pPr>
          </w:p>
        </w:tc>
      </w:tr>
      <w:tr>
        <w:trPr>
          <w:trHeight w:val="247"/>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Elissa J. Schwartz, Ph.D.</w:t>
            </w:r>
          </w:p>
        </w:tc>
        <w:tc>
          <w:tcPr>
            <w:tcW w:w="9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43,500</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58,000</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101,500</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90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40,000</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58,000</w:t>
            </w:r>
          </w:p>
        </w:tc>
        <w:tc>
          <w:tcPr>
            <w:tcW w:w="140" w:type="dxa"/>
            <w:vAlign w:val="bottom"/>
          </w:tcPr>
          <w:p>
            <w:pPr>
              <w:spacing w:after="0"/>
              <w:rPr>
                <w:sz w:val="20"/>
                <w:szCs w:val="20"/>
                <w:color w:val="auto"/>
              </w:rPr>
            </w:pPr>
          </w:p>
        </w:tc>
        <w:tc>
          <w:tcPr>
            <w:tcW w:w="9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98,000</w:t>
            </w:r>
          </w:p>
        </w:tc>
        <w:tc>
          <w:tcPr>
            <w:tcW w:w="0" w:type="dxa"/>
            <w:vAlign w:val="bottom"/>
          </w:tcPr>
          <w:p>
            <w:pPr>
              <w:spacing w:after="0"/>
              <w:rPr>
                <w:sz w:val="1"/>
                <w:szCs w:val="1"/>
                <w:color w:val="auto"/>
              </w:rPr>
            </w:pPr>
          </w:p>
        </w:tc>
      </w:tr>
      <w:tr>
        <w:trPr>
          <w:trHeight w:val="247"/>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Uihlein</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6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58,000</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98,000</w:t>
            </w: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Richard A. Zordani</w:t>
            </w:r>
          </w:p>
        </w:tc>
        <w:tc>
          <w:tcPr>
            <w:tcW w:w="90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55,000</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58,000</w:t>
            </w:r>
          </w:p>
        </w:tc>
        <w:tc>
          <w:tcPr>
            <w:tcW w:w="140" w:type="dxa"/>
            <w:vAlign w:val="bottom"/>
          </w:tcPr>
          <w:p>
            <w:pPr>
              <w:spacing w:after="0"/>
              <w:rPr>
                <w:sz w:val="20"/>
                <w:szCs w:val="20"/>
                <w:color w:val="auto"/>
              </w:rPr>
            </w:pPr>
          </w:p>
        </w:tc>
        <w:tc>
          <w:tcPr>
            <w:tcW w:w="9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185420</wp:posOffset>
            </wp:positionV>
            <wp:extent cx="822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7" w:lineRule="exact"/>
        <w:rPr>
          <w:sz w:val="20"/>
          <w:szCs w:val="20"/>
          <w:color w:val="auto"/>
        </w:rPr>
      </w:pPr>
    </w:p>
    <w:p>
      <w:pPr>
        <w:ind w:left="640" w:right="419" w:hanging="348"/>
        <w:spacing w:after="0" w:line="261"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Uihlein elected to receive restricted stock in lieu of cash retainer for their service. The restricted shares vested in full on December 31, 2024.</w:t>
      </w:r>
    </w:p>
    <w:p>
      <w:pPr>
        <w:ind w:left="640" w:right="339" w:hanging="348"/>
        <w:spacing w:after="0" w:line="236"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grant date fair value of option awards based upon the Black Scholes valuation model made in 2024. The option grants were made on January 24, 2024. Each non-employee director received one grant of 50,000 options which will vest in full on December 31, 2024. For a description of the assumptions used to determine these amounts, see Note 9 to the Notes to the Consolidated Financial Statements herein our Annual Report on Form 10-K for the fiscal year ended December 31, 2024.</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travel expense reimbursements.</w:t>
      </w:r>
    </w:p>
    <w:p>
      <w:pPr>
        <w:spacing w:after="0" w:line="2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Shares Subject</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to Option</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Held as of</w:t>
            </w:r>
          </w:p>
        </w:tc>
        <w:tc>
          <w:tcPr>
            <w:tcW w:w="0" w:type="dxa"/>
            <w:vAlign w:val="bottom"/>
          </w:tcPr>
          <w:p>
            <w:pPr>
              <w:spacing w:after="0"/>
              <w:rPr>
                <w:sz w:val="1"/>
                <w:szCs w:val="1"/>
                <w:color w:val="auto"/>
              </w:rPr>
            </w:pPr>
          </w:p>
        </w:tc>
      </w:tr>
      <w:tr>
        <w:trPr>
          <w:trHeight w:val="148"/>
        </w:trPr>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700" w:type="dxa"/>
            <w:vAlign w:val="bottom"/>
            <w:vMerge w:val="continue"/>
          </w:tcPr>
          <w:p>
            <w:pPr>
              <w:spacing w:after="0"/>
              <w:rPr>
                <w:sz w:val="16"/>
                <w:szCs w:val="16"/>
                <w:color w:val="auto"/>
              </w:rPr>
            </w:pPr>
          </w:p>
        </w:tc>
        <w:tc>
          <w:tcPr>
            <w:tcW w:w="1060" w:type="dxa"/>
            <w:vAlign w:val="bottom"/>
            <w:gridSpan w:val="3"/>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70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Gilbert F. Amelio, Ph.D.</w:t>
            </w:r>
          </w:p>
        </w:tc>
        <w:tc>
          <w:tcPr>
            <w:tcW w:w="200" w:type="dxa"/>
            <w:vAlign w:val="bottom"/>
            <w:shd w:val="clear" w:color="auto" w:fill="CCEEFF"/>
          </w:tcPr>
          <w:p>
            <w:pPr>
              <w:spacing w:after="0"/>
              <w:rPr>
                <w:sz w:val="13"/>
                <w:szCs w:val="13"/>
                <w:color w:val="auto"/>
              </w:rPr>
            </w:pPr>
          </w:p>
        </w:tc>
        <w:tc>
          <w:tcPr>
            <w:tcW w:w="86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315,000</w:t>
            </w:r>
          </w:p>
        </w:tc>
        <w:tc>
          <w:tcPr>
            <w:tcW w:w="3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Benjamin S. Carson, Sr., M.D.</w:t>
            </w:r>
          </w:p>
        </w:tc>
        <w:tc>
          <w:tcPr>
            <w:tcW w:w="10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Kary Eldred</w:t>
            </w:r>
          </w:p>
        </w:tc>
        <w:tc>
          <w:tcPr>
            <w:tcW w:w="10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341,875</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Kevin D. Freeman</w:t>
            </w:r>
          </w:p>
        </w:tc>
        <w:tc>
          <w:tcPr>
            <w:tcW w:w="10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403,125</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Gilbert S. Omenn, M.D., Ph.D.</w:t>
            </w:r>
          </w:p>
        </w:tc>
        <w:tc>
          <w:tcPr>
            <w:tcW w:w="10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418,750</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Marc Rubin, M.D.</w:t>
            </w:r>
          </w:p>
        </w:tc>
        <w:tc>
          <w:tcPr>
            <w:tcW w:w="10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344,565</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Elissa J. Schwartz, Ph.D.</w:t>
            </w:r>
          </w:p>
        </w:tc>
        <w:tc>
          <w:tcPr>
            <w:tcW w:w="10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240,000</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Harold H. Shlevin, Ph.D.</w:t>
            </w:r>
          </w:p>
        </w:tc>
        <w:tc>
          <w:tcPr>
            <w:tcW w:w="10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595,000</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Richard Uihlein</w:t>
            </w:r>
          </w:p>
        </w:tc>
        <w:tc>
          <w:tcPr>
            <w:tcW w:w="10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306,362</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700" w:type="dxa"/>
            <w:vAlign w:val="bottom"/>
          </w:tcPr>
          <w:p>
            <w:pPr>
              <w:spacing w:after="0"/>
              <w:rPr>
                <w:sz w:val="20"/>
                <w:szCs w:val="20"/>
                <w:color w:val="auto"/>
              </w:rPr>
            </w:pPr>
            <w:r>
              <w:rPr>
                <w:rFonts w:ascii="Times New Roman" w:cs="Times New Roman" w:eastAsia="Times New Roman" w:hAnsi="Times New Roman"/>
                <w:sz w:val="14"/>
                <w:szCs w:val="14"/>
                <w:color w:val="auto"/>
              </w:rPr>
              <w:t>Richard A. Zordani</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240,000</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70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480" w:type="dxa"/>
            <w:vAlign w:val="bottom"/>
            <w:tcBorders>
              <w:top w:val="single" w:sz="8" w:color="CCEEFF"/>
            </w:tcBorders>
            <w:gridSpan w:val="2"/>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3,354,677</w:t>
            </w:r>
          </w:p>
        </w:tc>
        <w:tc>
          <w:tcPr>
            <w:tcW w:w="3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For a more detailed description of the assumptions used for purposes of determining grant date fair value, see Note 9 to the Consolidated Financial Statements and “Management’s Discussion and Analysis of Financial Condition and Results of Operations — Critical Accounting Policies and Estimates — Stock-Based Compensation” included herein the Form 10-K for the 2023 fiscal year.</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reimburse our directors for reasonable travel and other related expenses.</w:t>
      </w:r>
    </w:p>
    <w:p>
      <w:pPr>
        <w:spacing w:after="0" w:line="117"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Pursuant to the Company’s cash compensation program for directors, non-employee directors of the Company will receive an annual cash retainer of $35,000. Each Nominating and Corporate Governance Committee member will receive an additional cash retainer of $3,500; each Compensation Committee member will receive an additional cash retainer of $5,000; and each Audit Committee member will receive an additional cash retainer of $7,500. In addition to the annual fee and committee membership retainers, the Nominating and Corporate Governance Committee Chairman will receive an annual cash retainer of $3,500; the Compensation Committee Chairman will receive an annual cash retainer of $5,000; and the Audit Committee Chairman will receive an annual cash retainer of $7,500. Additionally, in December 2016, the Board approved cash retainers of $3,500 to be paid to each member of the Board’s investor relation/public relations committee.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jc w:val="both"/>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2024, about the securities issued, or authorized for future issuance, under our equity compensation plans, consisting of our 2009 Incentive Compensation Plan and our 2019 Omnibus Equity Incentive Plan at December 31, 2024.</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90"/>
        </w:trPr>
        <w:tc>
          <w:tcPr>
            <w:tcW w:w="41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23"/>
        </w:trPr>
        <w:tc>
          <w:tcPr>
            <w:tcW w:w="4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shd w:val="clear" w:color="auto" w:fill="CCEEFF"/>
              </w:rPr>
              <w:t>Equity compensation plans approved by security holders</w:t>
            </w:r>
          </w:p>
        </w:tc>
        <w:tc>
          <w:tcPr>
            <w:tcW w:w="15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6,854,758</w:t>
            </w:r>
          </w:p>
        </w:tc>
        <w:tc>
          <w:tcPr>
            <w:tcW w:w="116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$2.45</w:t>
            </w:r>
          </w:p>
        </w:tc>
        <w:tc>
          <w:tcPr>
            <w:tcW w:w="16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4,135,213</w:t>
            </w:r>
          </w:p>
        </w:tc>
        <w:tc>
          <w:tcPr>
            <w:tcW w:w="0" w:type="dxa"/>
            <w:vAlign w:val="bottom"/>
          </w:tcPr>
          <w:p>
            <w:pPr>
              <w:spacing w:after="0"/>
              <w:rPr>
                <w:sz w:val="1"/>
                <w:szCs w:val="1"/>
                <w:color w:val="auto"/>
              </w:rPr>
            </w:pPr>
          </w:p>
        </w:tc>
      </w:tr>
      <w:tr>
        <w:trPr>
          <w:trHeight w:val="54"/>
        </w:trPr>
        <w:tc>
          <w:tcPr>
            <w:tcW w:w="4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4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PHILOSOPHY DISCUSSION</w:t>
      </w:r>
    </w:p>
    <w:p>
      <w:pPr>
        <w:spacing w:after="0" w:line="99" w:lineRule="exact"/>
        <w:rPr>
          <w:sz w:val="20"/>
          <w:szCs w:val="20"/>
          <w:color w:val="auto"/>
        </w:rPr>
      </w:pPr>
    </w:p>
    <w:p>
      <w:pPr>
        <w:ind w:left="300" w:right="499" w:firstLine="360"/>
        <w:spacing w:after="0" w:line="255" w:lineRule="auto"/>
        <w:rPr>
          <w:sz w:val="20"/>
          <w:szCs w:val="20"/>
          <w:color w:val="auto"/>
        </w:rPr>
      </w:pPr>
      <w:r>
        <w:rPr>
          <w:rFonts w:ascii="Times New Roman" w:cs="Times New Roman" w:eastAsia="Times New Roman" w:hAnsi="Times New Roman"/>
          <w:sz w:val="18"/>
          <w:szCs w:val="18"/>
          <w:color w:val="auto"/>
        </w:rPr>
        <w:t>The Compensation Committee is responsible for creating and reviewing the compensation of the Company’s executive officers, as well as overseeing the Company’s compensation and benefit plans and policies and administering the Company’s equity incentive plans. The following Compensation Philosophy Discussion (“Compensation Discussion”) describes our 2024 executive compensation program and explains the Company’s compensation philosophy, policies, and practices, focusing primarily on the compensation of our named executive officers, or NEOs. This Compensation Discussion is intended to be read in conjunction with the tables that follow, which provide detailed historical compensation information for our following NEOs:</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5300" w:type="dxa"/>
            <w:vAlign w:val="bottom"/>
          </w:tcPr>
          <w:p>
            <w:pPr>
              <w:ind w:left="250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3"/>
        </w:trPr>
        <w:tc>
          <w:tcPr>
            <w:tcW w:w="3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r>
      <w:tr>
        <w:trPr>
          <w:trHeight w:val="25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00" w:type="dxa"/>
            <w:vAlign w:val="bottom"/>
            <w:shd w:val="clear" w:color="auto" w:fill="CCEEFF"/>
          </w:tcPr>
          <w:p>
            <w:pPr>
              <w:spacing w:after="0"/>
              <w:rPr>
                <w:sz w:val="21"/>
                <w:szCs w:val="21"/>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Khurram Jamil, M.D.</w:t>
            </w:r>
          </w:p>
        </w:tc>
        <w:tc>
          <w:tcPr>
            <w:tcW w:w="10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34"/>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100" w:type="dxa"/>
            <w:vAlign w:val="bottom"/>
            <w:shd w:val="clear" w:color="auto" w:fill="CCEEFF"/>
          </w:tcPr>
          <w:p>
            <w:pPr>
              <w:spacing w:after="0"/>
              <w:rPr>
                <w:sz w:val="20"/>
                <w:szCs w:val="20"/>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4"/>
        </w:trPr>
        <w:tc>
          <w:tcPr>
            <w:tcW w:w="30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300" w:type="dxa"/>
            <w:vAlign w:val="bottom"/>
            <w:shd w:val="clear" w:color="auto" w:fill="CCEEFF"/>
          </w:tcPr>
          <w:p>
            <w:pPr>
              <w:spacing w:after="0"/>
              <w:rPr>
                <w:sz w:val="4"/>
                <w:szCs w:val="4"/>
                <w:color w:val="auto"/>
              </w:rPr>
            </w:pP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Philosophy</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Company believes in providing a competitive total compensation package to its executives through a combination of base salary, annual performance bonuses, and long-term equity awards. The executive compensation program is designed to achieve the following objectives:</w:t>
      </w:r>
    </w:p>
    <w:p>
      <w:pPr>
        <w:spacing w:after="0" w:line="68" w:lineRule="exact"/>
        <w:rPr>
          <w:sz w:val="20"/>
          <w:szCs w:val="20"/>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competitive compensation that will help attract, retain and reward qualified executives;</w:t>
      </w:r>
    </w:p>
    <w:p>
      <w:pPr>
        <w:spacing w:after="0" w:line="117" w:lineRule="exact"/>
        <w:rPr>
          <w:rFonts w:ascii="Times New Roman" w:cs="Times New Roman" w:eastAsia="Times New Roman" w:hAnsi="Times New Roman"/>
          <w:sz w:val="18"/>
          <w:szCs w:val="18"/>
          <w:color w:val="auto"/>
        </w:rPr>
      </w:pPr>
    </w:p>
    <w:p>
      <w:pPr>
        <w:ind w:left="1000" w:right="105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executives’ interests with our success by making a portion of the executive’s compensation dependent upon corporate performance;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executives’ interests with the interests of stockholders by including long-term equity incentives.</w:t>
      </w:r>
    </w:p>
    <w:p>
      <w:pPr>
        <w:spacing w:after="0" w:line="117"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Compensation Committee believes that the Company’s executive compensation program should include annual and long-term components, including cash and equity-based compensation, and should reward consistent performance that meets or exceeds expectations. The Compensation Committee evaluates both performance and compensation to make sure that the compensation provided to executives remains competitive relative to compensation paid by companies of similar size and stage of development operating in the life sciences industry and taking into account the Company’s relative performance and its own strategic objectives.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Review and Design</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Company has historically conducted a review of the aggregate level of its executive compensation, as well as the mix of elements used to compensate its NEOs. The Company has based this review primarily on the experience of the members of the Compensation Committee and our Board, many of whom sit on the boards of directors of, or have previously advised, numerous companies, including companies in the life sciences industry.</w:t>
      </w:r>
    </w:p>
    <w:p>
      <w:pPr>
        <w:spacing w:after="0" w:line="72"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At our last “Say-on-Pay vote” held at our 2022 annual meeting of stockholders approximately 90% of votes cast were in favor of the compensation of our NEOs, as disclosed in the proxy materials for the 2022 annual meeting. At our 2019 annual meeting, the holders of approximately 78% of our outstanding common stock voting on the matter voted in favor of holding the stockholder advisory vote every three years. As a result of such vote, our Board decided to hold the “Say-on-Pay” advisory vote every three years. Accordingly, the Company is holding a “Say-on-Pay” advisory vote on the compensation of our NEOs at this 2025 annual meeting of stockholders.</w:t>
      </w:r>
    </w:p>
    <w:p>
      <w:pPr>
        <w:spacing w:after="0" w:line="79" w:lineRule="exact"/>
        <w:rPr>
          <w:sz w:val="20"/>
          <w:szCs w:val="20"/>
          <w:color w:val="auto"/>
        </w:rPr>
      </w:pPr>
    </w:p>
    <w:p>
      <w:pPr>
        <w:ind w:left="300" w:right="299" w:firstLine="360"/>
        <w:spacing w:after="0" w:line="268" w:lineRule="auto"/>
        <w:rPr>
          <w:sz w:val="20"/>
          <w:szCs w:val="20"/>
          <w:color w:val="auto"/>
        </w:rPr>
      </w:pPr>
      <w:r>
        <w:rPr>
          <w:rFonts w:ascii="Times New Roman" w:cs="Times New Roman" w:eastAsia="Times New Roman" w:hAnsi="Times New Roman"/>
          <w:sz w:val="17"/>
          <w:szCs w:val="17"/>
          <w:color w:val="auto"/>
        </w:rPr>
        <w:t>Several years ago, the Compensation Committee undertook a review of our compensation policies and practices and retained the compensation consulting firm of Barney &amp; Barney LLC to provide compensation information and analysis with respect to the life science and healthcare industry and with respect to our peer companies within the industry. Barney &amp; Barney LLC reviewed information from industry and other sources, surveys and databases, including publicly-available compensation information of other companies with which we compete, to gauge the competitiveness of our compensation programs. Barney &amp; Barney LLC then reported its findings to the</w:t>
      </w:r>
    </w:p>
    <w:p>
      <w:pPr>
        <w:spacing w:after="0" w:line="5" w:lineRule="exact"/>
        <w:rPr>
          <w:sz w:val="20"/>
          <w:szCs w:val="20"/>
          <w:color w:val="auto"/>
        </w:rPr>
      </w:pPr>
    </w:p>
    <w:p>
      <w:pPr>
        <w:ind w:left="300" w:right="319"/>
        <w:spacing w:after="0" w:line="221" w:lineRule="auto"/>
        <w:rPr>
          <w:sz w:val="20"/>
          <w:szCs w:val="20"/>
          <w:color w:val="auto"/>
        </w:rPr>
      </w:pPr>
      <w:r>
        <w:rPr>
          <w:rFonts w:ascii="Times New Roman" w:cs="Times New Roman" w:eastAsia="Times New Roman" w:hAnsi="Times New Roman"/>
          <w:sz w:val="18"/>
          <w:szCs w:val="18"/>
          <w:color w:val="auto"/>
        </w:rPr>
        <w:t>Compensation Committee, with recommendations to bring the Company’s executive compensation closer to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total compensation of our competitor companies. These findings continued to inform the Compensation Committee’s decisions on compensation in subsequent years, including 2025.</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19" w:firstLine="360"/>
        <w:spacing w:after="0" w:line="272" w:lineRule="auto"/>
        <w:rPr>
          <w:sz w:val="20"/>
          <w:szCs w:val="20"/>
          <w:color w:val="auto"/>
        </w:rPr>
      </w:pPr>
      <w:r>
        <w:rPr>
          <w:rFonts w:ascii="Times New Roman" w:cs="Times New Roman" w:eastAsia="Times New Roman" w:hAnsi="Times New Roman"/>
          <w:sz w:val="17"/>
          <w:szCs w:val="17"/>
          <w:color w:val="auto"/>
        </w:rPr>
        <w:t>The Compensation Committee may use a compensation consultant in the future and will take into account publicly-available data relating to the compensation practices and policies of other companies within and outside our industry. The Compensation Committee intends to benchmark its executive compensation program to target at least</w:t>
      </w:r>
    </w:p>
    <w:p>
      <w:pPr>
        <w:spacing w:after="0" w:line="2" w:lineRule="exact"/>
        <w:rPr>
          <w:sz w:val="20"/>
          <w:szCs w:val="20"/>
          <w:color w:val="auto"/>
        </w:rPr>
      </w:pPr>
    </w:p>
    <w:p>
      <w:pPr>
        <w:ind w:left="300" w:right="319"/>
        <w:spacing w:after="0" w:line="221" w:lineRule="auto"/>
        <w:rPr>
          <w:sz w:val="20"/>
          <w:szCs w:val="20"/>
          <w:color w:val="auto"/>
        </w:rPr>
      </w:pPr>
      <w:r>
        <w:rPr>
          <w:rFonts w:ascii="Times New Roman" w:cs="Times New Roman" w:eastAsia="Times New Roman" w:hAnsi="Times New Roman"/>
          <w:sz w:val="18"/>
          <w:szCs w:val="18"/>
          <w:color w:val="auto"/>
        </w:rPr>
        <w:t>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total compensation programs of our competitor companies; however, adjusted as deemed to be in the best interest of the Company to assure retention of key employees during the NAVIGATE trial and as the Company analyzes data from the NAVIGATE trial.</w:t>
      </w:r>
    </w:p>
    <w:p>
      <w:pPr>
        <w:spacing w:after="0" w:line="3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Elements of Executive Compensation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program for the Company’s NEOs consists principally of three components:</w:t>
      </w:r>
    </w:p>
    <w:p>
      <w:pPr>
        <w:spacing w:after="0" w:line="117" w:lineRule="exact"/>
        <w:rPr>
          <w:sz w:val="20"/>
          <w:szCs w:val="20"/>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retention bonuses;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compensation in the form of equity-based awards.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Base salary is the only fixed-pay component in our executive compensation program. Base salaries for the NEOs are initially established through arm’s-length negotiation at the time the NEO is hired, taking into account such NEO’s qualifications, experience, prior salary, the scope of his or her responsibilities, and known competitive market compensation paid by other companies for similar positions within the industry. Base salaries are reviewed annually and adjusted from time to time to realign salaries with market levels after taking into account individual responsibilities, performance, and experience. In making decisions regarding salary increases, the Company may also draw upon the experience of members of the Compensation Committee and the Board of Directors, many of whom sit on the boards of directors of, or have previously advised, numerous companies, including companies in the life sciences industry. The Compensation Committee has not previously applied specific formulas to determine increases. This strategy is consistent with the Company’s intent of offering base salaries that are cost-effective while remaining competitive.</w:t>
      </w: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 Base Salary</w:t>
            </w:r>
          </w:p>
        </w:tc>
        <w:tc>
          <w:tcPr>
            <w:tcW w:w="320" w:type="dxa"/>
            <w:vAlign w:val="bottom"/>
          </w:tcPr>
          <w:p>
            <w:pPr>
              <w:spacing w:after="0"/>
              <w:rPr>
                <w:sz w:val="16"/>
                <w:szCs w:val="16"/>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 Base Salary</w:t>
            </w:r>
          </w:p>
        </w:tc>
      </w:tr>
      <w:tr>
        <w:trPr>
          <w:trHeight w:val="23"/>
        </w:trPr>
        <w:tc>
          <w:tcPr>
            <w:tcW w:w="5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4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$624,000</w:t>
            </w:r>
          </w:p>
        </w:tc>
        <w:tc>
          <w:tcPr>
            <w:tcW w:w="1400" w:type="dxa"/>
            <w:vAlign w:val="bottom"/>
            <w:gridSpan w:val="2"/>
            <w:shd w:val="clear" w:color="auto" w:fill="CCEEFF"/>
          </w:tcPr>
          <w:p>
            <w:pPr>
              <w:ind w:left="520"/>
              <w:spacing w:after="0" w:line="291" w:lineRule="exact"/>
              <w:rPr>
                <w:sz w:val="20"/>
                <w:szCs w:val="20"/>
                <w:color w:val="auto"/>
              </w:rPr>
            </w:pPr>
            <w:r>
              <w:rPr>
                <w:rFonts w:ascii="Times New Roman" w:cs="Times New Roman" w:eastAsia="Times New Roman" w:hAnsi="Times New Roman"/>
                <w:sz w:val="18"/>
                <w:szCs w:val="18"/>
                <w:color w:val="auto"/>
                <w:w w:val="95"/>
              </w:rPr>
              <w:t>$578,000</w:t>
            </w:r>
            <w:r>
              <w:rPr>
                <w:rFonts w:ascii="Times New Roman" w:cs="Times New Roman" w:eastAsia="Times New Roman" w:hAnsi="Times New Roman"/>
                <w:sz w:val="29"/>
                <w:szCs w:val="29"/>
                <w:color w:val="auto"/>
                <w:w w:val="95"/>
                <w:vertAlign w:val="superscript"/>
              </w:rPr>
              <w:t>(1)</w:t>
            </w:r>
          </w:p>
        </w:tc>
      </w:tr>
      <w:tr>
        <w:trPr>
          <w:trHeight w:val="283"/>
        </w:trPr>
        <w:tc>
          <w:tcPr>
            <w:tcW w:w="562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Khurram Jamil, M.D.</w:t>
            </w:r>
            <w:r>
              <w:rPr>
                <w:rFonts w:ascii="Times New Roman" w:cs="Times New Roman" w:eastAsia="Times New Roman" w:hAnsi="Times New Roman"/>
                <w:sz w:val="29"/>
                <w:szCs w:val="29"/>
                <w:color w:val="auto"/>
                <w:vertAlign w:val="superscript"/>
              </w:rPr>
              <w:t>(2)</w:t>
            </w:r>
          </w:p>
        </w:tc>
        <w:tc>
          <w:tcPr>
            <w:tcW w:w="14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$500,000</w:t>
            </w:r>
          </w:p>
        </w:tc>
        <w:tc>
          <w:tcPr>
            <w:tcW w:w="320" w:type="dxa"/>
            <w:vAlign w:val="bottom"/>
          </w:tcPr>
          <w:p>
            <w:pPr>
              <w:spacing w:after="0"/>
              <w:rPr>
                <w:sz w:val="24"/>
                <w:szCs w:val="24"/>
                <w:color w:val="auto"/>
              </w:rPr>
            </w:pPr>
          </w:p>
        </w:tc>
        <w:tc>
          <w:tcPr>
            <w:tcW w:w="1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14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$400,000</w:t>
            </w:r>
          </w:p>
        </w:tc>
        <w:tc>
          <w:tcPr>
            <w:tcW w:w="14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$368,000</w:t>
            </w:r>
          </w:p>
        </w:tc>
      </w:tr>
      <w:tr>
        <w:trPr>
          <w:trHeight w:val="54"/>
        </w:trPr>
        <w:tc>
          <w:tcPr>
            <w:tcW w:w="56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359" w:hanging="348"/>
        <w:spacing w:after="0" w:line="26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Mr. Lewis’s Employment Agreement and Deferred Stock Unit Agreement, 20% of Mr. Lewis’ base salary will be paid in cash and 80% will be paid in the form of deferred-stock units in accordance with the terms and subject to the provisions of the DSU Agreement.</w:t>
      </w:r>
    </w:p>
    <w:p>
      <w:pPr>
        <w:ind w:left="640" w:right="379" w:hanging="348"/>
        <w:spacing w:after="0" w:line="26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Jamil joined the Company in March 2024 and was promoted to Chief Medical Officer effective August 1, 2024 and his base salary was adjusted to $500,000.</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Performance Bonuses</w:t>
      </w:r>
    </w:p>
    <w:p>
      <w:pPr>
        <w:spacing w:after="0" w:line="121"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In addition to the payment of base salaries, the Company believes that annual performance bonuses can play an important role in providing appropriate incentives to its NEOs to achieve the Company’s strategic objectives.</w:t>
      </w:r>
    </w:p>
    <w:p>
      <w:pPr>
        <w:spacing w:after="0" w:line="54"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In prior years, performance bonuses were awarded based on the Company’s Employee Short-Term and Long-Term Incentive Program (the “Program”), which was adopted for executives and employees of the Company. The Program is a performance-based program and was adopted in recognition of the importance of aligning executive and employee interests with that of our stockholders. Our Program is designed to reward the efforts of our executives and employees and to be competitive in attracting and retaining them. There are two elements of the Program: (1) a short-term incentive in the form of cash bonuses and (2) a long-term incentive in the form of stock option grants. The cash bonus incentive is targeted to be up to 30% to 50% of the NEO’s base salary as of the end of the applicable year. Half of each NEO’s annual performance bonus is based upon achievement of the Company’s documented performance objectives for the year and the other half is based upon achievement of individual performance objectives set for the year. The 2024 performance bonuses payments were split with half paid in February 2025 and half to be paid in April 2025, if the employee had not voluntarily resigned by that date.</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00" w:type="dxa"/>
            <w:vAlign w:val="bottom"/>
          </w:tcPr>
          <w:p>
            <w:pPr>
              <w:jc w:val="center"/>
              <w:ind w:left="2348"/>
              <w:spacing w:after="0"/>
              <w:rPr>
                <w:sz w:val="20"/>
                <w:szCs w:val="20"/>
                <w:color w:val="auto"/>
              </w:rPr>
            </w:pPr>
            <w:r>
              <w:rPr>
                <w:rFonts w:ascii="Times New Roman" w:cs="Times New Roman" w:eastAsia="Times New Roman" w:hAnsi="Times New Roman"/>
                <w:sz w:val="14"/>
                <w:szCs w:val="14"/>
                <w:b w:val="1"/>
                <w:bCs w:val="1"/>
                <w:color w:val="auto"/>
              </w:rPr>
              <w:t>Performance Bonus</w:t>
            </w:r>
          </w:p>
        </w:tc>
        <w:tc>
          <w:tcPr>
            <w:tcW w:w="144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Awarded Amount</w:t>
            </w:r>
          </w:p>
        </w:tc>
        <w:tc>
          <w:tcPr>
            <w:tcW w:w="0" w:type="dxa"/>
            <w:vAlign w:val="bottom"/>
          </w:tcPr>
          <w:p>
            <w:pPr>
              <w:spacing w:after="0"/>
              <w:rPr>
                <w:sz w:val="1"/>
                <w:szCs w:val="1"/>
                <w:color w:val="auto"/>
              </w:rPr>
            </w:pPr>
          </w:p>
        </w:tc>
      </w:tr>
      <w:tr>
        <w:trPr>
          <w:trHeight w:val="187"/>
        </w:trPr>
        <w:tc>
          <w:tcPr>
            <w:tcW w:w="2940" w:type="dxa"/>
            <w:vAlign w:val="bottom"/>
            <w:vMerge w:val="continue"/>
          </w:tcPr>
          <w:p>
            <w:pPr>
              <w:spacing w:after="0"/>
              <w:rPr>
                <w:sz w:val="16"/>
                <w:szCs w:val="16"/>
                <w:color w:val="auto"/>
              </w:rPr>
            </w:pPr>
          </w:p>
        </w:tc>
        <w:tc>
          <w:tcPr>
            <w:tcW w:w="4000" w:type="dxa"/>
            <w:vAlign w:val="bottom"/>
          </w:tcPr>
          <w:p>
            <w:pPr>
              <w:jc w:val="center"/>
              <w:ind w:left="23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4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As % of Base Salary</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5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340" w:type="dxa"/>
            <w:vAlign w:val="bottom"/>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$312,000</w:t>
            </w:r>
          </w:p>
        </w:tc>
        <w:tc>
          <w:tcPr>
            <w:tcW w:w="340" w:type="dxa"/>
            <w:vAlign w:val="bottom"/>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50%</w:t>
            </w:r>
          </w:p>
        </w:tc>
      </w:tr>
      <w:tr>
        <w:trPr>
          <w:trHeight w:val="25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Khurram Jamil, M.D.</w:t>
            </w:r>
          </w:p>
        </w:tc>
        <w:tc>
          <w:tcPr>
            <w:tcW w:w="1580" w:type="dxa"/>
            <w:vAlign w:val="bottom"/>
            <w:gridSpan w:val="2"/>
          </w:tcPr>
          <w:p>
            <w:pPr>
              <w:ind w:left="620"/>
              <w:spacing w:after="0" w:line="256" w:lineRule="exact"/>
              <w:rPr>
                <w:sz w:val="20"/>
                <w:szCs w:val="20"/>
                <w:color w:val="auto"/>
              </w:rPr>
            </w:pPr>
            <w:r>
              <w:rPr>
                <w:rFonts w:ascii="Times New Roman" w:cs="Times New Roman" w:eastAsia="Times New Roman" w:hAnsi="Times New Roman"/>
                <w:sz w:val="18"/>
                <w:szCs w:val="18"/>
                <w:color w:val="auto"/>
              </w:rPr>
              <w:t>$120,625</w:t>
            </w:r>
            <w:r>
              <w:rPr>
                <w:rFonts w:ascii="Times New Roman" w:cs="Times New Roman" w:eastAsia="Times New Roman" w:hAnsi="Times New Roman"/>
                <w:sz w:val="29"/>
                <w:szCs w:val="29"/>
                <w:color w:val="auto"/>
                <w:vertAlign w:val="superscript"/>
              </w:rPr>
              <w:t>(1)</w:t>
            </w:r>
          </w:p>
        </w:tc>
        <w:tc>
          <w:tcPr>
            <w:tcW w:w="16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30%</w:t>
            </w:r>
          </w:p>
        </w:tc>
      </w:tr>
      <w:tr>
        <w:trPr>
          <w:trHeight w:val="250"/>
        </w:trPr>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15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$120,000</w:t>
            </w:r>
          </w:p>
        </w:tc>
        <w:tc>
          <w:tcPr>
            <w:tcW w:w="166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30%</w:t>
            </w:r>
          </w:p>
        </w:tc>
      </w:tr>
      <w:tr>
        <w:trPr>
          <w:trHeight w:val="162"/>
        </w:trPr>
        <w:tc>
          <w:tcPr>
            <w:tcW w:w="1280" w:type="dxa"/>
            <w:vAlign w:val="bottom"/>
            <w:tcBorders>
              <w:bottom w:val="single" w:sz="8" w:color="auto"/>
            </w:tcBorders>
          </w:tcPr>
          <w:p>
            <w:pPr>
              <w:spacing w:after="0"/>
              <w:rPr>
                <w:sz w:val="14"/>
                <w:szCs w:val="14"/>
                <w:color w:val="auto"/>
              </w:rPr>
            </w:pPr>
          </w:p>
        </w:tc>
        <w:tc>
          <w:tcPr>
            <w:tcW w:w="3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r>
    </w:tbl>
    <w:p>
      <w:pPr>
        <w:spacing w:after="0" w:line="31"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4"/>
          <w:szCs w:val="14"/>
          <w:color w:val="auto"/>
        </w:rPr>
        <w:t>(1)</w:t>
        <w:tab/>
        <w:t>Dr. Jamil’s 2024 bonus was prorated for his employment during 2024.</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Compensation</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Company believes that by providing its NEOs the opportunity to increase their ownership of Company stock, the interests of its NEOs will be more closely-aligned with the best interests of the Company’s stockholders and it will encourage long-term performance. The stock awards enable the NEOs to participate in the appreciation in the value of the Company’s stock, while personally participating in the risks of business setbacks.</w:t>
      </w:r>
    </w:p>
    <w:p>
      <w:pPr>
        <w:spacing w:after="0" w:line="72"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Under the long-term incentive portion of the Program, the NEOs are granted options based upon achievement of the Company performance and individual performance objectives and rank in the Company. All option grants under the Program through December 2019 were made under the 2009 Incentive Compensation Plan. Grants made after January 1, 2020, were made pursuant to the 2019 Omnibus Equity Incentive Plan.</w:t>
      </w:r>
    </w:p>
    <w:p>
      <w:pPr>
        <w:spacing w:after="0" w:line="72" w:lineRule="exact"/>
        <w:rPr>
          <w:sz w:val="20"/>
          <w:szCs w:val="20"/>
          <w:color w:val="auto"/>
        </w:rPr>
      </w:pPr>
    </w:p>
    <w:p>
      <w:pPr>
        <w:ind w:left="300" w:right="379" w:firstLine="360"/>
        <w:spacing w:after="0" w:line="289" w:lineRule="auto"/>
        <w:rPr>
          <w:sz w:val="20"/>
          <w:szCs w:val="20"/>
          <w:color w:val="auto"/>
        </w:rPr>
      </w:pPr>
      <w:r>
        <w:rPr>
          <w:rFonts w:ascii="Times New Roman" w:cs="Times New Roman" w:eastAsia="Times New Roman" w:hAnsi="Times New Roman"/>
          <w:sz w:val="17"/>
          <w:szCs w:val="17"/>
          <w:color w:val="auto"/>
        </w:rPr>
        <w:t>On January 24, 2024, Mr. Lewis and Mr. Callicutt were awarded the options noted below based on 2023 performance. For the performance options, 25% vest on each of June 30, 2024, December 31, 2024, June 30, 2025, and December 31, 2025. The exercise price of the options is set at the closing price of our stock as of the grant date.</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3"/>
                <w:szCs w:val="13"/>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6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4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87"/>
        </w:trPr>
        <w:tc>
          <w:tcPr>
            <w:tcW w:w="47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 Options</w:t>
            </w:r>
          </w:p>
        </w:tc>
        <w:tc>
          <w:tcPr>
            <w:tcW w:w="24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1/24/2024</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91,000</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$1.72</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8"/>
              </w:rPr>
              <w:t>1/24/2024</w:t>
            </w:r>
          </w:p>
        </w:tc>
        <w:tc>
          <w:tcPr>
            <w:tcW w:w="15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65,000</w:t>
            </w:r>
          </w:p>
        </w:tc>
        <w:tc>
          <w:tcPr>
            <w:tcW w:w="11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$1.72</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Also, on January 24, 2024, Mr. Lewis and Mr. Callicutt were granted restricted stock units of 56,000 shares and 40,000 shares, respectively. These restricted stock units vesting only would occur if the Company presented top-line results from its NAVIGATE clinical trial by the end of 2024. The restricted stock units vested on December 20, 2024.</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Material Terms of Employment Contracts of Named Executive Officers</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Set forth below are descriptions of the principal terms of the employment agreements for each of our NEOs. Each employment agreement provides for post-termination restrictive covenants and payments due upon termination of employment or change in control of the Company, which is provided in further detail under the section entitled “Potential Payments Upon Termination or Change in Control.”</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Joel Lewis, Chief Executive Officer</w:t>
      </w:r>
    </w:p>
    <w:p>
      <w:pPr>
        <w:spacing w:after="0" w:line="119" w:lineRule="exact"/>
        <w:rPr>
          <w:sz w:val="20"/>
          <w:szCs w:val="20"/>
          <w:color w:val="auto"/>
        </w:rPr>
      </w:pPr>
    </w:p>
    <w:p>
      <w:pPr>
        <w:ind w:left="300" w:right="599" w:firstLine="360"/>
        <w:spacing w:after="0" w:line="312" w:lineRule="auto"/>
        <w:rPr>
          <w:sz w:val="20"/>
          <w:szCs w:val="20"/>
          <w:color w:val="auto"/>
        </w:rPr>
      </w:pPr>
      <w:r>
        <w:rPr>
          <w:rFonts w:ascii="Times New Roman" w:cs="Times New Roman" w:eastAsia="Times New Roman" w:hAnsi="Times New Roman"/>
          <w:sz w:val="17"/>
          <w:szCs w:val="17"/>
          <w:color w:val="auto"/>
        </w:rPr>
        <w:t>In connection with the appointment of Mr. Lewis, the Company and Mr. Lewis entered into an employment agreement, dated August 31, 2020 (the “</w:t>
      </w:r>
      <w:r>
        <w:rPr>
          <w:rFonts w:ascii="Times New Roman" w:cs="Times New Roman" w:eastAsia="Times New Roman" w:hAnsi="Times New Roman"/>
          <w:sz w:val="17"/>
          <w:szCs w:val="17"/>
          <w:u w:val="single" w:color="auto"/>
          <w:color w:val="auto"/>
        </w:rPr>
        <w:t>Employment Agreement</w:t>
      </w:r>
      <w:r>
        <w:rPr>
          <w:rFonts w:ascii="Times New Roman" w:cs="Times New Roman" w:eastAsia="Times New Roman" w:hAnsi="Times New Roman"/>
          <w:sz w:val="17"/>
          <w:szCs w:val="17"/>
          <w:color w:val="auto"/>
        </w:rPr>
        <w:t>”), and a Deferred Stock Unit Agreement, dated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August 31, 2020 (the “</w:t>
      </w:r>
      <w:r>
        <w:rPr>
          <w:rFonts w:ascii="Times New Roman" w:cs="Times New Roman" w:eastAsia="Times New Roman" w:hAnsi="Times New Roman"/>
          <w:sz w:val="18"/>
          <w:szCs w:val="18"/>
          <w:u w:val="single" w:color="auto"/>
          <w:color w:val="auto"/>
        </w:rPr>
        <w:t>DSU Agreement</w:t>
      </w:r>
      <w:r>
        <w:rPr>
          <w:rFonts w:ascii="Times New Roman" w:cs="Times New Roman" w:eastAsia="Times New Roman" w:hAnsi="Times New Roman"/>
          <w:sz w:val="18"/>
          <w:szCs w:val="18"/>
          <w:color w:val="auto"/>
        </w:rPr>
        <w:t>”). The Employment Agreement has an initial term of two years and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automatically renews for additional one-year terms thereafter, unless either Mr. Lewis or the Company elects not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renew. Mr. Lewis will serve as Chief Executive Officer of the Company effective as of September 2, 2020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Start Date</w:t>
      </w:r>
      <w:r>
        <w:rPr>
          <w:rFonts w:ascii="Times New Roman" w:cs="Times New Roman" w:eastAsia="Times New Roman" w:hAnsi="Times New Roman"/>
          <w:sz w:val="18"/>
          <w:szCs w:val="18"/>
          <w:color w:val="auto"/>
        </w:rPr>
        <w:t>”), and will be paid an annual base salary of $500,000. Under the terms of the Employment Agreement,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 of his base salary will be paid in cash, and 80% will be paid in the form of deferred-stock-units (“</w:t>
      </w:r>
      <w:r>
        <w:rPr>
          <w:rFonts w:ascii="Times New Roman" w:cs="Times New Roman" w:eastAsia="Times New Roman" w:hAnsi="Times New Roman"/>
          <w:sz w:val="18"/>
          <w:szCs w:val="18"/>
          <w:u w:val="single" w:color="auto"/>
          <w:color w:val="auto"/>
        </w:rPr>
        <w:t>DSUs</w:t>
      </w:r>
      <w:r>
        <w:rPr>
          <w:rFonts w:ascii="Times New Roman" w:cs="Times New Roman" w:eastAsia="Times New Roman" w:hAnsi="Times New Roman"/>
          <w:sz w:val="18"/>
          <w:szCs w:val="18"/>
          <w:color w:val="auto"/>
        </w:rPr>
        <w:t>”)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accordance with the terms and subject to the provisions set forth in the DSU Agreement. In addition, Mr. Lewis is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entitled to participate in the Company’s performance bonus plan with a potential of up to 50% of his annual base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salary, which will also be paid 20% in cash and 80% in DSU’s. Further, Mr. Lewis received on the date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agreement an initial grant of options to purchase 250,000 shares of the Company’s common stock, par value $0.001</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per share, which options shall vest one-twelfth on a quarterly basis for twelve consecutive quarters, such that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options shall be fully vested twelve quarters following the date of grant (the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The options under the Award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shall be issued pursuant to the Company’s 2019 Omnibus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Pursuant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Employment Agreement, Mr. Lewis is also eligible to receive healthcare benefits as may be provided from time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time by the Company to its employees generally, to participate in the Company’s 401(k) plan and to receive paid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time off annually in accordance with the Company’s policies in effect from time to time. Finally, pursuant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Employment Agreement, the Company will be required to furnish a lump sum cash payment to Mr. Lewis upon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termination of Mr. Lewis without “Cause” or upon Mr. Lewis’ resignation for “Good Reason” as such terms are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defined in the Employment Agreement or in the event the Company gives notice of non-renewal on or before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30, 2023. The Employment Agreement includes customary intellectual property, assignment, and other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representations by Mr. Lewis.</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July 25, 2022, we entered into amendments to the Employment Agreement and DSU Agreement with</w:t>
      </w:r>
    </w:p>
    <w:p>
      <w:pPr>
        <w:spacing w:after="0" w:line="27"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Mr. Lewis. Pursuant to the amendments, Mr. Lewis’ base salary earned in 2023 will be paid 20% in cash and 80% in DSUs. Additionally, the term of the Employment Agreement was extended until December 31, 2024. Unless either party gives written notice of non-renewal at least 60 days prior to December 31, 2024, the amended employment agreement will automatically renew for an additional twelve months. Also, if either Mr. Lewis terminates his employment for Good Reason (ii) the Company terminates Mr. Lewis’s employment without Cause, or if this Employment Agreement expires as a result of the Company giving written notice of non-renewal, then the Company shall pay to Mr. Lewis (1) any accrued benefits, (2) a lump sum amount equal to twelve (12) months of Mr. Lewis’s base salary payable within thirty (30) days after the date of such termination, and (3) the performance bonus, if any, for the year in which termination occurs, based on actual individual and Company performance results and multiplied by a fraction, (A) the numerator of which shall be the number of days elapsed from the beginning of the fiscal year in which such termination occurs and (B) the denominator of which shall be 365; provided, however, that the portion of the performance bonus payable in the form of DSUs, will be paid in accordance with the terms of the DSU Award Agreements. Notwithstanding the foregoing, the payments described in clauses above are expressly conditioned upon Mr. Lewis executing returning a full release of the Company and its affiliates and from all obligations and any usual and customary indemnification obligations of the Company to Mr. Lewis as an officer thereof.</w:t>
      </w:r>
    </w:p>
    <w:p>
      <w:pPr>
        <w:spacing w:after="0" w:line="82"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Deferred Stock Unit Agreement with Mr. Lewis specifies that 20% of his base salary and performance bonuses will be paid in cash, and 80% will be paid in the form of deferred stock units (“DSUs”) through December 31, 2022 in accordance with the terms and subject to the provisions set forth in the DSU Agreement. DSUs credited to Mr. Lewis as of any date shall be fully vested and nonforfeitable at all times. Pursuant to an amendment to the DSU Agreement in July 2022, the Company shall issue the shares earned through December 31, 2022 underlying the outstanding whole number of DSUs credited to Mr. Lewis as follows: twenty five percent shall be issued on March 1, 2023, fifty percent shall be issued on March 1, 2024 and twenty five percent shall be issued on September 1, 2028. On March 1, 2023, twenty five percent of the DSU’s were issued to Mr. Lewis in accordance with the DSU Agreement. A total of 183,900 shares were due to be issued; however, 75,529 shares were withheld to cover income tax withholding of $156,345 resulting in 108,371 shares actually issued. Additionally, a 2023</w:t>
      </w:r>
    </w:p>
    <w:p>
      <w:pPr>
        <w:spacing w:after="0" w:line="5" w:lineRule="exact"/>
        <w:rPr>
          <w:sz w:val="20"/>
          <w:szCs w:val="20"/>
          <w:color w:val="auto"/>
        </w:rPr>
      </w:pPr>
    </w:p>
    <w:p>
      <w:pPr>
        <w:jc w:val="both"/>
        <w:ind w:left="300" w:right="519"/>
        <w:spacing w:after="0" w:line="255" w:lineRule="auto"/>
        <w:rPr>
          <w:sz w:val="20"/>
          <w:szCs w:val="20"/>
          <w:color w:val="auto"/>
        </w:rPr>
      </w:pPr>
      <w:r>
        <w:rPr>
          <w:rFonts w:ascii="Times New Roman" w:cs="Times New Roman" w:eastAsia="Times New Roman" w:hAnsi="Times New Roman"/>
          <w:sz w:val="18"/>
          <w:szCs w:val="18"/>
          <w:color w:val="auto"/>
        </w:rPr>
        <w:t>DSU Agreement was executed in July 2022, whereby Mr. Lewis would continue to receive 20% of salary in cash and 80% in DSUs for 2023. The shares under the 2023 DSU Agreement are to be issued fifty percent on March 1, 2025 and fifty percent on January 5, 2026.</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Khurram Jamil, M.D., Chief Medical Officer</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August 1, 2024, the Company entered into an Employment Agreement with Dr. Jamil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“Jamil Employment Agreement”), which governs the terms of Dr. Jamil’s employment in his position as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Company’s Chief Medical Officer. Dr. Jamil will serve as the Chief Medical Officer of the Company during 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519"/>
        <w:spacing w:after="0" w:line="276" w:lineRule="auto"/>
        <w:rPr>
          <w:sz w:val="20"/>
          <w:szCs w:val="20"/>
          <w:color w:val="auto"/>
        </w:rPr>
      </w:pPr>
      <w:r>
        <w:rPr>
          <w:rFonts w:ascii="Times New Roman" w:cs="Times New Roman" w:eastAsia="Times New Roman" w:hAnsi="Times New Roman"/>
          <w:sz w:val="17"/>
          <w:szCs w:val="17"/>
          <w:color w:val="auto"/>
        </w:rPr>
        <w:t>initial term that commences on August 1, 2024 (the “</w:t>
      </w:r>
      <w:r>
        <w:rPr>
          <w:rFonts w:ascii="Times New Roman" w:cs="Times New Roman" w:eastAsia="Times New Roman" w:hAnsi="Times New Roman"/>
          <w:sz w:val="17"/>
          <w:szCs w:val="17"/>
          <w:u w:val="single" w:color="auto"/>
          <w:color w:val="auto"/>
        </w:rPr>
        <w:t>Commencement Date</w:t>
      </w:r>
      <w:r>
        <w:rPr>
          <w:rFonts w:ascii="Times New Roman" w:cs="Times New Roman" w:eastAsia="Times New Roman" w:hAnsi="Times New Roman"/>
          <w:sz w:val="17"/>
          <w:szCs w:val="17"/>
          <w:color w:val="auto"/>
        </w:rPr>
        <w:t>”) and expires on August 1, 2025 (the “</w:t>
      </w:r>
      <w:r>
        <w:rPr>
          <w:rFonts w:ascii="Times New Roman" w:cs="Times New Roman" w:eastAsia="Times New Roman" w:hAnsi="Times New Roman"/>
          <w:sz w:val="17"/>
          <w:szCs w:val="17"/>
          <w:u w:val="single" w:color="auto"/>
          <w:color w:val="auto"/>
        </w:rPr>
        <w:t>Initial Term</w:t>
      </w:r>
      <w:r>
        <w:rPr>
          <w:rFonts w:ascii="Times New Roman" w:cs="Times New Roman" w:eastAsia="Times New Roman" w:hAnsi="Times New Roman"/>
          <w:sz w:val="17"/>
          <w:szCs w:val="17"/>
          <w:color w:val="auto"/>
        </w:rPr>
        <w:t>”). Following the Initial Term, the term of the Agreement automatically renews for successive twelve</w:t>
      </w:r>
    </w:p>
    <w:p>
      <w:pPr>
        <w:spacing w:after="0" w:line="1" w:lineRule="exact"/>
        <w:rPr>
          <w:sz w:val="20"/>
          <w:szCs w:val="20"/>
          <w:color w:val="auto"/>
        </w:rPr>
      </w:pPr>
    </w:p>
    <w:p>
      <w:pPr>
        <w:ind w:left="300" w:right="299" w:hanging="8"/>
        <w:spacing w:after="0" w:line="250" w:lineRule="auto"/>
        <w:tabs>
          <w:tab w:leader="none" w:pos="6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terms unless either party provides the other party with notice of non-renewal at least sixty (60) days prior to the expiration of the then-current term. Under the Agreement, the Company has agreed to pay Dr. Jamil a base salary of $500,000 per year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Provided that certain performance objectives are met, Dr. Jamil will also be entitled to receive an annual performance bonus equal to thirty percent (30%) of the Base Salary (the “</w:t>
      </w:r>
      <w:r>
        <w:rPr>
          <w:rFonts w:ascii="Times New Roman" w:cs="Times New Roman" w:eastAsia="Times New Roman" w:hAnsi="Times New Roman"/>
          <w:sz w:val="18"/>
          <w:szCs w:val="18"/>
          <w:u w:val="single" w:color="auto"/>
          <w:color w:val="auto"/>
        </w:rPr>
        <w:t>Performance Bonus</w:t>
      </w:r>
      <w:r>
        <w:rPr>
          <w:rFonts w:ascii="Times New Roman" w:cs="Times New Roman" w:eastAsia="Times New Roman" w:hAnsi="Times New Roman"/>
          <w:sz w:val="18"/>
          <w:szCs w:val="18"/>
          <w:color w:val="auto"/>
        </w:rPr>
        <w:t>”). Subject to certain restrictions described in the Agreement, Dr. Jamil was granted options to purchase 100,000 shares (the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of the Company’s common stock and restricted stock units for</w:t>
      </w:r>
    </w:p>
    <w:p>
      <w:pPr>
        <w:spacing w:after="0" w:line="2" w:lineRule="exact"/>
        <w:rPr>
          <w:rFonts w:ascii="Times New Roman" w:cs="Times New Roman" w:eastAsia="Times New Roman" w:hAnsi="Times New Roman"/>
          <w:sz w:val="18"/>
          <w:szCs w:val="18"/>
          <w:color w:val="auto"/>
        </w:rPr>
      </w:pPr>
    </w:p>
    <w:p>
      <w:pPr>
        <w:ind w:left="300" w:right="4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shares of the Company’s common stock pursuant to the Company’s 2019 Omnibus Equity Incentive Plan. The Options vest as follows: twenty-five percent (25%) of the Options shall vest upon each of October 31, 2024; January 31, 2025; April 30, 2025; and July 31, 2025. The restricted stock units vesting only would occur if the Company presented top-line results from its NAVIGATE clinical trial by the end of 2024. The restricted stock units vested on December 20, 2024.</w:t>
      </w:r>
    </w:p>
    <w:p>
      <w:pPr>
        <w:spacing w:after="0" w:line="79"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Prior to his appointment as Chief Medical Officer, on March 11, 2024, Dr. Jamil joined the Company as vice president of clinical development and medical director. His annual salary was $400,000. He also was granted options to purchase 150,000 shares of the Company’s common stock which vest one-third at each of the first three anniversaries of his employment date. Additionally, he was granted restricted stock units for 10,000 shares of the Company’s common stock. The restricted stock units vesting only would occur if the Company presented top-line results from its NAVIGATE clinical trial by the end of 2024. The restricted stock units vested on December 20, 2024.</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Jack W. Callicutt, Chief Financial Officer</w:t>
      </w:r>
    </w:p>
    <w:p>
      <w:pPr>
        <w:spacing w:after="0" w:line="119" w:lineRule="exact"/>
        <w:rPr>
          <w:sz w:val="20"/>
          <w:szCs w:val="20"/>
          <w:color w:val="auto"/>
        </w:rPr>
      </w:pPr>
    </w:p>
    <w:p>
      <w:pPr>
        <w:ind w:left="300" w:right="319" w:firstLine="360"/>
        <w:spacing w:after="0" w:line="269" w:lineRule="auto"/>
        <w:rPr>
          <w:sz w:val="20"/>
          <w:szCs w:val="20"/>
          <w:color w:val="auto"/>
        </w:rPr>
      </w:pPr>
      <w:r>
        <w:rPr>
          <w:rFonts w:ascii="Times New Roman" w:cs="Times New Roman" w:eastAsia="Times New Roman" w:hAnsi="Times New Roman"/>
          <w:sz w:val="17"/>
          <w:szCs w:val="17"/>
          <w:color w:val="auto"/>
        </w:rPr>
        <w:t>We entered into an employment agreement with Mr. Callicutt dated July 1, 2013 (the “Callicutt Employment Agreement”), in conjunction with Mr. Callicutt’s appointment as our Chief Financial Officer. Pursuant to the terms of the Callicutt Employment Agreement, Mr. Callicutt received an initial base salary of $175,000 and was eligible to receive a performance bonus equal to 20% of his base salary. Effective March 31, 2015, Mr. Callicutt’s annual base salary was increased to $240,000, and his annual base salary was increased again to $260,000 in February 2016. In June 2018, Mr. Callicutt’s annual base salary increased to $285,000. He also received a signing bonus of $10,000. In addition to his cash compensation, the Company awarded Mr. Callicutt a grant of options to purchase 200,000 shares of the Company’s Common Stock at an exercise price equal to the closing price of the Company’s Common Stock on July 1, 2013, with 25,000 shares vesting on December 31, 2013, 50,000 shares vesting on December 31, 2014, 50,000 shares vesting on December 31, 2015 and 75,000 shares vesting on December 31, 2016. The options were granted pursuant to the 2009 Incentive Compensation Plan and expire ten years after the date of grant.</w:t>
      </w:r>
    </w:p>
    <w:p>
      <w:pPr>
        <w:spacing w:after="0" w:line="74"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On August 11, 2017, we entered into an amendment to the Callicutt Employment Agreement with Mr. Callicutt (the “Amendment”). Pursuant to the Amendment, (i) Mr. Callicutt’s target bonus opportunity was increased to 30% of his base salary and (ii) an error in the severance provision of the Callicutt Employment Agreement was corrected. Prior to the Amendment, the Callicutt Employment Agreement did not provide for any severance if Mr. Callicutt’s employment was terminated by the Company “without cause,” or by Mr. Callicutt for “good reason” after the date that was 24 months after the Commencement Date.</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 &amp; Perquisites</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From time to time, the Company has provided the NEOs with employee benefits and perquisites that our Board believes are reasonable. Our NEOs are eligible to participate in the same broad-based employee benefit plans that are offered to our other employees, such as health insurance, disability insurance, life insurance and a 401(k) plan. These benefits are provided as part of the basic conditions of employment for all of our employees, and therefore providing them to our NEOs does not represent a significant incremental cost to us. The Company does not view employee benefits and perquisites as a significant element of its comprehensive compensation structure, but does believe they can be useful in attracting, motivating, and retaining the executive talent for which the Company competes. The Company believes that these additional benefits may assist the NEOs in performing their duties and provide time efficiencies for the NEOs in appropriate circumstances, and the Company may consider providing additional employee benefits and perquisites in the future. All future practices regarding employee benefits and perquisites will be approved and subject to periodic review by the Compensation Committee.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compensation paid to our NEOs for the fiscal years ended December 31,</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2024 and 2023.</w:t>
      </w:r>
    </w:p>
    <w:p>
      <w:pPr>
        <w:spacing w:after="0" w:line="21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40" w:type="dxa"/>
            <w:vAlign w:val="bottom"/>
          </w:tcPr>
          <w:p>
            <w:pPr>
              <w:spacing w:after="0"/>
              <w:rPr>
                <w:sz w:val="16"/>
                <w:szCs w:val="16"/>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6"/>
                <w:szCs w:val="16"/>
                <w:color w:val="auto"/>
              </w:rPr>
            </w:pPr>
          </w:p>
        </w:tc>
        <w:tc>
          <w:tcPr>
            <w:tcW w:w="9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6"/>
                <w:szCs w:val="16"/>
                <w:color w:val="auto"/>
              </w:rPr>
            </w:pPr>
          </w:p>
        </w:tc>
        <w:tc>
          <w:tcPr>
            <w:tcW w:w="7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4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8"/>
                <w:szCs w:val="18"/>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8"/>
                <w:szCs w:val="18"/>
                <w:color w:val="auto"/>
              </w:rPr>
            </w:pPr>
          </w:p>
        </w:tc>
        <w:tc>
          <w:tcPr>
            <w:tcW w:w="9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(1)</w:t>
            </w:r>
          </w:p>
        </w:tc>
        <w:tc>
          <w:tcPr>
            <w:tcW w:w="120" w:type="dxa"/>
            <w:vAlign w:val="bottom"/>
          </w:tcPr>
          <w:p>
            <w:pPr>
              <w:spacing w:after="0"/>
              <w:rPr>
                <w:sz w:val="18"/>
                <w:szCs w:val="18"/>
                <w:color w:val="auto"/>
              </w:rPr>
            </w:pPr>
          </w:p>
        </w:tc>
        <w:tc>
          <w:tcPr>
            <w:tcW w:w="9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center"/>
              <w:spacing w:after="0" w:line="223" w:lineRule="exact"/>
              <w:rPr>
                <w:sz w:val="20"/>
                <w:szCs w:val="20"/>
                <w:color w:val="auto"/>
              </w:rPr>
            </w:pPr>
            <w:r>
              <w:rPr>
                <w:rFonts w:ascii="Times New Roman" w:cs="Times New Roman" w:eastAsia="Times New Roman" w:hAnsi="Times New Roman"/>
                <w:sz w:val="16"/>
                <w:szCs w:val="16"/>
                <w:color w:val="auto"/>
              </w:rPr>
              <w:t>2024</w:t>
            </w:r>
            <w:r>
              <w:rPr>
                <w:rFonts w:ascii="Times New Roman" w:cs="Times New Roman" w:eastAsia="Times New Roman" w:hAnsi="Times New Roman"/>
                <w:sz w:val="25"/>
                <w:szCs w:val="25"/>
                <w:color w:val="auto"/>
                <w:vertAlign w:val="superscript"/>
              </w:rPr>
              <w:t>(2)</w:t>
            </w:r>
          </w:p>
        </w:tc>
        <w:tc>
          <w:tcPr>
            <w:tcW w:w="8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620,167</w:t>
            </w:r>
          </w:p>
        </w:tc>
        <w:tc>
          <w:tcPr>
            <w:tcW w:w="7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312,000</w:t>
            </w:r>
          </w:p>
        </w:tc>
        <w:tc>
          <w:tcPr>
            <w:tcW w:w="10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202,635</w:t>
            </w:r>
          </w:p>
        </w:tc>
        <w:tc>
          <w:tcPr>
            <w:tcW w:w="1080" w:type="dxa"/>
            <w:vAlign w:val="bottom"/>
            <w:gridSpan w:val="2"/>
            <w:shd w:val="clear" w:color="auto" w:fill="CCEEFF"/>
          </w:tcPr>
          <w:p>
            <w:pPr>
              <w:ind w:left="320"/>
              <w:spacing w:after="0" w:line="223" w:lineRule="exact"/>
              <w:rPr>
                <w:sz w:val="20"/>
                <w:szCs w:val="20"/>
                <w:color w:val="auto"/>
              </w:rPr>
            </w:pPr>
            <w:r>
              <w:rPr>
                <w:rFonts w:ascii="Times New Roman" w:cs="Times New Roman" w:eastAsia="Times New Roman" w:hAnsi="Times New Roman"/>
                <w:sz w:val="16"/>
                <w:szCs w:val="16"/>
                <w:color w:val="auto"/>
              </w:rPr>
              <w:t>54,872</w:t>
            </w:r>
            <w:r>
              <w:rPr>
                <w:rFonts w:ascii="Times New Roman" w:cs="Times New Roman" w:eastAsia="Times New Roman" w:hAnsi="Times New Roman"/>
                <w:sz w:val="25"/>
                <w:szCs w:val="25"/>
                <w:color w:val="auto"/>
                <w:vertAlign w:val="superscript"/>
              </w:rPr>
              <w:t>(3)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1,189,674</w:t>
            </w: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Executive Officer &amp; President</w:t>
            </w:r>
          </w:p>
        </w:tc>
        <w:tc>
          <w:tcPr>
            <w:tcW w:w="140" w:type="dxa"/>
            <w:vAlign w:val="bottom"/>
            <w:shd w:val="clear" w:color="auto" w:fill="CCEEFF"/>
          </w:tcPr>
          <w:p>
            <w:pPr>
              <w:spacing w:after="0"/>
              <w:rPr>
                <w:sz w:val="20"/>
                <w:szCs w:val="20"/>
                <w:color w:val="auto"/>
              </w:rPr>
            </w:pPr>
          </w:p>
        </w:tc>
        <w:tc>
          <w:tcPr>
            <w:tcW w:w="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2023</w:t>
            </w:r>
            <w:r>
              <w:rPr>
                <w:rFonts w:ascii="Times New Roman" w:cs="Times New Roman" w:eastAsia="Times New Roman" w:hAnsi="Times New Roman"/>
                <w:sz w:val="29"/>
                <w:szCs w:val="29"/>
                <w:color w:val="auto"/>
                <w:w w:val="92"/>
                <w:vertAlign w:val="superscript"/>
              </w:rPr>
              <w:t>(2)</w:t>
            </w:r>
          </w:p>
        </w:tc>
        <w:tc>
          <w:tcPr>
            <w:tcW w:w="840" w:type="dxa"/>
            <w:vAlign w:val="bottom"/>
            <w:gridSpan w:val="2"/>
            <w:vMerge w:val="restart"/>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573,583</w:t>
            </w:r>
          </w:p>
        </w:tc>
        <w:tc>
          <w:tcPr>
            <w:tcW w:w="720" w:type="dxa"/>
            <w:vAlign w:val="bottom"/>
            <w:gridSpan w:val="2"/>
            <w:vMerge w:val="restart"/>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289,000</w:t>
            </w:r>
          </w:p>
        </w:tc>
        <w:tc>
          <w:tcPr>
            <w:tcW w:w="104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55,924</w:t>
            </w:r>
          </w:p>
        </w:tc>
        <w:tc>
          <w:tcPr>
            <w:tcW w:w="108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45,140</w:t>
            </w:r>
            <w:r>
              <w:rPr>
                <w:rFonts w:ascii="Times New Roman" w:cs="Times New Roman" w:eastAsia="Times New Roman" w:hAnsi="Times New Roman"/>
                <w:sz w:val="29"/>
                <w:szCs w:val="29"/>
                <w:color w:val="auto"/>
                <w:vertAlign w:val="superscript"/>
              </w:rPr>
              <w:t>(4)</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963,647</w:t>
            </w:r>
          </w:p>
        </w:tc>
        <w:tc>
          <w:tcPr>
            <w:tcW w:w="0" w:type="dxa"/>
            <w:vAlign w:val="bottom"/>
          </w:tcPr>
          <w:p>
            <w:pPr>
              <w:spacing w:after="0"/>
              <w:rPr>
                <w:sz w:val="1"/>
                <w:szCs w:val="1"/>
                <w:color w:val="auto"/>
              </w:rPr>
            </w:pPr>
          </w:p>
        </w:tc>
      </w:tr>
      <w:tr>
        <w:trPr>
          <w:trHeight w:val="117"/>
        </w:trPr>
        <w:tc>
          <w:tcPr>
            <w:tcW w:w="3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040" w:type="dxa"/>
            <w:vAlign w:val="bottom"/>
            <w:gridSpan w:val="2"/>
            <w:vMerge w:val="continue"/>
            <w:shd w:val="clear" w:color="auto" w:fill="CCEEFF"/>
          </w:tcPr>
          <w:p>
            <w:pPr>
              <w:spacing w:after="0"/>
              <w:rPr>
                <w:sz w:val="10"/>
                <w:szCs w:val="10"/>
                <w:color w:val="auto"/>
              </w:rPr>
            </w:pPr>
          </w:p>
        </w:tc>
        <w:tc>
          <w:tcPr>
            <w:tcW w:w="1080" w:type="dxa"/>
            <w:vAlign w:val="bottom"/>
            <w:gridSpan w:val="2"/>
            <w:vMerge w:val="continue"/>
            <w:shd w:val="clear" w:color="auto" w:fill="CCEEFF"/>
          </w:tcPr>
          <w:p>
            <w:pPr>
              <w:spacing w:after="0"/>
              <w:rPr>
                <w:sz w:val="10"/>
                <w:szCs w:val="10"/>
                <w:color w:val="auto"/>
              </w:rPr>
            </w:pPr>
          </w:p>
        </w:tc>
        <w:tc>
          <w:tcPr>
            <w:tcW w:w="86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Khurram Jamil, M.D.,</w:t>
            </w:r>
          </w:p>
        </w:tc>
        <w:tc>
          <w:tcPr>
            <w:tcW w:w="140" w:type="dxa"/>
            <w:vAlign w:val="bottom"/>
          </w:tcPr>
          <w:p>
            <w:pPr>
              <w:spacing w:after="0"/>
              <w:rPr>
                <w:sz w:val="18"/>
                <w:szCs w:val="18"/>
                <w:color w:val="auto"/>
              </w:rPr>
            </w:pPr>
          </w:p>
        </w:tc>
        <w:tc>
          <w:tcPr>
            <w:tcW w:w="5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2024</w:t>
            </w:r>
            <w:r>
              <w:rPr>
                <w:rFonts w:ascii="Times New Roman" w:cs="Times New Roman" w:eastAsia="Times New Roman" w:hAnsi="Times New Roman"/>
                <w:sz w:val="25"/>
                <w:szCs w:val="25"/>
                <w:color w:val="auto"/>
                <w:vertAlign w:val="superscript"/>
              </w:rPr>
              <w:t>(6)</w:t>
            </w:r>
          </w:p>
        </w:tc>
        <w:tc>
          <w:tcPr>
            <w:tcW w:w="8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365,909</w:t>
            </w:r>
          </w:p>
        </w:tc>
        <w:tc>
          <w:tcPr>
            <w:tcW w:w="7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120,625</w:t>
            </w:r>
          </w:p>
        </w:tc>
        <w:tc>
          <w:tcPr>
            <w:tcW w:w="10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398,500</w:t>
            </w:r>
          </w:p>
        </w:tc>
        <w:tc>
          <w:tcPr>
            <w:tcW w:w="1080" w:type="dxa"/>
            <w:vAlign w:val="bottom"/>
            <w:gridSpan w:val="2"/>
          </w:tcPr>
          <w:p>
            <w:pPr>
              <w:ind w:left="320"/>
              <w:spacing w:after="0" w:line="216" w:lineRule="exact"/>
              <w:rPr>
                <w:sz w:val="20"/>
                <w:szCs w:val="20"/>
                <w:color w:val="auto"/>
              </w:rPr>
            </w:pPr>
            <w:r>
              <w:rPr>
                <w:rFonts w:ascii="Times New Roman" w:cs="Times New Roman" w:eastAsia="Times New Roman" w:hAnsi="Times New Roman"/>
                <w:sz w:val="16"/>
                <w:szCs w:val="16"/>
                <w:color w:val="auto"/>
              </w:rPr>
              <w:t>60,813</w:t>
            </w:r>
            <w:r>
              <w:rPr>
                <w:rFonts w:ascii="Times New Roman" w:cs="Times New Roman" w:eastAsia="Times New Roman" w:hAnsi="Times New Roman"/>
                <w:sz w:val="25"/>
                <w:szCs w:val="25"/>
                <w:color w:val="auto"/>
                <w:vertAlign w:val="superscript"/>
              </w:rPr>
              <w:t>(7)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945,847</w:t>
            </w:r>
          </w:p>
        </w:tc>
        <w:tc>
          <w:tcPr>
            <w:tcW w:w="0" w:type="dxa"/>
            <w:vAlign w:val="bottom"/>
          </w:tcPr>
          <w:p>
            <w:pPr>
              <w:spacing w:after="0"/>
              <w:rPr>
                <w:sz w:val="1"/>
                <w:szCs w:val="1"/>
                <w:color w:val="auto"/>
              </w:rPr>
            </w:pPr>
          </w:p>
        </w:tc>
      </w:tr>
      <w:tr>
        <w:trPr>
          <w:trHeight w:val="283"/>
        </w:trPr>
        <w:tc>
          <w:tcPr>
            <w:tcW w:w="320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color w:val="auto"/>
              </w:rPr>
              <w:t>Chief Medical Officer</w:t>
            </w:r>
            <w:r>
              <w:rPr>
                <w:rFonts w:ascii="Times New Roman" w:cs="Times New Roman" w:eastAsia="Times New Roman" w:hAnsi="Times New Roman"/>
                <w:sz w:val="29"/>
                <w:szCs w:val="29"/>
                <w:color w:val="auto"/>
                <w:vertAlign w:val="superscript"/>
              </w:rPr>
              <w:t>(5)</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2024</w:t>
            </w:r>
            <w:r>
              <w:rPr>
                <w:rFonts w:ascii="Times New Roman" w:cs="Times New Roman" w:eastAsia="Times New Roman" w:hAnsi="Times New Roman"/>
                <w:sz w:val="25"/>
                <w:szCs w:val="25"/>
                <w:color w:val="auto"/>
                <w:vertAlign w:val="superscript"/>
              </w:rPr>
              <w:t>(8)</w:t>
            </w:r>
          </w:p>
        </w:tc>
        <w:tc>
          <w:tcPr>
            <w:tcW w:w="8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397,333</w:t>
            </w:r>
          </w:p>
        </w:tc>
        <w:tc>
          <w:tcPr>
            <w:tcW w:w="7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120,000</w:t>
            </w:r>
          </w:p>
        </w:tc>
        <w:tc>
          <w:tcPr>
            <w:tcW w:w="10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144,740</w:t>
            </w:r>
          </w:p>
        </w:tc>
        <w:tc>
          <w:tcPr>
            <w:tcW w:w="1080" w:type="dxa"/>
            <w:vAlign w:val="bottom"/>
            <w:gridSpan w:val="2"/>
            <w:shd w:val="clear" w:color="auto" w:fill="CCEEFF"/>
          </w:tcPr>
          <w:p>
            <w:pPr>
              <w:ind w:left="320"/>
              <w:spacing w:after="0" w:line="216" w:lineRule="exact"/>
              <w:rPr>
                <w:sz w:val="20"/>
                <w:szCs w:val="20"/>
                <w:color w:val="auto"/>
              </w:rPr>
            </w:pPr>
            <w:r>
              <w:rPr>
                <w:rFonts w:ascii="Times New Roman" w:cs="Times New Roman" w:eastAsia="Times New Roman" w:hAnsi="Times New Roman"/>
                <w:sz w:val="16"/>
                <w:szCs w:val="16"/>
                <w:color w:val="auto"/>
              </w:rPr>
              <w:t>54,872</w:t>
            </w:r>
            <w:r>
              <w:rPr>
                <w:rFonts w:ascii="Times New Roman" w:cs="Times New Roman" w:eastAsia="Times New Roman" w:hAnsi="Times New Roman"/>
                <w:sz w:val="25"/>
                <w:szCs w:val="25"/>
                <w:color w:val="auto"/>
                <w:vertAlign w:val="superscript"/>
              </w:rPr>
              <w:t>(9)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716,945</w:t>
            </w: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140" w:type="dxa"/>
            <w:vAlign w:val="bottom"/>
            <w:shd w:val="clear" w:color="auto" w:fill="CCEEFF"/>
          </w:tcPr>
          <w:p>
            <w:pPr>
              <w:spacing w:after="0"/>
              <w:rPr>
                <w:sz w:val="20"/>
                <w:szCs w:val="20"/>
                <w:color w:val="auto"/>
              </w:rPr>
            </w:pPr>
          </w:p>
        </w:tc>
        <w:tc>
          <w:tcPr>
            <w:tcW w:w="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shd w:val="clear" w:color="auto" w:fill="CCEEFF"/>
              </w:rPr>
              <w:t>2023</w:t>
            </w:r>
            <w:r>
              <w:rPr>
                <w:rFonts w:ascii="Times New Roman" w:cs="Times New Roman" w:eastAsia="Times New Roman" w:hAnsi="Times New Roman"/>
                <w:sz w:val="29"/>
                <w:szCs w:val="29"/>
                <w:color w:val="auto"/>
                <w:w w:val="92"/>
                <w:vertAlign w:val="superscript"/>
                <w:shd w:val="clear" w:color="auto" w:fill="CCEEFF"/>
              </w:rPr>
              <w:t>(8)</w:t>
            </w:r>
          </w:p>
        </w:tc>
        <w:tc>
          <w:tcPr>
            <w:tcW w:w="840" w:type="dxa"/>
            <w:vAlign w:val="bottom"/>
            <w:gridSpan w:val="2"/>
            <w:vMerge w:val="restart"/>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364,000</w:t>
            </w:r>
          </w:p>
        </w:tc>
        <w:tc>
          <w:tcPr>
            <w:tcW w:w="720" w:type="dxa"/>
            <w:vAlign w:val="bottom"/>
            <w:gridSpan w:val="2"/>
            <w:vMerge w:val="restart"/>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110,400</w:t>
            </w:r>
          </w:p>
        </w:tc>
        <w:tc>
          <w:tcPr>
            <w:tcW w:w="104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39,946</w:t>
            </w:r>
          </w:p>
        </w:tc>
        <w:tc>
          <w:tcPr>
            <w:tcW w:w="108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0"/>
              </w:rPr>
              <w:t>47,073</w:t>
            </w:r>
            <w:r>
              <w:rPr>
                <w:rFonts w:ascii="Times New Roman" w:cs="Times New Roman" w:eastAsia="Times New Roman" w:hAnsi="Times New Roman"/>
                <w:sz w:val="29"/>
                <w:szCs w:val="29"/>
                <w:color w:val="auto"/>
                <w:w w:val="90"/>
                <w:vertAlign w:val="superscript"/>
              </w:rPr>
              <w:t>(10)</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561,419</w:t>
            </w:r>
          </w:p>
        </w:tc>
        <w:tc>
          <w:tcPr>
            <w:tcW w:w="0" w:type="dxa"/>
            <w:vAlign w:val="bottom"/>
          </w:tcPr>
          <w:p>
            <w:pPr>
              <w:spacing w:after="0"/>
              <w:rPr>
                <w:sz w:val="1"/>
                <w:szCs w:val="1"/>
                <w:color w:val="auto"/>
              </w:rPr>
            </w:pPr>
          </w:p>
        </w:tc>
      </w:tr>
      <w:tr>
        <w:trPr>
          <w:trHeight w:val="103"/>
        </w:trPr>
        <w:tc>
          <w:tcPr>
            <w:tcW w:w="3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720" w:type="dxa"/>
            <w:vAlign w:val="bottom"/>
            <w:gridSpan w:val="2"/>
            <w:vMerge w:val="continue"/>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2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39"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grant date fair value of restricted stock units and option awards made during 2024 and 2023 computed in accordance with the Stock Compensation Topic of the FASB ASC, as modified of supplemented. Option awards fair values were calculated using the Black-Scholes options pricing model. For a description of the assumptions used to determine these amounts, see Note 9 of the Notes to the Consolidated Financial Statements in our Annual Reports on Form 10-K for the fiscal years ended December 31, 2024 and 2023.</w:t>
      </w:r>
    </w:p>
    <w:p>
      <w:pPr>
        <w:spacing w:after="0" w:line="152" w:lineRule="exact"/>
        <w:rPr>
          <w:rFonts w:ascii="Times New Roman" w:cs="Times New Roman" w:eastAsia="Times New Roman" w:hAnsi="Times New Roman"/>
          <w:sz w:val="14"/>
          <w:szCs w:val="14"/>
          <w:color w:val="auto"/>
        </w:rPr>
      </w:pPr>
    </w:p>
    <w:p>
      <w:pPr>
        <w:ind w:left="640" w:right="759" w:hanging="348"/>
        <w:spacing w:after="0" w:line="24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Lewis’s performance bonuses for 2024 and 2023 were approved in January 2025 and January 2024, respectively. Pursuant to his employment agreement 20% of his salary and bonus were paid in cash and 80% were awarded in deferred stock units through December 31, 2023.</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$41,072 for health and other insurance and $13,800 for 401(k) plan contributions.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$33,244 for health and other insurance and $11,896 for 401(k) plan contributions.</w:t>
      </w:r>
    </w:p>
    <w:p>
      <w:pPr>
        <w:spacing w:after="0" w:line="41" w:lineRule="exact"/>
        <w:rPr>
          <w:rFonts w:ascii="Times New Roman" w:cs="Times New Roman" w:eastAsia="Times New Roman" w:hAnsi="Times New Roman"/>
          <w:sz w:val="14"/>
          <w:szCs w:val="14"/>
          <w:color w:val="auto"/>
        </w:rPr>
      </w:pPr>
    </w:p>
    <w:p>
      <w:pPr>
        <w:ind w:left="640" w:right="81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Jamil joined the Company in March 2024 as vice president of clinical development and was promoted to Chief Medical Officer effective August 1, 2024.</w:t>
      </w: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Jamil’s performance bonus for 2024 was approved in January 2025.</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$47,146 for health and other insurance and $13,667 for 401(k) plan contributions.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Callicutt’s performance bonuses for 2024 and 2023 were approved in January 2025 and January 2024, respectively.</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$41,072 for health and other insurance and $13,800 for 401(k) plan contributions.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$33,873 for health and other insurance and $12,200 for 401(k) plan contributions.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2024</w:t>
      </w:r>
    </w:p>
    <w:p>
      <w:pPr>
        <w:spacing w:after="0" w:line="121"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all outstanding equity awards held by the NEOs at December 31, 2024. The exercise price of the options is set at the closing price of our stock at the date prior to or as of the date of grant. Outstanding options have been approved by our Compensation Committee and our Board.</w:t>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35560</wp:posOffset>
            </wp:positionV>
            <wp:extent cx="925830" cy="1560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25830" cy="1560195"/>
                    </a:xfrm>
                    <a:prstGeom prst="rect">
                      <a:avLst/>
                    </a:prstGeom>
                    <a:noFill/>
                  </pic:spPr>
                </pic:pic>
              </a:graphicData>
            </a:graphic>
          </wp:anchor>
        </w:drawing>
      </w: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Joel Lewis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0" w:right="100"/>
        <w:spacing w:after="0" w:line="281" w:lineRule="auto"/>
        <w:rPr>
          <w:sz w:val="20"/>
          <w:szCs w:val="20"/>
          <w:color w:val="auto"/>
        </w:rPr>
      </w:pPr>
      <w:r>
        <w:rPr>
          <w:rFonts w:ascii="Times New Roman" w:cs="Times New Roman" w:eastAsia="Times New Roman" w:hAnsi="Times New Roman"/>
          <w:sz w:val="17"/>
          <w:szCs w:val="17"/>
          <w:color w:val="auto"/>
        </w:rPr>
        <w:t>Khurram Jamil, M.D.</w:t>
      </w:r>
    </w:p>
    <w:p>
      <w:pPr>
        <w:spacing w:after="0" w:line="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-111125</wp:posOffset>
            </wp:positionV>
            <wp:extent cx="891540" cy="2074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91540" cy="2074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3"/>
          </w:tcPr>
          <w:p>
            <w:pPr>
              <w:ind w:left="68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8"/>
        </w:trPr>
        <w:tc>
          <w:tcPr>
            <w:tcW w:w="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52"/>
        </w:trPr>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w:t>
            </w: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Plan</w:t>
            </w: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Plan</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Market</w:t>
            </w: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or Payout</w:t>
            </w: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Value of</w:t>
            </w: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Plan</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Value of</w:t>
            </w: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Unearned</w:t>
            </w: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0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Units or</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r>
      <w:tr>
        <w:trPr>
          <w:trHeight w:val="148"/>
        </w:trPr>
        <w:tc>
          <w:tcPr>
            <w:tcW w:w="4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Shares</w:t>
            </w:r>
          </w:p>
        </w:tc>
        <w:tc>
          <w:tcPr>
            <w:tcW w:w="10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or Units</w:t>
            </w: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Units or</w:t>
            </w:r>
          </w:p>
        </w:tc>
      </w:tr>
      <w:tr>
        <w:trPr>
          <w:trHeight w:val="148"/>
        </w:trPr>
        <w:tc>
          <w:tcPr>
            <w:tcW w:w="4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or Units</w:t>
            </w:r>
          </w:p>
        </w:tc>
        <w:tc>
          <w:tcPr>
            <w:tcW w:w="10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Stock</w:t>
            </w: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Rights</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Other</w:t>
            </w:r>
          </w:p>
        </w:tc>
      </w:tr>
      <w:tr>
        <w:trPr>
          <w:trHeight w:val="148"/>
        </w:trPr>
        <w:tc>
          <w:tcPr>
            <w:tcW w:w="4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Stock</w:t>
            </w:r>
          </w:p>
        </w:tc>
        <w:tc>
          <w:tcPr>
            <w:tcW w:w="10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That</w:t>
            </w: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That</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Rights</w:t>
            </w:r>
          </w:p>
        </w:tc>
      </w:tr>
      <w:tr>
        <w:trPr>
          <w:trHeight w:val="149"/>
        </w:trPr>
        <w:tc>
          <w:tcPr>
            <w:tcW w:w="4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0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That</w:t>
            </w:r>
          </w:p>
        </w:tc>
        <w:tc>
          <w:tcPr>
            <w:tcW w:w="10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Have</w:t>
            </w: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Have</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That</w:t>
            </w:r>
          </w:p>
        </w:tc>
      </w:tr>
      <w:tr>
        <w:trPr>
          <w:trHeight w:val="148"/>
        </w:trPr>
        <w:tc>
          <w:tcPr>
            <w:tcW w:w="4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10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1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10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Not</w:t>
            </w: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Not</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Have Not</w:t>
            </w:r>
          </w:p>
        </w:tc>
      </w:tr>
      <w:tr>
        <w:trPr>
          <w:trHeight w:val="148"/>
        </w:trPr>
        <w:tc>
          <w:tcPr>
            <w:tcW w:w="4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40" w:type="dxa"/>
            <w:vAlign w:val="bottom"/>
            <w:gridSpan w:val="2"/>
          </w:tcPr>
          <w:p>
            <w:pPr>
              <w:jc w:val="center"/>
              <w:ind w:left="44"/>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0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1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Vested</w:t>
            </w:r>
          </w:p>
        </w:tc>
        <w:tc>
          <w:tcPr>
            <w:tcW w:w="10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Vested</w:t>
            </w:r>
          </w:p>
        </w:tc>
      </w:tr>
      <w:tr>
        <w:trPr>
          <w:trHeight w:val="178"/>
        </w:trPr>
        <w:tc>
          <w:tcPr>
            <w:tcW w:w="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840" w:type="dxa"/>
            <w:vAlign w:val="bottom"/>
            <w:gridSpan w:val="2"/>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2"/>
          </w:tcPr>
          <w:p>
            <w:pPr>
              <w:jc w:val="center"/>
              <w:ind w:left="15"/>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700" w:type="dxa"/>
            <w:vAlign w:val="bottom"/>
            <w:gridSpan w:val="2"/>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8"/>
        </w:trPr>
        <w:tc>
          <w:tcPr>
            <w:tcW w:w="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77"/>
        </w:trPr>
        <w:tc>
          <w:tcPr>
            <w:tcW w:w="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line="277" w:lineRule="exact"/>
              <w:rPr>
                <w:sz w:val="20"/>
                <w:szCs w:val="20"/>
                <w:color w:val="auto"/>
              </w:rPr>
            </w:pPr>
            <w:r>
              <w:rPr>
                <w:rFonts w:ascii="Times New Roman" w:cs="Times New Roman" w:eastAsia="Times New Roman" w:hAnsi="Times New Roman"/>
                <w:sz w:val="17"/>
                <w:szCs w:val="17"/>
                <w:color w:val="auto"/>
              </w:rPr>
              <w:t>54,250</w:t>
            </w:r>
            <w:r>
              <w:rPr>
                <w:rFonts w:ascii="Times New Roman" w:cs="Times New Roman" w:eastAsia="Times New Roman" w:hAnsi="Times New Roman"/>
                <w:sz w:val="28"/>
                <w:szCs w:val="28"/>
                <w:color w:val="auto"/>
                <w:vertAlign w:val="superscript"/>
              </w:rPr>
              <w:t>(1)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9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12/14/2027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40" w:type="dxa"/>
            <w:vAlign w:val="bottom"/>
          </w:tcPr>
          <w:p>
            <w:pPr>
              <w:spacing w:after="0"/>
              <w:rPr>
                <w:sz w:val="23"/>
                <w:szCs w:val="23"/>
                <w:color w:val="auto"/>
              </w:rPr>
            </w:pPr>
          </w:p>
        </w:tc>
        <w:tc>
          <w:tcPr>
            <w:tcW w:w="8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7"/>
                <w:szCs w:val="17"/>
                <w:color w:val="auto"/>
              </w:rPr>
              <w:t>35,000</w:t>
            </w:r>
            <w:r>
              <w:rPr>
                <w:rFonts w:ascii="Times New Roman" w:cs="Times New Roman" w:eastAsia="Times New Roman" w:hAnsi="Times New Roman"/>
                <w:sz w:val="28"/>
                <w:szCs w:val="28"/>
                <w:color w:val="auto"/>
                <w:vertAlign w:val="superscript"/>
              </w:rPr>
              <w:t>(2)</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9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01/16/2029</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8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7"/>
                <w:szCs w:val="17"/>
                <w:color w:val="auto"/>
              </w:rPr>
              <w:t>40,000</w:t>
            </w:r>
            <w:r>
              <w:rPr>
                <w:rFonts w:ascii="Times New Roman" w:cs="Times New Roman" w:eastAsia="Times New Roman" w:hAnsi="Times New Roman"/>
                <w:sz w:val="28"/>
                <w:szCs w:val="28"/>
                <w:color w:val="auto"/>
                <w:vertAlign w:val="superscript"/>
              </w:rPr>
              <w:t>(3)</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9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01/09/2030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8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7"/>
                <w:szCs w:val="17"/>
                <w:color w:val="auto"/>
              </w:rPr>
              <w:t>250,000</w:t>
            </w:r>
            <w:r>
              <w:rPr>
                <w:rFonts w:ascii="Times New Roman" w:cs="Times New Roman" w:eastAsia="Times New Roman" w:hAnsi="Times New Roman"/>
                <w:sz w:val="28"/>
                <w:szCs w:val="28"/>
                <w:color w:val="auto"/>
                <w:vertAlign w:val="superscript"/>
              </w:rPr>
              <w:t>(4)</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9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08/31/2030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8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7"/>
                <w:szCs w:val="17"/>
                <w:color w:val="auto"/>
              </w:rPr>
              <w:t>70,000</w:t>
            </w:r>
            <w:r>
              <w:rPr>
                <w:rFonts w:ascii="Times New Roman" w:cs="Times New Roman" w:eastAsia="Times New Roman" w:hAnsi="Times New Roman"/>
                <w:sz w:val="28"/>
                <w:szCs w:val="28"/>
                <w:color w:val="auto"/>
                <w:vertAlign w:val="superscript"/>
              </w:rPr>
              <w:t>(5)</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9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03/25/2031</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8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7"/>
                <w:szCs w:val="17"/>
                <w:color w:val="auto"/>
              </w:rPr>
              <w:t>140,000</w:t>
            </w:r>
            <w:r>
              <w:rPr>
                <w:rFonts w:ascii="Times New Roman" w:cs="Times New Roman" w:eastAsia="Times New Roman" w:hAnsi="Times New Roman"/>
                <w:sz w:val="28"/>
                <w:szCs w:val="28"/>
                <w:color w:val="auto"/>
                <w:vertAlign w:val="superscript"/>
              </w:rPr>
              <w:t>(6)</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9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03/25/2031</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8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7"/>
                <w:szCs w:val="17"/>
                <w:color w:val="auto"/>
              </w:rPr>
              <w:t>70,000</w:t>
            </w:r>
            <w:r>
              <w:rPr>
                <w:rFonts w:ascii="Times New Roman" w:cs="Times New Roman" w:eastAsia="Times New Roman" w:hAnsi="Times New Roman"/>
                <w:sz w:val="28"/>
                <w:szCs w:val="28"/>
                <w:color w:val="auto"/>
                <w:vertAlign w:val="superscript"/>
              </w:rPr>
              <w:t>(7)</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9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01/24/2032</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8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7"/>
                <w:szCs w:val="17"/>
                <w:color w:val="auto"/>
              </w:rPr>
              <w:t>70,000</w:t>
            </w:r>
            <w:r>
              <w:rPr>
                <w:rFonts w:ascii="Times New Roman" w:cs="Times New Roman" w:eastAsia="Times New Roman" w:hAnsi="Times New Roman"/>
                <w:sz w:val="28"/>
                <w:szCs w:val="28"/>
                <w:color w:val="auto"/>
                <w:vertAlign w:val="superscript"/>
              </w:rPr>
              <w:t>(8)</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9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01/26/2033</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8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7"/>
                <w:szCs w:val="17"/>
                <w:color w:val="auto"/>
              </w:rPr>
              <w:t>45,500</w:t>
            </w:r>
            <w:r>
              <w:rPr>
                <w:rFonts w:ascii="Times New Roman" w:cs="Times New Roman" w:eastAsia="Times New Roman" w:hAnsi="Times New Roman"/>
                <w:sz w:val="28"/>
                <w:szCs w:val="28"/>
                <w:color w:val="auto"/>
                <w:vertAlign w:val="superscript"/>
              </w:rPr>
              <w:t>(9)</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7"/>
                <w:szCs w:val="17"/>
                <w:color w:val="auto"/>
              </w:rPr>
              <w:t>45,000</w:t>
            </w:r>
            <w:r>
              <w:rPr>
                <w:rFonts w:ascii="Times New Roman" w:cs="Times New Roman" w:eastAsia="Times New Roman" w:hAnsi="Times New Roman"/>
                <w:sz w:val="28"/>
                <w:szCs w:val="28"/>
                <w:color w:val="auto"/>
                <w:vertAlign w:val="superscript"/>
              </w:rPr>
              <w:t>(9)</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9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01/24/2034</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62"/>
        </w:trPr>
        <w:tc>
          <w:tcPr>
            <w:tcW w:w="40" w:type="dxa"/>
            <w:vAlign w:val="bottom"/>
          </w:tcPr>
          <w:p>
            <w:pPr>
              <w:spacing w:after="0"/>
              <w:rPr>
                <w:sz w:val="22"/>
                <w:szCs w:val="22"/>
                <w:color w:val="auto"/>
              </w:rPr>
            </w:pP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920" w:type="dxa"/>
            <w:vAlign w:val="bottom"/>
          </w:tcPr>
          <w:p>
            <w:pPr>
              <w:jc w:val="right"/>
              <w:spacing w:after="0" w:line="262" w:lineRule="exact"/>
              <w:rPr>
                <w:sz w:val="20"/>
                <w:szCs w:val="20"/>
                <w:color w:val="auto"/>
              </w:rPr>
            </w:pPr>
            <w:r>
              <w:rPr>
                <w:rFonts w:ascii="Times New Roman" w:cs="Times New Roman" w:eastAsia="Times New Roman" w:hAnsi="Times New Roman"/>
                <w:sz w:val="17"/>
                <w:szCs w:val="17"/>
                <w:color w:val="auto"/>
              </w:rPr>
              <w:t>150,000</w:t>
            </w:r>
            <w:r>
              <w:rPr>
                <w:rFonts w:ascii="Times New Roman" w:cs="Times New Roman" w:eastAsia="Times New Roman" w:hAnsi="Times New Roman"/>
                <w:sz w:val="28"/>
                <w:szCs w:val="28"/>
                <w:color w:val="auto"/>
                <w:vertAlign w:val="superscript"/>
              </w:rPr>
              <w:t>(10)</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90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rPr>
              <w:t>03/20/2034</w:t>
            </w:r>
          </w:p>
        </w:tc>
        <w:tc>
          <w:tcPr>
            <w:tcW w:w="100" w:type="dxa"/>
            <w:vAlign w:val="bottom"/>
          </w:tcPr>
          <w:p>
            <w:pPr>
              <w:spacing w:after="0"/>
              <w:rPr>
                <w:sz w:val="22"/>
                <w:szCs w:val="22"/>
                <w:color w:val="auto"/>
              </w:rPr>
            </w:pP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2"/>
                <w:szCs w:val="22"/>
                <w:color w:val="auto"/>
              </w:rPr>
            </w:pPr>
          </w:p>
        </w:tc>
        <w:tc>
          <w:tcPr>
            <w:tcW w:w="5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580" w:type="dxa"/>
            <w:vAlign w:val="bottom"/>
          </w:tcPr>
          <w:p>
            <w:pPr>
              <w:jc w:val="right"/>
              <w:ind w:right="150"/>
              <w:spacing w:after="0"/>
              <w:rPr>
                <w:sz w:val="20"/>
                <w:szCs w:val="20"/>
                <w:color w:val="auto"/>
              </w:rPr>
            </w:pPr>
            <w:r>
              <w:rPr>
                <w:rFonts w:ascii="Times New Roman" w:cs="Times New Roman" w:eastAsia="Times New Roman" w:hAnsi="Times New Roman"/>
                <w:sz w:val="17"/>
                <w:szCs w:val="17"/>
                <w:color w:val="auto"/>
              </w:rPr>
              <w:t>—</w:t>
            </w:r>
          </w:p>
        </w:tc>
      </w:tr>
      <w:tr>
        <w:trPr>
          <w:trHeight w:val="278"/>
        </w:trPr>
        <w:tc>
          <w:tcPr>
            <w:tcW w:w="40" w:type="dxa"/>
            <w:vAlign w:val="bottom"/>
          </w:tcPr>
          <w:p>
            <w:pPr>
              <w:spacing w:after="0"/>
              <w:rPr>
                <w:sz w:val="24"/>
                <w:szCs w:val="24"/>
                <w:color w:val="auto"/>
              </w:rPr>
            </w:pPr>
          </w:p>
        </w:tc>
        <w:tc>
          <w:tcPr>
            <w:tcW w:w="880" w:type="dxa"/>
            <w:vAlign w:val="bottom"/>
          </w:tcPr>
          <w:p>
            <w:pPr>
              <w:jc w:val="right"/>
              <w:spacing w:after="0" w:line="278" w:lineRule="exact"/>
              <w:rPr>
                <w:sz w:val="20"/>
                <w:szCs w:val="20"/>
                <w:color w:val="auto"/>
              </w:rPr>
            </w:pPr>
            <w:r>
              <w:rPr>
                <w:rFonts w:ascii="Times New Roman" w:cs="Times New Roman" w:eastAsia="Times New Roman" w:hAnsi="Times New Roman"/>
                <w:sz w:val="17"/>
                <w:szCs w:val="17"/>
                <w:color w:val="auto"/>
              </w:rPr>
              <w:t>25,000</w:t>
            </w:r>
            <w:r>
              <w:rPr>
                <w:rFonts w:ascii="Times New Roman" w:cs="Times New Roman" w:eastAsia="Times New Roman" w:hAnsi="Times New Roman"/>
                <w:sz w:val="28"/>
                <w:szCs w:val="28"/>
                <w:color w:val="auto"/>
                <w:vertAlign w:val="superscript"/>
              </w:rPr>
              <w:t>(11)</w:t>
            </w:r>
          </w:p>
        </w:tc>
        <w:tc>
          <w:tcPr>
            <w:tcW w:w="1040" w:type="dxa"/>
            <w:vAlign w:val="bottom"/>
            <w:gridSpan w:val="2"/>
          </w:tcPr>
          <w:p>
            <w:pPr>
              <w:jc w:val="right"/>
              <w:spacing w:after="0" w:line="278" w:lineRule="exact"/>
              <w:rPr>
                <w:sz w:val="20"/>
                <w:szCs w:val="20"/>
                <w:color w:val="auto"/>
              </w:rPr>
            </w:pPr>
            <w:r>
              <w:rPr>
                <w:rFonts w:ascii="Times New Roman" w:cs="Times New Roman" w:eastAsia="Times New Roman" w:hAnsi="Times New Roman"/>
                <w:sz w:val="17"/>
                <w:szCs w:val="17"/>
                <w:color w:val="auto"/>
              </w:rPr>
              <w:t>75,000</w:t>
            </w:r>
            <w:r>
              <w:rPr>
                <w:rFonts w:ascii="Times New Roman" w:cs="Times New Roman" w:eastAsia="Times New Roman" w:hAnsi="Times New Roman"/>
                <w:sz w:val="28"/>
                <w:szCs w:val="28"/>
                <w:color w:val="auto"/>
                <w:vertAlign w:val="superscript"/>
              </w:rPr>
              <w:t>(11)</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90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rPr>
              <w:t>08/01/2034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70"/>
        </w:trPr>
        <w:tc>
          <w:tcPr>
            <w:tcW w:w="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7"/>
                <w:szCs w:val="17"/>
                <w:color w:val="auto"/>
              </w:rPr>
              <w:t>26,000</w:t>
            </w:r>
            <w:r>
              <w:rPr>
                <w:rFonts w:ascii="Times New Roman" w:cs="Times New Roman" w:eastAsia="Times New Roman" w:hAnsi="Times New Roman"/>
                <w:sz w:val="28"/>
                <w:szCs w:val="28"/>
                <w:color w:val="auto"/>
                <w:vertAlign w:val="superscript"/>
              </w:rPr>
              <w:t>(12)</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w:t>
            </w:r>
          </w:p>
        </w:tc>
        <w:tc>
          <w:tcPr>
            <w:tcW w:w="9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01/21/2024</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7"/>
                <w:szCs w:val="17"/>
                <w:color w:val="auto"/>
              </w:rPr>
              <w:t>8,706</w:t>
            </w:r>
            <w:r>
              <w:rPr>
                <w:rFonts w:ascii="Times New Roman" w:cs="Times New Roman" w:eastAsia="Times New Roman" w:hAnsi="Times New Roman"/>
                <w:sz w:val="28"/>
                <w:szCs w:val="28"/>
                <w:color w:val="auto"/>
                <w:vertAlign w:val="superscript"/>
              </w:rPr>
              <w:t>(13)</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9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01/20/2026</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7"/>
                <w:szCs w:val="17"/>
                <w:color w:val="auto"/>
              </w:rPr>
              <w:t>90,000</w:t>
            </w:r>
            <w:r>
              <w:rPr>
                <w:rFonts w:ascii="Times New Roman" w:cs="Times New Roman" w:eastAsia="Times New Roman" w:hAnsi="Times New Roman"/>
                <w:sz w:val="28"/>
                <w:szCs w:val="28"/>
                <w:color w:val="auto"/>
                <w:vertAlign w:val="superscript"/>
              </w:rPr>
              <w:t>(14)</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9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01/15/2028</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7"/>
                <w:szCs w:val="17"/>
                <w:color w:val="auto"/>
              </w:rPr>
              <w:t>90,000</w:t>
            </w:r>
            <w:r>
              <w:rPr>
                <w:rFonts w:ascii="Times New Roman" w:cs="Times New Roman" w:eastAsia="Times New Roman" w:hAnsi="Times New Roman"/>
                <w:sz w:val="28"/>
                <w:szCs w:val="28"/>
                <w:color w:val="auto"/>
                <w:vertAlign w:val="superscript"/>
              </w:rPr>
              <w:t>(15)</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9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05/22/2028</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7"/>
                <w:szCs w:val="17"/>
                <w:color w:val="auto"/>
              </w:rPr>
              <w:t>50,000</w:t>
            </w:r>
            <w:r>
              <w:rPr>
                <w:rFonts w:ascii="Times New Roman" w:cs="Times New Roman" w:eastAsia="Times New Roman" w:hAnsi="Times New Roman"/>
                <w:sz w:val="28"/>
                <w:szCs w:val="28"/>
                <w:color w:val="auto"/>
                <w:vertAlign w:val="superscript"/>
              </w:rPr>
              <w:t>(16)</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9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01/16/2029</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7"/>
                <w:szCs w:val="17"/>
                <w:color w:val="auto"/>
              </w:rPr>
              <w:t>50,000</w:t>
            </w:r>
            <w:r>
              <w:rPr>
                <w:rFonts w:ascii="Times New Roman" w:cs="Times New Roman" w:eastAsia="Times New Roman" w:hAnsi="Times New Roman"/>
                <w:sz w:val="28"/>
                <w:szCs w:val="28"/>
                <w:color w:val="auto"/>
                <w:vertAlign w:val="superscript"/>
              </w:rPr>
              <w:t>(17)</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9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01/09/2030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7"/>
                <w:szCs w:val="17"/>
                <w:color w:val="auto"/>
              </w:rPr>
              <w:t>50,500</w:t>
            </w:r>
            <w:r>
              <w:rPr>
                <w:rFonts w:ascii="Times New Roman" w:cs="Times New Roman" w:eastAsia="Times New Roman" w:hAnsi="Times New Roman"/>
                <w:sz w:val="28"/>
                <w:szCs w:val="28"/>
                <w:color w:val="auto"/>
                <w:vertAlign w:val="superscript"/>
              </w:rPr>
              <w:t>(5)</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9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03/25/2031</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7"/>
                <w:szCs w:val="17"/>
                <w:color w:val="auto"/>
              </w:rPr>
              <w:t>100,000</w:t>
            </w:r>
            <w:r>
              <w:rPr>
                <w:rFonts w:ascii="Times New Roman" w:cs="Times New Roman" w:eastAsia="Times New Roman" w:hAnsi="Times New Roman"/>
                <w:sz w:val="28"/>
                <w:szCs w:val="28"/>
                <w:color w:val="auto"/>
                <w:vertAlign w:val="superscript"/>
              </w:rPr>
              <w:t>(6)</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9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03/25/2031</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7"/>
                <w:szCs w:val="17"/>
                <w:color w:val="auto"/>
              </w:rPr>
              <w:t>50,000</w:t>
            </w:r>
            <w:r>
              <w:rPr>
                <w:rFonts w:ascii="Times New Roman" w:cs="Times New Roman" w:eastAsia="Times New Roman" w:hAnsi="Times New Roman"/>
                <w:sz w:val="28"/>
                <w:szCs w:val="28"/>
                <w:color w:val="auto"/>
                <w:vertAlign w:val="superscript"/>
              </w:rPr>
              <w:t>(7)</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9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01/24/2032</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7"/>
                <w:szCs w:val="17"/>
                <w:color w:val="auto"/>
              </w:rPr>
              <w:t>50,000</w:t>
            </w:r>
            <w:r>
              <w:rPr>
                <w:rFonts w:ascii="Times New Roman" w:cs="Times New Roman" w:eastAsia="Times New Roman" w:hAnsi="Times New Roman"/>
                <w:sz w:val="28"/>
                <w:szCs w:val="28"/>
                <w:color w:val="auto"/>
                <w:vertAlign w:val="superscript"/>
              </w:rPr>
              <w:t>(8)</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9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01/26/2033</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57"/>
        </w:trPr>
        <w:tc>
          <w:tcPr>
            <w:tcW w:w="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line="257" w:lineRule="exact"/>
              <w:rPr>
                <w:sz w:val="20"/>
                <w:szCs w:val="20"/>
                <w:color w:val="auto"/>
              </w:rPr>
            </w:pPr>
            <w:r>
              <w:rPr>
                <w:rFonts w:ascii="Times New Roman" w:cs="Times New Roman" w:eastAsia="Times New Roman" w:hAnsi="Times New Roman"/>
                <w:sz w:val="17"/>
                <w:szCs w:val="17"/>
                <w:color w:val="auto"/>
              </w:rPr>
              <w:t>32,500</w:t>
            </w:r>
            <w:r>
              <w:rPr>
                <w:rFonts w:ascii="Times New Roman" w:cs="Times New Roman" w:eastAsia="Times New Roman" w:hAnsi="Times New Roman"/>
                <w:sz w:val="28"/>
                <w:szCs w:val="28"/>
                <w:color w:val="auto"/>
                <w:vertAlign w:val="superscript"/>
              </w:rPr>
              <w:t>(9)</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line="257" w:lineRule="exact"/>
              <w:rPr>
                <w:sz w:val="20"/>
                <w:szCs w:val="20"/>
                <w:color w:val="auto"/>
              </w:rPr>
            </w:pPr>
            <w:r>
              <w:rPr>
                <w:rFonts w:ascii="Times New Roman" w:cs="Times New Roman" w:eastAsia="Times New Roman" w:hAnsi="Times New Roman"/>
                <w:sz w:val="17"/>
                <w:szCs w:val="17"/>
                <w:color w:val="auto"/>
              </w:rPr>
              <w:t>32,500</w:t>
            </w:r>
            <w:r>
              <w:rPr>
                <w:rFonts w:ascii="Times New Roman" w:cs="Times New Roman" w:eastAsia="Times New Roman" w:hAnsi="Times New Roman"/>
                <w:sz w:val="28"/>
                <w:szCs w:val="28"/>
                <w:color w:val="auto"/>
                <w:vertAlign w:val="superscript"/>
              </w:rPr>
              <w:t>(9)</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9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01/24/2034</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r>
      <w:tr>
        <w:trPr>
          <w:trHeight w:val="54"/>
        </w:trPr>
        <w:tc>
          <w:tcPr>
            <w:tcW w:w="4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2">
            <w:col w:w="1460" w:space="240"/>
            <w:col w:w="7319"/>
          </w:cols>
          <w:pgMar w:left="1440" w:top="114" w:right="1440" w:bottom="1440" w:gutter="0" w:footer="0" w:header="0"/>
          <w:type w:val="continuous"/>
        </w:sectPr>
      </w:pPr>
    </w:p>
    <w:p>
      <w:pPr>
        <w:spacing w:after="0" w:line="88" w:lineRule="exact"/>
        <w:rPr>
          <w:sz w:val="20"/>
          <w:szCs w:val="20"/>
          <w:color w:val="auto"/>
        </w:rPr>
      </w:pPr>
    </w:p>
    <w:p>
      <w:pPr>
        <w:ind w:left="640" w:hanging="348"/>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options vested in full on December 14, 2018.</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options vested in full on January 16, 2020.</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options vested in full on December 31, 2020.</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One-twelfth of the total options vested quarterly from August 31, 2020, which was the grant date.</w:t>
      </w:r>
    </w:p>
    <w:p>
      <w:pPr>
        <w:spacing w:after="0" w:line="41" w:lineRule="exact"/>
        <w:rPr>
          <w:rFonts w:ascii="Times New Roman" w:cs="Times New Roman" w:eastAsia="Times New Roman" w:hAnsi="Times New Roman"/>
          <w:sz w:val="14"/>
          <w:szCs w:val="14"/>
          <w:color w:val="auto"/>
        </w:rPr>
      </w:pPr>
    </w:p>
    <w:p>
      <w:pPr>
        <w:ind w:left="640" w:right="739" w:hanging="348"/>
        <w:spacing w:after="0" w:line="26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September 30, 2021, 25% vested on March 31, 2022, 25% vested on September 30, 2022, 25% vest on March 31, 2023.</w:t>
      </w:r>
    </w:p>
    <w:p>
      <w:pPr>
        <w:ind w:left="640" w:right="599" w:hanging="348"/>
        <w:spacing w:after="0" w:line="26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options vested on December 20, 2024 when the Company received the top-line results of the NAVIGATE clinical trial and made a public announcement of such results.</w:t>
      </w:r>
    </w:p>
    <w:p>
      <w:pPr>
        <w:ind w:left="640" w:right="1099" w:hanging="348"/>
        <w:spacing w:after="0" w:line="26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June 30, 2022, 25% vested on December 31, 2022, 25% vested on June 30, 2023, 25% vested on December 31, 2023.</w:t>
      </w:r>
    </w:p>
    <w:p>
      <w:pPr>
        <w:ind w:left="640" w:right="1099" w:hanging="348"/>
        <w:spacing w:after="0" w:line="26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June 30, 2023, 25% vested on December 31, 2023, 25% vested on June 30, 2024, 25% vested on December 31, 2024.</w:t>
      </w:r>
    </w:p>
    <w:p>
      <w:pPr>
        <w:ind w:left="640" w:right="539" w:hanging="348"/>
        <w:spacing w:after="0" w:line="26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June 30, 2024, 25% vested on December 31, 2024, 25% vest on June 30, 2025, 25% vest on December 31, 2025.</w:t>
      </w:r>
    </w:p>
    <w:p>
      <w:pPr>
        <w:ind w:left="640" w:hanging="348"/>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third of the options vest on each of March 11, 2025, March 11, 2026, and March 11, 2027.</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40" w:hanging="348"/>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 on each of October 31, 2024, January 31, 2025, April 30, 2025, and July 31, 2025.</w:t>
      </w:r>
    </w:p>
    <w:p>
      <w:pPr>
        <w:spacing w:after="0" w:line="41" w:lineRule="exact"/>
        <w:rPr>
          <w:rFonts w:ascii="Times New Roman" w:cs="Times New Roman" w:eastAsia="Times New Roman" w:hAnsi="Times New Roman"/>
          <w:sz w:val="14"/>
          <w:szCs w:val="14"/>
          <w:color w:val="auto"/>
        </w:rPr>
      </w:pPr>
    </w:p>
    <w:p>
      <w:pPr>
        <w:ind w:left="640" w:right="739" w:hanging="348"/>
        <w:spacing w:after="0" w:line="26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January 21, 2014, the grant date with the remainder vested ratably on a monthly basis over a three-year period.</w:t>
      </w:r>
    </w:p>
    <w:p>
      <w:pPr>
        <w:ind w:left="640" w:right="739" w:hanging="348"/>
        <w:spacing w:after="0" w:line="26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January 29, 2015, the grant date with the remainder vested ratably on a monthly basis over a three-year period.</w:t>
      </w:r>
    </w:p>
    <w:p>
      <w:pPr>
        <w:ind w:left="640" w:hanging="348"/>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January 15, 2018 (grant date), 25% vested on June 30, 2018, and 50% vested on December 31, 2018.</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June 30, 2018, 25% vested on September 30, 2018, and 50% vested on December 31, 2018.</w:t>
      </w:r>
    </w:p>
    <w:p>
      <w:pPr>
        <w:spacing w:after="0" w:line="41" w:lineRule="exact"/>
        <w:rPr>
          <w:rFonts w:ascii="Times New Roman" w:cs="Times New Roman" w:eastAsia="Times New Roman" w:hAnsi="Times New Roman"/>
          <w:sz w:val="14"/>
          <w:szCs w:val="14"/>
          <w:color w:val="auto"/>
        </w:rPr>
      </w:pPr>
    </w:p>
    <w:p>
      <w:pPr>
        <w:ind w:left="640" w:right="859" w:hanging="348"/>
        <w:spacing w:after="0" w:line="26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June 30, 2019, 25% vested on December 31, 2019, 25% vested on June 30, 2020, and 25% vested on December 31, 2020.</w:t>
      </w:r>
    </w:p>
    <w:p>
      <w:pPr>
        <w:ind w:left="640" w:right="859" w:hanging="348"/>
        <w:spacing w:after="0" w:line="26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June 30, 2020, 25% vested on December 31, 2020, 25% vested on June 30, 2021, and 25% vested on December 31, 2021.</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2019 Omnibus Equity Incentive Plan</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Under the 2019 Omnibus Equity Incentive Plan, if there is a merger or consolidation of the Company with or into another corporation or a sale of substantially all of the Company’s stock (a “Corporate Transaction”), and the outstanding awards are not assumed by surviving company (or its parent company) or replaced with economically equivalent awards granted by the surviving company (or its parent company), the Company will cancel any outstanding awards that are not vested and nonforfeitable as of the consummation of such Corporate Transaction (unless the Company accelerates the vesting of any such awards) and with respect to any vested and nonforfeitable awards, the Company may either (i) allow all grantees to exercise options and SARs within a reasonable period prior to the consummation of the Corporate Transaction and cancel any outstanding options or SARs that remain unexercised upon consummation of the Corporate Transaction, or (ii) cancel any or all of such outstanding awards (including options and SARs) in exchange for a payment (in cash, or in securities or other property) in an amount equal to the amount that the grantee would have received (net of the exercise price with respect to any options or SARs) if the vested awards were settled or distributed or such vested options and SARs were exercised immediately prior to the consummation of the Corporate Transaction. If an exercise price of the option or SAR exceeds the fair market value of our Common Stock and the option or SAR is not assumed or replaced by the surviving company (or its parent company), such options and SARs will be cancelled without any payment to the grantee.</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Change-in-Control</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Joel Lewis:</w:t>
      </w:r>
    </w:p>
    <w:p>
      <w:pPr>
        <w:spacing w:after="0" w:line="119"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Under Mr. Lewis’ Employment Agreement, the Company is required to furnish a lump sum cash payment to Mr. Lewis upon a termination of Mr. Lewis without “Cause” or upon Mr. Lewis’ resignation for “Good Reason” as such terms are defined in the Employment Agreement or in the event the Company gives notice of non-renewal on or before September 30, 2023.</w:t>
      </w:r>
    </w:p>
    <w:p>
      <w:pPr>
        <w:spacing w:after="0" w:line="72"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Under the Deferred Stock Unit Agreement, if a Change in Control of the Company occurs prior to the date on which Mr. Lewis is scheduled to receive shares and cash in an installment payment or in a lump sum (a “Settlement Date”), Mr. Lewis’ account will be credited with the consideration payable in such Change in Control with respect to the shares subject to the DSUs then credited to Mr. Lewis’ Account immediately prior to such Change in Control. If Mr. Lewis’ employment with the Company continues after a Change in Control, Mr. Lewis’ account will be credited with the cash value of the portion of his base salary and annual performance bonus that would have been credited in the form of DSUs but for the Change in Control. The portion of Mr. Lewis’ Account denominated in cash pursuant to the preceding sentence (i.e., the amount attributable to base salary and annual performance bonuses credited to Mr. Lewis’ Account after the Change in Control) shall be credited with interest at three (3%) percent compounded annually. For avoidance of doubt, a Change in Control shall not result in acceleration of the settlement of Mr. Lewis’ Account and the payment of all amounts or other property credited to Mr. Lewis’ Account in connection with the Change in Control shall be paid or delivered to Mr. Lewis on as soon as reasonably practicable after the Settlement Date.</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Khurram Jamil, M.D.:</w:t>
      </w:r>
    </w:p>
    <w:p>
      <w:pPr>
        <w:spacing w:after="0" w:line="119"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Under the Employment Agreement with Dr. Jamil, if (i) Dr. Jamil terminates the Agreement for Good Reason (as defined in the Agreement) or (ii) the Company terminates the Agreement without Cause (as defined in the Agreement), then the Company shall pay to Dr. Jamil: (1) the Base Salary accrued through the date of termination, (2)(A) if termination occurs within twelve (12) months of the Commencement Date, an amount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equal to three (3) months of the Base Salary, or (B) if such termination occurs after the twelve-month anniversary of the Commencement Date, but prior to the eighteen-month anniversary of the Commencement Date, an amount equal to six (6) months of the Base Salary or (C) if termination occurs after the eighteen-month anniversary of the Commencement Date, but prior to the twenty four-month anniversary of the Commencement Date, an amount equal to nine (9) months of Base Salary or (D) if termination occurs after the twenty four-month anniversary of the Commencement Date, an amount equal to twelve (12) months of the Base Salary, (3) reimbursement of unreimbursed expenses and (4) payment of a portion of the Performance Bonus.</w:t>
      </w:r>
    </w:p>
    <w:p>
      <w:pPr>
        <w:spacing w:after="0" w:line="8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If, within the period ending twelve (12) months after the date of a Change of Control, Dr. Jamil’s employment with the Company is (i) terminated without Cause or (ii) terminated for Good Reason by Dr. Jamil, the Company shall pay to Dr. Boudes (A) the Base Salary accrued through the date of termination, to the extent not theretofore paid, (B) Jamil of any unreimbursed expenses, (C) a pro-rated amount of the Performance Bonus assuming payout at maximum performance and (D) an amount equal to twelve (12) months of Base Salary, payable in a lump sum no later than thirty (30) days following such termination. Upon any such Change of Control, Dr. Jamil’s unvested Options shall be one hundred percent (100%) vested, but shall otherwise continue to be governed by the terms and conditions of the Plan and the applicable stock option agreement.</w:t>
      </w:r>
    </w:p>
    <w:p>
      <w:pPr>
        <w:spacing w:after="0" w:line="3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Jack Callicutt:</w:t>
      </w:r>
    </w:p>
    <w:p>
      <w:pPr>
        <w:spacing w:after="0" w:line="119"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Mr. Callicutt’s Employment Agreement provides that if, within the period ending twelve (12) months after the date of a Change of Control, Mr. Callicutt’s employment with the Company is (i) without Cause by the Company (or by the acquiring or successor business entity following a Change of Control), or (ii) terminated for Good Reason by Mr. Callicutt, the Company shall pay to Mr. Callicutt (A) the Base Salary accrued through the date of termination, to the extent not theretofore paid, (B) reimbursement of any unreimbursed expenses, (C) a portion of the amount of the Performance Bonus (as defined in the Employment Agreement) equal to the maximum amount of the Performance Bonus multiplied by a fraction, (X) the numerator of which shall be the number of days elapsed from the beginning of the calendar year in which such termination occurs and (Y) the denominator of which shall be the total number of days in the calendar year in which such termination occurs (being 365 in a full year and 184 in 2013) and (D) an amount equal to twelve months of Mr. Callicutt’s Base Salary, payable in a lump sum no later than thirty (30) days following such termination. Upon any such Change of Control, Mr. Callicutt’s unvested options to purchase shares of the Company’s common stock shall be one hundred percent (100%) vested, but shall otherwise continue to be governed by the terms and conditions of the Stock Option Agreement. However, if, in connection with a transaction that technically meets, or may meet, the definition of Change of Control (as defined in the Employment Agreement), Mr. Callicutt’s employment by the Company or a successor to the Company is terminated, but Mr. Callicutt is immediately re-hired as an employee of a successor to the Company or surviving company in such a transaction in a comparable position, with the same or greater total annual cash compensation, including bonus potential, and with an employment agreement containing substantially equivalent provisions as this Agreement with respect to termination of the Mr. Callicutt and severance, no benefits shall be payable under the Change of Control provision of the Employment Agreement.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(“SEC”) pursuant to the Dodd-Frank Wall Street Reform and Consumer Protection Act of 2010, we provide the following disclosure regarding executive “Compensation Actually Paid” (“CAP”) and certain performance measures required for Smaller Reporting Companies. The following table provides the information required for our NEOs for each of the fiscal years ended December 31, 2024, December 31, 2023 and December 31, 2022, along with the financial information required for each fiscal year:</w:t>
      </w:r>
    </w:p>
    <w:p>
      <w:pPr>
        <w:spacing w:after="0" w:line="19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0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Initial</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0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 on Total</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49"/>
        </w:trPr>
        <w:tc>
          <w:tcPr>
            <w:tcW w:w="1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CEO</w:t>
            </w: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non-CEO NEOs</w:t>
            </w: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non-CEO</w:t>
            </w:r>
          </w:p>
        </w:tc>
        <w:tc>
          <w:tcPr>
            <w:tcW w:w="1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19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41"/>
              <w:spacing w:after="0" w:line="216" w:lineRule="exact"/>
              <w:rPr>
                <w:sz w:val="20"/>
                <w:szCs w:val="20"/>
                <w:color w:val="auto"/>
              </w:rPr>
            </w:pPr>
            <w:r>
              <w:rPr>
                <w:rFonts w:ascii="Times New Roman" w:cs="Times New Roman" w:eastAsia="Times New Roman" w:hAnsi="Times New Roman"/>
                <w:sz w:val="25"/>
                <w:szCs w:val="25"/>
                <w:b w:val="1"/>
                <w:bCs w:val="1"/>
                <w:color w:val="auto"/>
                <w:w w:val="97"/>
                <w:vertAlign w:val="subscript"/>
              </w:rPr>
              <w:t>($)</w:t>
            </w:r>
            <w:r>
              <w:rPr>
                <w:rFonts w:ascii="Times New Roman" w:cs="Times New Roman" w:eastAsia="Times New Roman" w:hAnsi="Times New Roman"/>
                <w:sz w:val="11"/>
                <w:szCs w:val="11"/>
                <w:b w:val="1"/>
                <w:bCs w:val="1"/>
                <w:color w:val="auto"/>
                <w:w w:val="97"/>
              </w:rPr>
              <w:t>(1)(2)</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3"/>
              </w:rPr>
              <w:t>CEO ($)</w:t>
            </w:r>
            <w:r>
              <w:rPr>
                <w:rFonts w:ascii="Times New Roman" w:cs="Times New Roman" w:eastAsia="Times New Roman" w:hAnsi="Times New Roman"/>
                <w:sz w:val="23"/>
                <w:szCs w:val="23"/>
                <w:b w:val="1"/>
                <w:bCs w:val="1"/>
                <w:color w:val="auto"/>
                <w:w w:val="93"/>
                <w:vertAlign w:val="superscript"/>
              </w:rPr>
              <w:t>(1)(3)</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7"/>
                <w:vertAlign w:val="subscript"/>
              </w:rPr>
              <w:t>($)</w:t>
            </w:r>
            <w:r>
              <w:rPr>
                <w:rFonts w:ascii="Times New Roman" w:cs="Times New Roman" w:eastAsia="Times New Roman" w:hAnsi="Times New Roman"/>
                <w:sz w:val="11"/>
                <w:szCs w:val="11"/>
                <w:b w:val="1"/>
                <w:bCs w:val="1"/>
                <w:color w:val="auto"/>
                <w:w w:val="97"/>
              </w:rPr>
              <w:t>(2)(4)</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6"/>
                <w:vertAlign w:val="subscript"/>
              </w:rPr>
              <w:t>NEOs</w:t>
            </w:r>
            <w:r>
              <w:rPr>
                <w:rFonts w:ascii="Times New Roman" w:cs="Times New Roman" w:eastAsia="Times New Roman" w:hAnsi="Times New Roman"/>
                <w:sz w:val="11"/>
                <w:szCs w:val="11"/>
                <w:b w:val="1"/>
                <w:bCs w:val="1"/>
                <w:color w:val="auto"/>
                <w:w w:val="96"/>
              </w:rPr>
              <w:t>(3)(4)</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return($)</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1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$1,189,674</w:t>
            </w:r>
          </w:p>
        </w:tc>
        <w:tc>
          <w:tcPr>
            <w:tcW w:w="10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$1,050,354</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$831,396</w:t>
            </w:r>
          </w:p>
        </w:tc>
        <w:tc>
          <w:tcPr>
            <w:tcW w:w="10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$697,613</w:t>
            </w:r>
          </w:p>
        </w:tc>
        <w:tc>
          <w:tcPr>
            <w:tcW w:w="1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$ 77.71</w:t>
            </w:r>
          </w:p>
        </w:tc>
        <w:tc>
          <w:tcPr>
            <w:tcW w:w="8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$(47.2)</w:t>
            </w:r>
          </w:p>
        </w:tc>
        <w:tc>
          <w:tcPr>
            <w:tcW w:w="0" w:type="dxa"/>
            <w:vAlign w:val="bottom"/>
          </w:tcPr>
          <w:p>
            <w:pPr>
              <w:spacing w:after="0"/>
              <w:rPr>
                <w:sz w:val="1"/>
                <w:szCs w:val="1"/>
                <w:color w:val="auto"/>
              </w:rPr>
            </w:pPr>
          </w:p>
        </w:tc>
      </w:tr>
      <w:tr>
        <w:trPr>
          <w:trHeight w:val="239"/>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963,647</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$1,058,522</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$665,850</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$757,280</w:t>
            </w: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$146.90</w:t>
            </w:r>
          </w:p>
        </w:tc>
        <w:tc>
          <w:tcPr>
            <w:tcW w:w="8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$(44.8)</w:t>
            </w: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974,181</w:t>
            </w:r>
          </w:p>
        </w:tc>
        <w:tc>
          <w:tcPr>
            <w:tcW w:w="10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  665,811</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$680,571</w:t>
            </w:r>
          </w:p>
        </w:tc>
        <w:tc>
          <w:tcPr>
            <w:tcW w:w="10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$468,319</w:t>
            </w:r>
          </w:p>
        </w:tc>
        <w:tc>
          <w:tcPr>
            <w:tcW w:w="1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$ 54.59</w:t>
            </w:r>
          </w:p>
        </w:tc>
        <w:tc>
          <w:tcPr>
            <w:tcW w:w="8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$(38.9)</w:t>
            </w:r>
          </w:p>
        </w:tc>
        <w:tc>
          <w:tcPr>
            <w:tcW w:w="0" w:type="dxa"/>
            <w:vAlign w:val="bottom"/>
          </w:tcPr>
          <w:p>
            <w:pPr>
              <w:spacing w:after="0"/>
              <w:rPr>
                <w:sz w:val="1"/>
                <w:szCs w:val="1"/>
                <w:color w:val="auto"/>
              </w:rPr>
            </w:pPr>
          </w:p>
        </w:tc>
      </w:tr>
      <w:tr>
        <w:trPr>
          <w:trHeight w:val="54"/>
        </w:trPr>
        <w:tc>
          <w:tcPr>
            <w:tcW w:w="19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year shown the CEO was Joel Lewis.</w:t>
      </w:r>
    </w:p>
    <w:p>
      <w:pPr>
        <w:spacing w:after="0" w:line="41" w:lineRule="exact"/>
        <w:rPr>
          <w:rFonts w:ascii="Times New Roman" w:cs="Times New Roman" w:eastAsia="Times New Roman" w:hAnsi="Times New Roman"/>
          <w:sz w:val="14"/>
          <w:szCs w:val="14"/>
          <w:color w:val="auto"/>
        </w:rPr>
      </w:pPr>
    </w:p>
    <w:p>
      <w:pPr>
        <w:ind w:left="640" w:right="359" w:hanging="348"/>
        <w:spacing w:after="0" w:line="26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Amounts in this column represent the “Total” column set forth in the Summary Compensation Table (“SCT”) on page </w:t>
      </w:r>
      <w:r>
        <w:rPr>
          <w:rFonts w:ascii="Times New Roman" w:cs="Times New Roman" w:eastAsia="Times New Roman" w:hAnsi="Times New Roman"/>
          <w:sz w:val="14"/>
          <w:szCs w:val="14"/>
          <w:u w:val="single" w:color="auto"/>
          <w:color w:val="0000EE"/>
        </w:rPr>
        <w:t>29</w:t>
      </w:r>
      <w:r>
        <w:rPr>
          <w:rFonts w:ascii="Times New Roman" w:cs="Times New Roman" w:eastAsia="Times New Roman" w:hAnsi="Times New Roman"/>
          <w:sz w:val="14"/>
          <w:szCs w:val="14"/>
          <w:color w:val="auto"/>
        </w:rPr>
        <w:t>. See the footnotes to the SCT for further detail regarding the amounts in these columns.</w:t>
      </w:r>
    </w:p>
    <w:p>
      <w:pPr>
        <w:ind w:left="640" w:right="539" w:hanging="348"/>
        <w:spacing w:after="0" w:line="236"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these columns represent the amounts of “compensation actually paid.” The Amounts are computed in accordance with Item 402(v) of Regulation S-K by deducting and adding the following amounts from the “Total” column of the SCT (pursuant to SEC rules, fair value at each measurement date is computed in a manner consistent with the fair value methodology used to account for share-based payments in our financial statements under GAAP).</w:t>
      </w:r>
    </w:p>
    <w:p>
      <w:pPr>
        <w:spacing w:after="0" w:line="14" w:lineRule="exact"/>
        <w:rPr>
          <w:rFonts w:ascii="Times New Roman" w:cs="Times New Roman" w:eastAsia="Times New Roman" w:hAnsi="Times New Roman"/>
          <w:sz w:val="14"/>
          <w:szCs w:val="14"/>
          <w:color w:val="auto"/>
        </w:rPr>
      </w:pPr>
    </w:p>
    <w:p>
      <w:pPr>
        <w:ind w:left="640" w:right="439" w:hanging="348"/>
        <w:spacing w:after="0" w:line="26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Non-CEO NEOs reflect the compensation of Pol Boudes, CMO in 2022 and 2023, and Khurram Jamil, CMO, in 2024, and Jack Callicutt, CFO, for all years, who were the only Non-CEO NEO for the periods indicated.</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8"/>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Joel Lewis</w:t>
            </w:r>
          </w:p>
        </w:tc>
        <w:tc>
          <w:tcPr>
            <w:tcW w:w="12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Non-CEO</w:t>
            </w:r>
          </w:p>
        </w:tc>
        <w:tc>
          <w:tcPr>
            <w:tcW w:w="10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Joel Lewis</w:t>
            </w:r>
          </w:p>
        </w:tc>
        <w:tc>
          <w:tcPr>
            <w:tcW w:w="1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3"/>
              </w:rPr>
              <w:t>Non-CEO</w:t>
            </w:r>
          </w:p>
        </w:tc>
        <w:tc>
          <w:tcPr>
            <w:tcW w:w="14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Joel Lewis</w:t>
            </w:r>
          </w:p>
        </w:tc>
        <w:tc>
          <w:tcPr>
            <w:tcW w:w="12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Non-CEO</w:t>
            </w:r>
          </w:p>
        </w:tc>
        <w:tc>
          <w:tcPr>
            <w:tcW w:w="0" w:type="dxa"/>
            <w:vAlign w:val="bottom"/>
          </w:tcPr>
          <w:p>
            <w:pPr>
              <w:spacing w:after="0"/>
              <w:rPr>
                <w:sz w:val="1"/>
                <w:szCs w:val="1"/>
                <w:color w:val="auto"/>
              </w:rPr>
            </w:pPr>
          </w:p>
        </w:tc>
      </w:tr>
      <w:tr>
        <w:trPr>
          <w:trHeight w:val="190"/>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NEOs</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NEOs</w:t>
            </w: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Total Compensation from Summary Compensation</w:t>
            </w:r>
          </w:p>
        </w:tc>
        <w:tc>
          <w:tcPr>
            <w:tcW w:w="80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$1,189,674</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831,396</w:t>
            </w:r>
          </w:p>
        </w:tc>
        <w:tc>
          <w:tcPr>
            <w:tcW w:w="8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963,647</w:t>
            </w:r>
          </w:p>
        </w:tc>
        <w:tc>
          <w:tcPr>
            <w:tcW w:w="740" w:type="dxa"/>
            <w:vAlign w:val="bottom"/>
            <w:tcBorders>
              <w:right w:val="single" w:sz="8" w:color="CCEEFF"/>
            </w:tcBorders>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$665,850</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974,181</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680,571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Table</w:t>
            </w:r>
          </w:p>
        </w:tc>
        <w:tc>
          <w:tcPr>
            <w:tcW w:w="800" w:type="dxa"/>
            <w:vAlign w:val="bottom"/>
            <w:tcBorders>
              <w:right w:val="single" w:sz="8" w:color="CCEEFF"/>
            </w:tcBorders>
            <w:gridSpan w:val="3"/>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580" w:type="dxa"/>
            <w:vAlign w:val="bottom"/>
            <w:tcBorders>
              <w:right w:val="single" w:sz="8" w:color="CCEEFF"/>
            </w:tcBorders>
            <w:vMerge w:val="continue"/>
            <w:shd w:val="clear" w:color="auto" w:fill="CCEEFF"/>
          </w:tcPr>
          <w:p>
            <w:pPr>
              <w:spacing w:after="0"/>
              <w:rPr>
                <w:sz w:val="17"/>
                <w:szCs w:val="17"/>
                <w:color w:val="auto"/>
              </w:rPr>
            </w:pPr>
          </w:p>
        </w:tc>
        <w:tc>
          <w:tcPr>
            <w:tcW w:w="740" w:type="dxa"/>
            <w:vAlign w:val="bottom"/>
            <w:tcBorders>
              <w:right w:val="single" w:sz="8" w:color="CCEEFF"/>
            </w:tcBorders>
            <w:gridSpan w:val="3"/>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540" w:type="dxa"/>
            <w:vAlign w:val="bottom"/>
            <w:tcBorders>
              <w:right w:val="single" w:sz="8" w:color="CCEEFF"/>
            </w:tcBorders>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Adjustments for Equity Awards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8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Adjustment for grant date values in the Summary</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(202,635)</w:t>
            </w:r>
          </w:p>
        </w:tc>
        <w:tc>
          <w:tcPr>
            <w:tcW w:w="780" w:type="dxa"/>
            <w:vAlign w:val="bottom"/>
            <w:gridSpan w:val="4"/>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$(271,620)</w:t>
            </w:r>
          </w:p>
        </w:tc>
        <w:tc>
          <w:tcPr>
            <w:tcW w:w="2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(55,923)</w:t>
            </w:r>
          </w:p>
        </w:tc>
        <w:tc>
          <w:tcPr>
            <w:tcW w:w="2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(39,945)</w:t>
            </w:r>
          </w:p>
        </w:tc>
        <w:tc>
          <w:tcPr>
            <w:tcW w:w="780" w:type="dxa"/>
            <w:vAlign w:val="bottom"/>
            <w:tcBorders>
              <w:right w:val="single" w:sz="8" w:color="CCEEFF"/>
            </w:tcBorders>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6"/>
              </w:rPr>
              <w:t>$(103,517)</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(73,940)</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Compensation Table</w:t>
            </w:r>
          </w:p>
        </w:tc>
        <w:tc>
          <w:tcPr>
            <w:tcW w:w="200" w:type="dxa"/>
            <w:vAlign w:val="bottom"/>
            <w:gridSpan w:val="2"/>
            <w:vMerge w:val="continue"/>
            <w:shd w:val="clear" w:color="auto" w:fill="CCEEFF"/>
          </w:tcPr>
          <w:p>
            <w:pPr>
              <w:spacing w:after="0"/>
              <w:rPr>
                <w:sz w:val="17"/>
                <w:szCs w:val="17"/>
                <w:color w:val="auto"/>
              </w:rPr>
            </w:pPr>
          </w:p>
        </w:tc>
        <w:tc>
          <w:tcPr>
            <w:tcW w:w="600" w:type="dxa"/>
            <w:vAlign w:val="bottom"/>
            <w:tcBorders>
              <w:right w:val="single" w:sz="8" w:color="CCEEFF"/>
            </w:tcBorders>
            <w:vMerge w:val="continue"/>
            <w:shd w:val="clear" w:color="auto" w:fill="CCEEFF"/>
          </w:tcPr>
          <w:p>
            <w:pPr>
              <w:spacing w:after="0"/>
              <w:rPr>
                <w:sz w:val="17"/>
                <w:szCs w:val="17"/>
                <w:color w:val="auto"/>
              </w:rPr>
            </w:pPr>
          </w:p>
        </w:tc>
        <w:tc>
          <w:tcPr>
            <w:tcW w:w="780" w:type="dxa"/>
            <w:vAlign w:val="bottom"/>
            <w:gridSpan w:val="4"/>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580" w:type="dxa"/>
            <w:vAlign w:val="bottom"/>
            <w:tcBorders>
              <w:right w:val="single" w:sz="8" w:color="CCEEFF"/>
            </w:tcBorders>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520" w:type="dxa"/>
            <w:vAlign w:val="bottom"/>
            <w:tcBorders>
              <w:right w:val="single" w:sz="8" w:color="CCEEFF"/>
            </w:tcBorders>
            <w:vMerge w:val="continue"/>
            <w:shd w:val="clear" w:color="auto" w:fill="CCEEFF"/>
          </w:tcPr>
          <w:p>
            <w:pPr>
              <w:spacing w:after="0"/>
              <w:rPr>
                <w:sz w:val="17"/>
                <w:szCs w:val="17"/>
                <w:color w:val="auto"/>
              </w:rPr>
            </w:pPr>
          </w:p>
        </w:tc>
        <w:tc>
          <w:tcPr>
            <w:tcW w:w="780" w:type="dxa"/>
            <w:vAlign w:val="bottom"/>
            <w:tcBorders>
              <w:right w:val="single" w:sz="8" w:color="CCEEFF"/>
            </w:tcBorders>
            <w:gridSpan w:val="3"/>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38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Year-end fair value of unvested awards granted in the</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35,100</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100,425</w:t>
            </w:r>
          </w:p>
        </w:tc>
        <w:tc>
          <w:tcPr>
            <w:tcW w:w="80" w:type="dxa"/>
            <w:vAlign w:val="bottom"/>
          </w:tcPr>
          <w:p>
            <w:pPr>
              <w:spacing w:after="0"/>
              <w:rPr>
                <w:sz w:val="12"/>
                <w:szCs w:val="12"/>
                <w:color w:val="auto"/>
              </w:rPr>
            </w:pPr>
          </w:p>
        </w:tc>
        <w:tc>
          <w:tcPr>
            <w:tcW w:w="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43,050</w:t>
            </w:r>
          </w:p>
        </w:tc>
        <w:tc>
          <w:tcPr>
            <w:tcW w:w="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30,750</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21,350</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3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current year</w:t>
            </w:r>
          </w:p>
        </w:tc>
        <w:tc>
          <w:tcPr>
            <w:tcW w:w="20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Year-over-year difference of year-end fair values for</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36,400</w:t>
            </w:r>
          </w:p>
        </w:tc>
        <w:tc>
          <w:tcPr>
            <w:tcW w:w="2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26,000</w:t>
            </w:r>
          </w:p>
        </w:tc>
        <w:tc>
          <w:tcPr>
            <w:tcW w:w="780" w:type="dxa"/>
            <w:vAlign w:val="bottom"/>
            <w:tcBorders>
              <w:right w:val="single" w:sz="8" w:color="CCEEFF"/>
            </w:tcBorders>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6"/>
              </w:rPr>
              <w:t>$(201,028)</w:t>
            </w:r>
          </w:p>
        </w:tc>
        <w:tc>
          <w:tcPr>
            <w:tcW w:w="780" w:type="dxa"/>
            <w:vAlign w:val="bottom"/>
            <w:gridSpan w:val="4"/>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$(150,625)</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unvested awards granted in prior years</w:t>
            </w:r>
          </w:p>
        </w:tc>
        <w:tc>
          <w:tcPr>
            <w:tcW w:w="200" w:type="dxa"/>
            <w:vAlign w:val="bottom"/>
            <w:gridSpan w:val="2"/>
            <w:vMerge w:val="continue"/>
            <w:shd w:val="clear" w:color="auto" w:fill="CCEEFF"/>
          </w:tcPr>
          <w:p>
            <w:pPr>
              <w:spacing w:after="0"/>
              <w:rPr>
                <w:sz w:val="17"/>
                <w:szCs w:val="17"/>
                <w:color w:val="auto"/>
              </w:rPr>
            </w:pPr>
          </w:p>
        </w:tc>
        <w:tc>
          <w:tcPr>
            <w:tcW w:w="600" w:type="dxa"/>
            <w:vAlign w:val="bottom"/>
            <w:tcBorders>
              <w:right w:val="single" w:sz="8" w:color="CCEEFF"/>
            </w:tcBorders>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580" w:type="dxa"/>
            <w:vAlign w:val="bottom"/>
            <w:tcBorders>
              <w:right w:val="single" w:sz="8" w:color="CCEEFF"/>
            </w:tcBorders>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520" w:type="dxa"/>
            <w:vAlign w:val="bottom"/>
            <w:tcBorders>
              <w:right w:val="single" w:sz="8" w:color="CCEEFF"/>
            </w:tcBorders>
            <w:vMerge w:val="continue"/>
            <w:shd w:val="clear" w:color="auto" w:fill="CCEEFF"/>
          </w:tcPr>
          <w:p>
            <w:pPr>
              <w:spacing w:after="0"/>
              <w:rPr>
                <w:sz w:val="17"/>
                <w:szCs w:val="17"/>
                <w:color w:val="auto"/>
              </w:rPr>
            </w:pPr>
          </w:p>
        </w:tc>
        <w:tc>
          <w:tcPr>
            <w:tcW w:w="780" w:type="dxa"/>
            <w:vAlign w:val="bottom"/>
            <w:tcBorders>
              <w:right w:val="single" w:sz="8" w:color="CCEEFF"/>
            </w:tcBorders>
            <w:gridSpan w:val="3"/>
            <w:vMerge w:val="continue"/>
            <w:shd w:val="clear" w:color="auto" w:fill="CCEEFF"/>
          </w:tcPr>
          <w:p>
            <w:pPr>
              <w:spacing w:after="0"/>
              <w:rPr>
                <w:sz w:val="17"/>
                <w:szCs w:val="17"/>
                <w:color w:val="auto"/>
              </w:rPr>
            </w:pPr>
          </w:p>
        </w:tc>
        <w:tc>
          <w:tcPr>
            <w:tcW w:w="780" w:type="dxa"/>
            <w:vAlign w:val="bottom"/>
            <w:gridSpan w:val="4"/>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38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Fair values at vest date for awards granted and vested</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111,340</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67,100</w:t>
            </w:r>
          </w:p>
        </w:tc>
        <w:tc>
          <w:tcPr>
            <w:tcW w:w="80" w:type="dxa"/>
            <w:vAlign w:val="bottom"/>
          </w:tcPr>
          <w:p>
            <w:pPr>
              <w:spacing w:after="0"/>
              <w:rPr>
                <w:sz w:val="12"/>
                <w:szCs w:val="12"/>
                <w:color w:val="auto"/>
              </w:rPr>
            </w:pPr>
          </w:p>
        </w:tc>
        <w:tc>
          <w:tcPr>
            <w:tcW w:w="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39,725</w:t>
            </w:r>
          </w:p>
        </w:tc>
        <w:tc>
          <w:tcPr>
            <w:tcW w:w="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28,375</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25,200</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3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 current year</w:t>
            </w:r>
          </w:p>
        </w:tc>
        <w:tc>
          <w:tcPr>
            <w:tcW w:w="20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Difference in fair values between prior year-end fair</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values and vest date fair values for awards granted</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(83,125)</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(29,688)</w:t>
            </w:r>
          </w:p>
        </w:tc>
        <w:tc>
          <w:tcPr>
            <w:tcW w:w="2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31,623</w:t>
            </w:r>
          </w:p>
        </w:tc>
        <w:tc>
          <w:tcPr>
            <w:tcW w:w="2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46,250</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(50,375)</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(24,750)</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 prior years</w:t>
            </w:r>
          </w:p>
        </w:tc>
        <w:tc>
          <w:tcPr>
            <w:tcW w:w="200" w:type="dxa"/>
            <w:vAlign w:val="bottom"/>
            <w:gridSpan w:val="2"/>
            <w:vMerge w:val="continue"/>
            <w:shd w:val="clear" w:color="auto" w:fill="CCEEFF"/>
          </w:tcPr>
          <w:p>
            <w:pPr>
              <w:spacing w:after="0"/>
              <w:rPr>
                <w:sz w:val="17"/>
                <w:szCs w:val="17"/>
                <w:color w:val="auto"/>
              </w:rPr>
            </w:pPr>
          </w:p>
        </w:tc>
        <w:tc>
          <w:tcPr>
            <w:tcW w:w="600" w:type="dxa"/>
            <w:vAlign w:val="bottom"/>
            <w:tcBorders>
              <w:right w:val="single" w:sz="8" w:color="CCEEFF"/>
            </w:tcBorders>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580" w:type="dxa"/>
            <w:vAlign w:val="bottom"/>
            <w:tcBorders>
              <w:right w:val="single" w:sz="8" w:color="CCEEFF"/>
            </w:tcBorders>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520" w:type="dxa"/>
            <w:vAlign w:val="bottom"/>
            <w:tcBorders>
              <w:right w:val="single" w:sz="8" w:color="CCEEFF"/>
            </w:tcBorders>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540" w:type="dxa"/>
            <w:vAlign w:val="bottom"/>
            <w:tcBorders>
              <w:right w:val="single" w:sz="8" w:color="CCEEFF"/>
            </w:tcBorders>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38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Forfeitures during current year equal to prior year-end</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3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fair value</w:t>
            </w:r>
          </w:p>
        </w:tc>
        <w:tc>
          <w:tcPr>
            <w:tcW w:w="20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Dividends or dividend equivalents not otherwise</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included in total compensation</w:t>
            </w:r>
          </w:p>
        </w:tc>
        <w:tc>
          <w:tcPr>
            <w:tcW w:w="200" w:type="dxa"/>
            <w:vAlign w:val="bottom"/>
            <w:gridSpan w:val="2"/>
            <w:vMerge w:val="continue"/>
            <w:shd w:val="clear" w:color="auto" w:fill="CCEEFF"/>
          </w:tcPr>
          <w:p>
            <w:pPr>
              <w:spacing w:after="0"/>
              <w:rPr>
                <w:sz w:val="16"/>
                <w:szCs w:val="16"/>
                <w:color w:val="auto"/>
              </w:rPr>
            </w:pPr>
          </w:p>
        </w:tc>
        <w:tc>
          <w:tcPr>
            <w:tcW w:w="600" w:type="dxa"/>
            <w:vAlign w:val="bottom"/>
            <w:tcBorders>
              <w:right w:val="single" w:sz="8" w:color="CCEEFF"/>
            </w:tcBorders>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580" w:type="dxa"/>
            <w:vAlign w:val="bottom"/>
            <w:tcBorders>
              <w:right w:val="single" w:sz="8" w:color="CCEEFF"/>
            </w:tcBorders>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520" w:type="dxa"/>
            <w:vAlign w:val="bottom"/>
            <w:tcBorders>
              <w:right w:val="single" w:sz="8" w:color="CCEEFF"/>
            </w:tcBorders>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540" w:type="dxa"/>
            <w:vAlign w:val="bottom"/>
            <w:tcBorders>
              <w:right w:val="single" w:sz="8" w:color="CCEEFF"/>
            </w:tcBorders>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right w:val="single" w:sz="8" w:color="CCEEFF"/>
            </w:tcBorders>
            <w:shd w:val="clear" w:color="auto" w:fill="000000"/>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4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580" w:type="dxa"/>
            <w:vAlign w:val="bottom"/>
            <w:tcBorders>
              <w:top w:val="single" w:sz="8" w:color="auto"/>
              <w:right w:val="single" w:sz="8" w:color="CCEEFF"/>
            </w:tcBorders>
            <w:shd w:val="clear" w:color="auto" w:fill="000000"/>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520" w:type="dxa"/>
            <w:vAlign w:val="bottom"/>
            <w:tcBorders>
              <w:top w:val="single" w:sz="8" w:color="auto"/>
              <w:right w:val="single" w:sz="8" w:color="CCEEFF"/>
            </w:tcBorders>
            <w:shd w:val="clear" w:color="auto" w:fill="000000"/>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540" w:type="dxa"/>
            <w:vAlign w:val="bottom"/>
            <w:tcBorders>
              <w:top w:val="single" w:sz="8" w:color="auto"/>
              <w:right w:val="single" w:sz="8" w:color="CCEEFF"/>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4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Adjustments for Equity Awards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(139,320)</w:t>
            </w:r>
          </w:p>
        </w:tc>
        <w:tc>
          <w:tcPr>
            <w:tcW w:w="7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$(133,783)</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94,875</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91,430</w:t>
            </w:r>
          </w:p>
        </w:tc>
        <w:tc>
          <w:tcPr>
            <w:tcW w:w="7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w w:val="96"/>
              </w:rPr>
              <w:t>$(308,370)</w:t>
            </w:r>
          </w:p>
        </w:tc>
        <w:tc>
          <w:tcPr>
            <w:tcW w:w="7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$(212,253)</w:t>
            </w:r>
          </w:p>
        </w:tc>
        <w:tc>
          <w:tcPr>
            <w:tcW w:w="0" w:type="dxa"/>
            <w:vAlign w:val="bottom"/>
          </w:tcPr>
          <w:p>
            <w:pPr>
              <w:spacing w:after="0"/>
              <w:rPr>
                <w:sz w:val="1"/>
                <w:szCs w:val="1"/>
                <w:color w:val="auto"/>
              </w:rPr>
            </w:pPr>
          </w:p>
        </w:tc>
      </w:tr>
      <w:tr>
        <w:trPr>
          <w:trHeight w:val="19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Compensation Actually Paid (as calculated)</w:t>
            </w: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1,050,354</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697,613</w:t>
            </w:r>
          </w:p>
        </w:tc>
        <w:tc>
          <w:tcPr>
            <w:tcW w:w="8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1,058,522</w:t>
            </w:r>
          </w:p>
        </w:tc>
        <w:tc>
          <w:tcPr>
            <w:tcW w:w="74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757,280</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665,811</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468,319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Narrative Disclosure: Pay Versus Performance Table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illustrations below provide a graphical description of CAP (as calculated in accordance with the SEC rules)</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the following measures:</w:t>
      </w:r>
    </w:p>
    <w:p>
      <w:pPr>
        <w:spacing w:after="0" w:line="99" w:lineRule="exact"/>
        <w:rPr>
          <w:sz w:val="20"/>
          <w:szCs w:val="20"/>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Galectin’s cumulative TSR;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Galectin Net Income</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CAP and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182880</wp:posOffset>
            </wp:positionV>
            <wp:extent cx="4757420" cy="37376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57420" cy="373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CAP and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182880</wp:posOffset>
            </wp:positionV>
            <wp:extent cx="4757420" cy="3737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757420" cy="373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NON-BINDING ADVISORY RESOLUTION TO APPROVE EXECUTIVE COMPENSATION</w:t>
      </w:r>
    </w:p>
    <w:p>
      <w:pPr>
        <w:spacing w:after="0" w:line="99"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amended Section 14A of the Securities Exchange Act of 1934, which now requires that we provide our stockholders with the opportunity to vote to approve, on a nonbinding, advisory basis, on the compensation of our named executives officers as disclosed in this proxy statement in accordance with the Compensation disclosure rules of the Securities and Exchange Commission (“SEC”).</w:t>
      </w:r>
    </w:p>
    <w:p>
      <w:pPr>
        <w:spacing w:after="0" w:line="75"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As described in more detail above under “Executive Compensation”, we seek to closely align the interests of our named executive officers with the interests of our stockholders. Our compensation programs are designed to reward our named executive officers for the achievement of short-term and long-term strategic and operational goals and the achievement of increased total stockholder return.</w:t>
      </w:r>
    </w:p>
    <w:p>
      <w:pPr>
        <w:spacing w:after="0" w:line="72"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This vote is advisory, which means that the vote on executive compensation is not binding on the Company, our Board of Directors or the Compensation Committee of the Board of Directors. However, we welcome input from our stockholders regarding executive compensation and other matters related to the company’s success generally. We believe in a corporate governance structure that is responsive to stockholder concerns, and we view this vote as a meaningful opportunity to gauge stockholder approval of our executive compensation policies.</w:t>
      </w:r>
    </w:p>
    <w:p>
      <w:pPr>
        <w:spacing w:after="0" w:line="71" w:lineRule="exact"/>
        <w:rPr>
          <w:sz w:val="20"/>
          <w:szCs w:val="20"/>
          <w:color w:val="auto"/>
        </w:rPr>
      </w:pPr>
    </w:p>
    <w:p>
      <w:pPr>
        <w:ind w:left="300" w:right="9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GIVEN THE INFORMATION PROVIDED IN THIS PROXY STATEMENT, THE BOARD OF DIRECTORS ASKS YOU TO APPROVE AND VOTE FOR THE FOLLOWING NON-BINDING RESOLUTION AT OUR MEETING:</w:t>
      </w:r>
    </w:p>
    <w:p>
      <w:pPr>
        <w:spacing w:after="0" w:line="67"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“RESOLVED, that the Company’s stockholders approve, on an advisory basis, the compensation of the named executive officers, as disclosed in the Company’s Proxy Statement for the 2025 Annual Meeting of Stockholders pursuant to the compensation disclosure rules of the Securities and Exchange Commission, including the Summary Compensation Table and the other related tables and disclosure.”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NON-BINDING ADVISORY VOTE ON THE FREQUENCY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STOCKHOLDER APPROVAL OF EXECUTIVE COMPENSATION</w:t>
      </w:r>
    </w:p>
    <w:p>
      <w:pPr>
        <w:spacing w:after="0" w:line="99"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Pursuant to the Dodd-Frank Act and recently enacted SEC rules, at least once every six years we are required to submit for stockholder vote a non-binding resolution to determine whether we should conduct our stockholder advisory vote on executive compensation every year, every two years, or every three years.</w:t>
      </w:r>
    </w:p>
    <w:p>
      <w:pPr>
        <w:spacing w:after="0" w:line="68"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After careful consideration of the various arguments supporting each frequency level, the Board of Directors believes that submitting the advisory vote on executive compensation to stockholders every three years is appropriate for the Company and its stockholders at this time.</w:t>
      </w:r>
    </w:p>
    <w:p>
      <w:pPr>
        <w:spacing w:after="0" w:line="68"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The proxy card provides four choices (every three, two, or one years, or abstain). Stockholders are being asked for their vote on the frequency of the advisory vote on executive compensation and are not voting to approve or disapprove the Board’s recommendation. As such, stockholders may choose an annual, biennial, or triennial frequency, i.e., every year, every two years, every three years, or they may abstain. The frequency option that receives the most votes will be deemed the option chosen by the advisory vote.</w:t>
      </w:r>
    </w:p>
    <w:p>
      <w:pPr>
        <w:spacing w:after="0" w:line="75"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As with your vote on Proposal No. 2 above, your vote on this Proposal No. 3 is advisory, and therefore not binding on the Company or our Board of Directors. The vote will not be construed to create or imply any change to the fiduciary duties of the Company or our Board of Directors, or to create or imply any additional fiduciary duties for the Company or our Board of Directors. Although the vote is non-binding, our Board of Directors will consider the outcome of the frequency vote and other communications from stockholders when making future decisions regarding the frequency of such advisory votes regarding executive compensation.</w:t>
      </w:r>
    </w:p>
    <w:p>
      <w:pPr>
        <w:spacing w:after="0" w:line="75" w:lineRule="exact"/>
        <w:rPr>
          <w:sz w:val="20"/>
          <w:szCs w:val="20"/>
          <w:color w:val="auto"/>
        </w:rPr>
      </w:pPr>
    </w:p>
    <w:p>
      <w:pPr>
        <w:ind w:left="300" w:right="61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RECOMMENDS A VOTE TO CONDUCT FUTURE ADVISORY STOCKHOLDER VOTES ON COMPENSATION OF OUR NAMED EXECUTIVE OFFICERS TO OCCUR TRIENNIALLY (EVERY THREE YEARS).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AUDITORS</w:t>
      </w:r>
    </w:p>
    <w:p>
      <w:pPr>
        <w:spacing w:after="0" w:line="99" w:lineRule="exact"/>
        <w:rPr>
          <w:sz w:val="20"/>
          <w:szCs w:val="20"/>
          <w:color w:val="auto"/>
        </w:rPr>
      </w:pPr>
    </w:p>
    <w:p>
      <w:pPr>
        <w:ind w:left="300" w:right="799" w:firstLine="360"/>
        <w:spacing w:after="0" w:line="282" w:lineRule="auto"/>
        <w:rPr>
          <w:sz w:val="20"/>
          <w:szCs w:val="20"/>
          <w:color w:val="auto"/>
        </w:rPr>
      </w:pPr>
      <w:r>
        <w:rPr>
          <w:rFonts w:ascii="Times New Roman" w:cs="Times New Roman" w:eastAsia="Times New Roman" w:hAnsi="Times New Roman"/>
          <w:sz w:val="18"/>
          <w:szCs w:val="18"/>
          <w:color w:val="auto"/>
        </w:rPr>
        <w:t>The Board of Directors has appointed Cherry Bekaert LLP as our independent auditors for the fiscal year ending December 31, 2025.</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Approval of this Proposal requires a majority of the votes cast of this Proposal. Accordingly, abstentions and broker non-votes will have no effect on the outcome of this Proposal.</w:t>
      </w:r>
    </w:p>
    <w:p>
      <w:pPr>
        <w:spacing w:after="0" w:line="306" w:lineRule="exact"/>
        <w:rPr>
          <w:sz w:val="20"/>
          <w:szCs w:val="20"/>
          <w:color w:val="auto"/>
        </w:rPr>
      </w:pPr>
    </w:p>
    <w:p>
      <w:pPr>
        <w:jc w:val="center"/>
        <w:ind w:left="292" w:right="35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RECOMMENDS A VOTE “FOR” THE RATIFICATION OF THE APPOINTMENT OF CHERRY BEKAERT LLP, AS GALECTIN THERAPEUTICS’ INDEPENDENT PUBLIC ACCOUNTANTS FOR THE FISCAL YEAR ENDING DECEMBER 31, 2025.</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FEES PAID TO CHERRY BEKAERT LLP</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280" w:type="dxa"/>
            <w:vAlign w:val="bottom"/>
          </w:tcPr>
          <w:p>
            <w:pPr>
              <w:spacing w:after="0"/>
              <w:rPr>
                <w:sz w:val="13"/>
                <w:szCs w:val="13"/>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r>
      <w:tr>
        <w:trPr>
          <w:trHeight w:val="190"/>
        </w:trPr>
        <w:tc>
          <w:tcPr>
            <w:tcW w:w="6760" w:type="dxa"/>
            <w:vAlign w:val="bottom"/>
          </w:tcPr>
          <w:p>
            <w:pPr>
              <w:spacing w:after="0"/>
              <w:rPr>
                <w:sz w:val="16"/>
                <w:szCs w:val="16"/>
                <w:color w:val="auto"/>
              </w:rPr>
            </w:pPr>
          </w:p>
        </w:tc>
        <w:tc>
          <w:tcPr>
            <w:tcW w:w="6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67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90"/>
        </w:trPr>
        <w:tc>
          <w:tcPr>
            <w:tcW w:w="676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$182,000</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$177,000</w:t>
            </w:r>
          </w:p>
        </w:tc>
        <w:tc>
          <w:tcPr>
            <w:tcW w:w="20" w:type="dxa"/>
            <w:vAlign w:val="bottom"/>
            <w:shd w:val="clear" w:color="auto" w:fill="CCEEFF"/>
          </w:tcPr>
          <w:p>
            <w:pPr>
              <w:spacing w:after="0"/>
              <w:rPr>
                <w:sz w:val="24"/>
                <w:szCs w:val="24"/>
                <w:color w:val="auto"/>
              </w:rPr>
            </w:pPr>
          </w:p>
        </w:tc>
      </w:tr>
      <w:tr>
        <w:trPr>
          <w:trHeight w:val="283"/>
        </w:trPr>
        <w:tc>
          <w:tcPr>
            <w:tcW w:w="676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9"/>
                <w:szCs w:val="29"/>
                <w:color w:val="auto"/>
                <w:vertAlign w:val="superscript"/>
              </w:rPr>
              <w:t>(2)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17,237</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0" w:type="dxa"/>
            <w:vAlign w:val="bottom"/>
          </w:tcPr>
          <w:p>
            <w:pPr>
              <w:spacing w:after="0"/>
              <w:rPr>
                <w:sz w:val="24"/>
                <w:szCs w:val="24"/>
                <w:color w:val="auto"/>
              </w:rPr>
            </w:pPr>
          </w:p>
        </w:tc>
      </w:tr>
      <w:tr>
        <w:trPr>
          <w:trHeight w:val="24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40,194</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48,812</w:t>
            </w:r>
          </w:p>
        </w:tc>
        <w:tc>
          <w:tcPr>
            <w:tcW w:w="20" w:type="dxa"/>
            <w:vAlign w:val="bottom"/>
            <w:shd w:val="clear" w:color="auto" w:fill="CCEEFF"/>
          </w:tcPr>
          <w:p>
            <w:pPr>
              <w:spacing w:after="0"/>
              <w:rPr>
                <w:sz w:val="21"/>
                <w:szCs w:val="21"/>
                <w:color w:val="auto"/>
              </w:rPr>
            </w:pPr>
          </w:p>
        </w:tc>
      </w:tr>
      <w:tr>
        <w:trPr>
          <w:trHeight w:val="23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31"/>
        </w:trPr>
        <w:tc>
          <w:tcPr>
            <w:tcW w:w="6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0"/>
        </w:trPr>
        <w:tc>
          <w:tcPr>
            <w:tcW w:w="6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Fees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239,431</w:t>
            </w:r>
          </w:p>
        </w:tc>
        <w:tc>
          <w:tcPr>
            <w:tcW w:w="2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233,812</w:t>
            </w:r>
          </w:p>
        </w:tc>
        <w:tc>
          <w:tcPr>
            <w:tcW w:w="2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6" w:lineRule="exact"/>
        <w:rPr>
          <w:sz w:val="20"/>
          <w:szCs w:val="20"/>
          <w:color w:val="auto"/>
        </w:rPr>
      </w:pPr>
    </w:p>
    <w:p>
      <w:pPr>
        <w:jc w:val="both"/>
        <w:ind w:left="640" w:right="619" w:hanging="348"/>
        <w:spacing w:after="0" w:line="243"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Audit Fees</w:t>
      </w:r>
      <w:r>
        <w:rPr>
          <w:rFonts w:ascii="Times New Roman" w:cs="Times New Roman" w:eastAsia="Times New Roman" w:hAnsi="Times New Roman"/>
          <w:sz w:val="14"/>
          <w:szCs w:val="14"/>
          <w:color w:val="auto"/>
        </w:rPr>
        <w:t>. These are fees for professional services for the audit of our annual financial statements dated December 31, 2024 and 2023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included in our Annual Reports on Form 10-K for fiscal years then ended, and review of financial statements included in our Quarterly Reports on Form 10-Q for each fiscal quarter during the 2024 and 2023 fiscal years.</w:t>
      </w:r>
    </w:p>
    <w:p>
      <w:pPr>
        <w:spacing w:after="0" w:line="10" w:lineRule="exact"/>
        <w:rPr>
          <w:rFonts w:ascii="Times New Roman" w:cs="Times New Roman" w:eastAsia="Times New Roman" w:hAnsi="Times New Roman"/>
          <w:sz w:val="14"/>
          <w:szCs w:val="14"/>
          <w:color w:val="auto"/>
        </w:rPr>
      </w:pPr>
    </w:p>
    <w:p>
      <w:pPr>
        <w:ind w:left="640" w:right="299" w:hanging="348"/>
        <w:spacing w:after="0" w:line="236"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Audit-Related Fees</w:t>
      </w:r>
      <w:r>
        <w:rPr>
          <w:rFonts w:ascii="Times New Roman" w:cs="Times New Roman" w:eastAsia="Times New Roman" w:hAnsi="Times New Roman"/>
          <w:sz w:val="14"/>
          <w:szCs w:val="14"/>
          <w:color w:val="auto"/>
        </w:rPr>
        <w:t>. These are fees for assurance and related services that are reasonably related to the performance of the audit or review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financial 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w:t>
      </w:r>
    </w:p>
    <w:p>
      <w:pPr>
        <w:spacing w:after="0" w:line="75"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The Audit Committee has considered whether the provision of non-core audit services to Galectin Therapeutics by Cherry Bekaert LLP is compatible with maintaining independence.</w:t>
      </w:r>
    </w:p>
    <w:p>
      <w:pPr>
        <w:spacing w:after="0" w:line="3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Pre-Approval Policy and Procedures</w:t>
      </w:r>
    </w:p>
    <w:p>
      <w:pPr>
        <w:spacing w:after="0" w:line="119" w:lineRule="exact"/>
        <w:rPr>
          <w:sz w:val="20"/>
          <w:szCs w:val="20"/>
          <w:color w:val="auto"/>
        </w:rPr>
      </w:pPr>
    </w:p>
    <w:p>
      <w:pPr>
        <w:ind w:left="300" w:right="479" w:firstLine="360"/>
        <w:spacing w:after="0" w:line="255" w:lineRule="auto"/>
        <w:rPr>
          <w:sz w:val="20"/>
          <w:szCs w:val="20"/>
          <w:color w:val="auto"/>
        </w:rPr>
      </w:pPr>
      <w:r>
        <w:rPr>
          <w:rFonts w:ascii="Times New Roman" w:cs="Times New Roman" w:eastAsia="Times New Roman" w:hAnsi="Times New Roman"/>
          <w:sz w:val="18"/>
          <w:szCs w:val="18"/>
          <w:color w:val="auto"/>
        </w:rPr>
        <w:t>The Audit Committee of our Board of Directors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8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72" w:lineRule="exact"/>
        <w:rPr>
          <w:sz w:val="20"/>
          <w:szCs w:val="20"/>
          <w:color w:val="auto"/>
        </w:rPr>
      </w:pPr>
    </w:p>
    <w:p>
      <w:pPr>
        <w:ind w:left="300" w:right="559" w:firstLine="360"/>
        <w:spacing w:after="0" w:line="312" w:lineRule="auto"/>
        <w:rPr>
          <w:sz w:val="20"/>
          <w:szCs w:val="20"/>
          <w:color w:val="auto"/>
        </w:rPr>
      </w:pPr>
      <w:r>
        <w:rPr>
          <w:rFonts w:ascii="Times New Roman" w:cs="Times New Roman" w:eastAsia="Times New Roman" w:hAnsi="Times New Roman"/>
          <w:sz w:val="17"/>
          <w:szCs w:val="17"/>
          <w:color w:val="auto"/>
        </w:rPr>
        <w:t>Our Chief Financial Officer reports quarterly to the Audit Committee on the status of pre-approved services, including projected fees. All of the services reflected in the above table were approved by the Audit Committee.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PROPOSALS OF STOCKHOLDERS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must be submitted in writing to our Corporate Secretary at 4960 Peachtree Industrial Blvd., Suite 240, Norcross, GA 30071. With respect to proposals made pursuant to Rule 14a-8 promulgated under the Securities Exchange Act of 1934, the proposal must be received by our Corporate Secretary by June 24, 2026 for inclusion in our proxy statement and form of proxy. In addition, all stockholder proposals submitted outside of the stockholder proposal rules promulgated pursuant to Rule 14a-8 under the Exchange Act, including nominations of director candidates, must be received by our Corporate Secretary by no later than September 4, 2026 nor earlier than August 5, 2026, in order to be considered timely.</w:t>
      </w:r>
    </w:p>
    <w:p>
      <w:pPr>
        <w:spacing w:after="0" w:line="81"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the date of the 2025 annual meeting of stockholders is scheduled to take place on a date that is more than 30 calendar days from the one year anniversary of the 2024 Annual Meeting of Stockholders, then we will promptly disclose, in a Quarterly Report on Form 10-Q or in a current report on Form 8-K, the date by which a nominating stockholder or nominating-stockholder group must submit a proposal to us (i) pursuant to Rule 14a-8 promulgated under the Exchange Act or (ii) outside of the stockholder proposal rules promulgated pursuant to Rule 14a-8 under the Exchange Act, including nominations of director candidates.</w:t>
      </w:r>
    </w:p>
    <w:p>
      <w:pPr>
        <w:spacing w:after="0" w:line="79"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You are also advised to review our bylaws, which contain additional requirements about advance notice of stockholder proposals and director nominations.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121" w:lineRule="exact"/>
        <w:rPr>
          <w:sz w:val="20"/>
          <w:szCs w:val="20"/>
          <w:color w:val="auto"/>
        </w:rPr>
      </w:pPr>
    </w:p>
    <w:p>
      <w:pPr>
        <w:ind w:left="300" w:right="619" w:firstLine="360"/>
        <w:spacing w:after="0" w:line="261" w:lineRule="auto"/>
        <w:rPr>
          <w:sz w:val="20"/>
          <w:szCs w:val="20"/>
          <w:color w:val="auto"/>
        </w:rPr>
      </w:pPr>
      <w:r>
        <w:rPr>
          <w:rFonts w:ascii="Times New Roman" w:cs="Times New Roman" w:eastAsia="Times New Roman" w:hAnsi="Times New Roman"/>
          <w:sz w:val="18"/>
          <w:szCs w:val="18"/>
          <w:color w:val="auto"/>
        </w:rPr>
        <w:t>Our Annual Report on Form 10-K, filed with the SEC for the fiscal year ended December 31, 2024, may be obtained by our stockholders without charge, upon written request to our Corporate Secretary. You may also download a copy of our Annual Report on Form 10-K by vising our corporate website at investor.galectintherapeutics.com/financial-information or at www.proxyvote.com.</w:t>
      </w:r>
    </w:p>
    <w:p>
      <w:pPr>
        <w:spacing w:after="0" w:line="72"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SEC rules permit companies and intermediaries such as brokers to satisfy delivery requirements for proxy statements with respect to two or more stockholders sharing the same address by delivering a single proxy statement addressed to those stockholders. This process is called “householding.” This reduces the volume of duplicate information received at your household and helps to reduce costs. We may “household” your materials based on your prior express or implied consent. A number of brokerage firms have instituted householding. Once a stockholder has received notice from his or her broker that the broker will be householding communications to the stockholder’s address, householding will continue until the stockholder is notified otherwise or until one or more of the stockholders revokes his or her consent.</w:t>
      </w:r>
    </w:p>
    <w:p>
      <w:pPr>
        <w:spacing w:after="0" w:line="84"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you would like to receive your own set of our proxy statement and related materials now or in the future, or if you share an address with another Galectin Therapeutics stockholder and together both of you would like to receive only a single set of our proxy materials in the future, please contact your broker (if you hold your shares in “street name”). Be sure to indicate your name, the name of your brokerage firm or bank, and your account number(s). You can also request prompt delivery of a copy of the proxy statement and related materials by contacting our Corporate Secretary at Galectin Therapeutics, 4960 Peachtree Industrial Blvd., Suite 240, Norcross, GA 30071, Attention: Corporate Secretary; telephone: 678-620-3186; e-mail: callicutt@galectintherapeutics.com.</w:t>
      </w:r>
    </w:p>
    <w:p>
      <w:pPr>
        <w:spacing w:after="0" w:line="2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34290</wp:posOffset>
            </wp:positionV>
            <wp:extent cx="1157605" cy="3683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57605" cy="36830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Jack W. Callicutt</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Chief Financial Officer and</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HOW TO ATTEND THE 2025 ANNUAL MEETING</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This year our annual meeting will be a virtual online-only meeting. There will be no physical meeting location. The meeting will only be conducted via live webcast. To participate in the 2025 Annual Meeting, visit www.virtualshareholdermeeting.com/GALT2025 and enter the 16-digit control number included on your notice of Internet availability of the proxy materials, on your proxy card, or on the instructions that accompanied your proxy materials. You may begin to log into the meeting platform beginning at 10:45 a.m. Eastern Standard Time on December 3, 2025. The meeting will begin promptly at 11:00 a.m. Eastern Standard Time on December 3, 2025.</w:t>
      </w:r>
    </w:p>
    <w:p>
      <w:pPr>
        <w:spacing w:after="0" w:line="79"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virtual meeting platform is fully supported across browsers (Microsoft Edge, Firefox, Chrome,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w:t>
      </w:r>
    </w:p>
    <w:p>
      <w:pPr>
        <w:spacing w:after="0" w:line="75"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If you want to submit question during the meeting, log into the virtual meeting platform at www.virtualshareholdermeeting.com/GALT2025, type your question into the “Ask a Question” field, and click “Submit.” Questions pertinent to meeting matters will be answered during the meeting, subject to time constraints. Questions regarding personal matters, including those related to employment, product or service issues, or suggestions for product innovations, are not pertinent to meeting matters and therefore will not be answered. The 2025 Annual Meeting has been designed to provide the same rights to participate as you would have at an in-person meeting. If you encounter any difficulties accessing the 2025 Annual Meeting during the check-in or meeting time, please call the technical support number that will be posted on the Virtual Shareholder Meeting log in page at www.virtualshareholdermeeting.com/GALT2025.</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lvl w:ilvl="1">
      <w:lvlJc w:val="left"/>
      <w:lvlText w:val="☐"/>
      <w:numFmt w:val="bullet"/>
      <w:start w:val="1"/>
    </w:lvl>
  </w:abstractNum>
  <w:abstractNum w:abstractNumId="1">
    <w:nsid w:val="1BEFD79F"/>
    <w:multiLevelType w:val="hybridMultilevel"/>
    <w:lvl w:ilvl="0">
      <w:lvlJc w:val="left"/>
      <w:lvlText w:val="☒"/>
      <w:numFmt w:val="bullet"/>
      <w:start w:val="1"/>
    </w:lvl>
    <w:lvl w:ilvl="1">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2"/>
      <w:numFmt w:val="bullet"/>
      <w:start w:val="1"/>
    </w:lvl>
  </w:abstractNum>
  <w:abstractNum w:abstractNumId="6">
    <w:nsid w:val="519B500D"/>
    <w:multiLevelType w:val="hybridMultilevel"/>
    <w:lvl w:ilvl="0">
      <w:lvlJc w:val="left"/>
      <w:lvlText w:val="%1."/>
      <w:numFmt w:val="decimal"/>
      <w:start w:val="3"/>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2"/>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2"/>
    </w:lvl>
  </w:abstractNum>
  <w:abstractNum w:abstractNumId="14">
    <w:nsid w:val="333AB105"/>
    <w:multiLevelType w:val="hybridMultilevel"/>
    <w:lvl w:ilvl="0">
      <w:lvlJc w:val="left"/>
      <w:lvlText w:val="(%1)"/>
      <w:numFmt w:val="decimal"/>
      <w:start w:val="3"/>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2"/>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2025-10-22T07:08:20Z</dcterms:created>
  <dcterms:modified xsi:type="dcterms:W3CDTF">2025-10-22T07:08:20Z</dcterms:modified>
</cp:coreProperties>
</file>