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5920" w:hanging="452"/>
        <w:spacing w:after="0" w:line="269"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43" w:lineRule="exact"/>
        <w:rPr>
          <w:sz w:val="24"/>
          <w:szCs w:val="24"/>
          <w:color w:val="auto"/>
        </w:rPr>
      </w:pPr>
    </w:p>
    <w:p>
      <w:pPr>
        <w:ind w:left="460" w:right="5880" w:hanging="452"/>
        <w:spacing w:after="0" w:line="269"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6480" w:type="dxa"/>
            <w:vAlign w:val="bottom"/>
          </w:tcPr>
          <w:p>
            <w:pPr>
              <w:jc w:val="center"/>
              <w:ind w:right="3139"/>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480" w:type="dxa"/>
            <w:vAlign w:val="bottom"/>
          </w:tcPr>
          <w:p>
            <w:pPr>
              <w:jc w:val="center"/>
              <w:ind w:right="31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48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480" w:type="dxa"/>
            <w:vAlign w:val="bottom"/>
          </w:tcPr>
          <w:p>
            <w:pPr>
              <w:jc w:val="center"/>
              <w:ind w:right="3139"/>
              <w:spacing w:after="0"/>
              <w:rPr>
                <w:sz w:val="20"/>
                <w:szCs w:val="20"/>
                <w:color w:val="auto"/>
              </w:rPr>
            </w:pPr>
            <w:r>
              <w:rPr>
                <w:rFonts w:ascii="Arial" w:cs="Arial" w:eastAsia="Arial" w:hAnsi="Arial"/>
                <w:sz w:val="18"/>
                <w:szCs w:val="18"/>
                <w:b w:val="1"/>
                <w:bCs w:val="1"/>
                <w:color w:val="auto"/>
                <w:w w:val="90"/>
              </w:rPr>
              <w:t>4960 Peachtree Industrial Blvd., Suite 240,</w:t>
            </w:r>
          </w:p>
        </w:tc>
        <w:tc>
          <w:tcPr>
            <w:tcW w:w="1480" w:type="dxa"/>
            <w:vAlign w:val="bottom"/>
          </w:tcPr>
          <w:p>
            <w:pPr>
              <w:spacing w:after="0"/>
              <w:rPr>
                <w:sz w:val="24"/>
                <w:szCs w:val="24"/>
                <w:color w:val="auto"/>
              </w:rPr>
            </w:pPr>
          </w:p>
        </w:tc>
      </w:tr>
      <w:tr>
        <w:trPr>
          <w:trHeight w:val="225"/>
        </w:trPr>
        <w:tc>
          <w:tcPr>
            <w:tcW w:w="648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6480" w:type="dxa"/>
            <w:vAlign w:val="bottom"/>
          </w:tcPr>
          <w:p>
            <w:pPr>
              <w:jc w:val="center"/>
              <w:ind w:right="31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480" w:type="dxa"/>
            <w:vAlign w:val="bottom"/>
          </w:tcPr>
          <w:p>
            <w:pPr>
              <w:jc w:val="right"/>
              <w:ind w:right="1379"/>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6480" w:type="dxa"/>
            <w:vAlign w:val="bottom"/>
          </w:tcPr>
          <w:p>
            <w:pPr>
              <w:jc w:val="center"/>
              <w:ind w:left="23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w w:val="97"/>
              </w:rPr>
              <w:t>The number of shares outstanding of the registrant’s common stock as of August 5, 2016 was 29,280,653.</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80" w:type="dxa"/>
            <w:vAlign w:val="bottom"/>
            <w:gridSpan w:val="10"/>
            <w:vMerge w:val="restart"/>
          </w:tcPr>
          <w:p>
            <w:pPr>
              <w:jc w:val="center"/>
              <w:ind w:right="268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80" w:type="dxa"/>
            <w:vAlign w:val="bottom"/>
            <w:gridSpan w:val="10"/>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1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5"/>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5"/>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2016 and 2015 (unaudited)</w:t>
              </w:r>
            </w:hyperlink>
          </w:p>
        </w:tc>
        <w:tc>
          <w:tcPr>
            <w:tcW w:w="8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2016 and 2015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460" w:type="dxa"/>
            <w:vAlign w:val="bottom"/>
            <w:tcBorders>
              <w:top w:val="single" w:sz="8" w:color="0000EE"/>
            </w:tcBorders>
            <w:gridSpan w:val="4"/>
          </w:tcPr>
          <w:p>
            <w:pPr>
              <w:spacing w:after="0"/>
              <w:rPr>
                <w:sz w:val="17"/>
                <w:szCs w:val="17"/>
                <w:color w:val="auto"/>
              </w:rPr>
            </w:pPr>
          </w:p>
        </w:tc>
        <w:tc>
          <w:tcPr>
            <w:tcW w:w="15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982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98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98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6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360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w:t>
              </w:r>
            </w:hyperlink>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1A.</w:t>
              </w:r>
            </w:hyperlink>
          </w:p>
        </w:tc>
        <w:tc>
          <w:tcPr>
            <w:tcW w:w="360" w:type="dxa"/>
            <w:vAlign w:val="bottom"/>
            <w:gridSpan w:val="2"/>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89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w:t>
              </w:r>
            </w:hyperlink>
          </w:p>
        </w:tc>
        <w:tc>
          <w:tcPr>
            <w:tcW w:w="98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4"/>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SIGNATURES</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9"/>
          </w:tcPr>
          <w:p>
            <w:pPr>
              <w:ind w:left="454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18,242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18,247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26,408</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5"/>
              </w:rPr>
              <w:t>Series B-1 12% redeemable convertible preferred stock; 900,000 shares authorized, issued and outstanding at June 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2016 and December 31, 2015, redemption and liquidation value $1,800,000 at June 30, 2016</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1,756</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B-2 12% redeemable convertible preferred stock; 2,100,000 shares authorized, issued and outstanding at June 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 and December 31, 2015, redemption and liquidation value $4,200,000 at June 30, 2016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9"/>
              </w:rPr>
              <w:t>Series C super dividend convertible preferred stock; 1,000 shares authorized, 176 shares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w w:val="95"/>
              </w:rPr>
              <w:t>June 30, 2016 and December 31, 2015, redemption value: $6,434,000, liquidation value: $1,760,000 at June 30, 2016</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8"/>
              </w:rPr>
              <w:t>Undesignated stock, $0.01 par value; 20,000,000 shares authorized, 8,001,000 designated at June 30, 2016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and December 31, 2015</w:t>
            </w:r>
          </w:p>
        </w:tc>
        <w:tc>
          <w:tcPr>
            <w:tcW w:w="100" w:type="dxa"/>
            <w:vAlign w:val="bottom"/>
          </w:tcPr>
          <w:p>
            <w:pPr>
              <w:spacing w:after="0"/>
              <w:rPr>
                <w:sz w:val="20"/>
                <w:szCs w:val="20"/>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A 12% convertible preferred stock; 5,000,000 shares authorized, 1,377,500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June 30, 2016 and December 31, 2015, liquidation value $1,377,500 at June 30, 2016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9"/>
              </w:rPr>
              <w:t>Common stock, $0.001 par value; 50,000,000 shares authorized at June 30, 2016 and December 31, 2015,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w w:val="97"/>
              </w:rPr>
              <w:t>29,280,653 and 28,825,033 issued and outstanding at June 30, 2016 and December 31, 2015,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159,788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Retained deficit</w:t>
            </w: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(152,887)</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(140,049)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280" w:type="dxa"/>
            <w:vAlign w:val="bottom"/>
          </w:tcPr>
          <w:p>
            <w:pPr>
              <w:spacing w:after="0"/>
              <w:rPr>
                <w:sz w:val="12"/>
                <w:szCs w:val="12"/>
                <w:color w:val="auto"/>
              </w:rPr>
            </w:pPr>
          </w:p>
        </w:tc>
        <w:tc>
          <w:tcPr>
            <w:tcW w:w="23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4,226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2,600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8,603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5,736</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r>
      <w:tr>
        <w:trPr>
          <w:trHeight w:val="230"/>
        </w:trPr>
        <w:tc>
          <w:tcPr>
            <w:tcW w:w="20" w:type="dxa"/>
            <w:vAlign w:val="bottom"/>
          </w:tcPr>
          <w:p>
            <w:pPr>
              <w:spacing w:after="0"/>
              <w:rPr>
                <w:sz w:val="20"/>
                <w:szCs w:val="20"/>
                <w:color w:val="auto"/>
              </w:rPr>
            </w:pPr>
          </w:p>
        </w:tc>
        <w:tc>
          <w:tcPr>
            <w:tcW w:w="55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12,345</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(9,497)</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20"/>
                <w:szCs w:val="20"/>
                <w:color w:val="auto"/>
              </w:rPr>
            </w:pPr>
          </w:p>
        </w:tc>
        <w:tc>
          <w:tcPr>
            <w:tcW w:w="554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(9,469)</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(4,931)</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(12,837)</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9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29,023</w:t>
            </w:r>
          </w:p>
        </w:tc>
        <w:tc>
          <w:tcPr>
            <w:tcW w:w="2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23,731</w:t>
            </w:r>
          </w:p>
        </w:tc>
        <w:tc>
          <w:tcPr>
            <w:tcW w:w="2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29,001</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23,398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8"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Six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(12,319)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(7,298)</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25,846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18,003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26,362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June 30, 2016 and the results of its operations for the three and six months ended June 30, 2016 and 2015 and its cash flows for the six months ended June 30, 2016 and 2015.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2015.</w:t>
      </w:r>
    </w:p>
    <w:p>
      <w:pPr>
        <w:spacing w:after="0" w:line="166"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June 30, 2016, the Company had $18.0 million of unrestricted cash and cash equivalents available to fund future operations. The Company believes that with the cash on hand at June 30, 2016, there is sufficient cash to fund currently planned operations through June 30, 2017.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5"/>
              </w:rPr>
              <w:t>June 30,</w:t>
            </w:r>
          </w:p>
        </w:tc>
        <w:tc>
          <w:tcPr>
            <w:tcW w:w="1540" w:type="dxa"/>
            <w:vAlign w:val="bottom"/>
            <w:gridSpan w:val="4"/>
          </w:tcPr>
          <w:p>
            <w:pPr>
              <w:ind w:left="620"/>
              <w:spacing w:after="0"/>
              <w:rPr>
                <w:sz w:val="20"/>
                <w:szCs w:val="20"/>
                <w:color w:val="auto"/>
              </w:rPr>
            </w:pPr>
            <w:r>
              <w:rPr>
                <w:rFonts w:ascii="Arial" w:cs="Arial" w:eastAsia="Arial" w:hAnsi="Arial"/>
                <w:sz w:val="14"/>
                <w:szCs w:val="14"/>
                <w:color w:val="auto"/>
              </w:rPr>
              <w:t>December 31,</w:t>
            </w: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2016</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1,952</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2,636</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2016</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1,191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1,734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920" w:type="dxa"/>
            <w:vAlign w:val="bottom"/>
            <w:vMerge w:val="restart"/>
          </w:tcPr>
          <w:p>
            <w:pPr>
              <w:jc w:val="right"/>
              <w:ind w:right="179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2015 through June 30, 2016:</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3,342,325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277,500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(120,187)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3,499,638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of June 30, 2016, there was $1,235,000 of unrecognized compensation related to 588,929 unvested options, which is expected to be recognized over a weighted–average period of approximately 1.9 years. The weighted-average grant date fair value for options granted during the three months ended June 30, 2016 and 2015 was $1.05 and $2.78, respectively. The Company granted 277,500 stock options during the three months ended June 30, 2016, of which</w:t>
      </w:r>
    </w:p>
    <w:p>
      <w:pPr>
        <w:jc w:val="both"/>
        <w:ind w:right="180"/>
        <w:spacing w:after="0" w:line="323" w:lineRule="auto"/>
        <w:rPr>
          <w:sz w:val="20"/>
          <w:szCs w:val="20"/>
          <w:color w:val="auto"/>
        </w:rPr>
      </w:pPr>
      <w:r>
        <w:rPr>
          <w:rFonts w:ascii="Arial" w:cs="Arial" w:eastAsia="Arial" w:hAnsi="Arial"/>
          <w:sz w:val="16"/>
          <w:szCs w:val="16"/>
          <w:color w:val="auto"/>
        </w:rPr>
        <w:t>69,375 options vested upon grant with the remaining 208,125 options vesting over 3 years. Approximately $73,000 of non-cash, stock-based compensation expense was recorded during the three months ended March 31, 2016 related to the options granted during that quarter that were vested upon the grant date.</w:t>
      </w:r>
    </w:p>
    <w:p>
      <w:pPr>
        <w:spacing w:after="0" w:line="13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color w:val="auto"/>
              </w:rPr>
              <w:t>Six</w:t>
            </w: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rPr>
              <w:t>Six</w:t>
            </w:r>
          </w:p>
        </w:tc>
      </w:tr>
      <w:tr>
        <w:trPr>
          <w:trHeight w:val="149"/>
        </w:trPr>
        <w:tc>
          <w:tcPr>
            <w:tcW w:w="4560" w:type="dxa"/>
            <w:vAlign w:val="bottom"/>
          </w:tcPr>
          <w:p>
            <w:pPr>
              <w:spacing w:after="0"/>
              <w:rPr>
                <w:sz w:val="12"/>
                <w:szCs w:val="12"/>
                <w:color w:val="auto"/>
              </w:rPr>
            </w:pPr>
          </w:p>
        </w:tc>
        <w:tc>
          <w:tcPr>
            <w:tcW w:w="2760" w:type="dxa"/>
            <w:vAlign w:val="bottom"/>
            <w:gridSpan w:val="3"/>
          </w:tcPr>
          <w:p>
            <w:pPr>
              <w:jc w:val="center"/>
              <w:ind w:left="956"/>
              <w:spacing w:after="0" w:line="149" w:lineRule="exact"/>
              <w:rPr>
                <w:sz w:val="20"/>
                <w:szCs w:val="20"/>
                <w:color w:val="auto"/>
              </w:rPr>
            </w:pPr>
            <w:r>
              <w:rPr>
                <w:rFonts w:ascii="Arial" w:cs="Arial" w:eastAsia="Arial" w:hAnsi="Arial"/>
                <w:sz w:val="14"/>
                <w:szCs w:val="14"/>
                <w:color w:val="auto"/>
                <w:w w:val="92"/>
              </w:rPr>
              <w:t>Months Ended</w:t>
            </w: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June 30,</w:t>
            </w: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June 30,</w:t>
            </w:r>
          </w:p>
        </w:tc>
      </w:tr>
      <w:tr>
        <w:trPr>
          <w:trHeight w:val="142"/>
        </w:trPr>
        <w:tc>
          <w:tcPr>
            <w:tcW w:w="45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4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6.0 years</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2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7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restricted stock grant activity in the Company’s equity incentive plans from December 31, 2015 through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Shares</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December 15, 2016, when the restricted shares will vest in full. A total of 3,568 shares were issued to two directors, who were not nominated for reelection, representing non-cash compensation cost of $12,845 that will be recognized on a straight-line basis from the grant date through December 15, 2016, when the restricted shares will vest in full.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common stock warrant activity from December 31, 2015 through June 30, 2016:</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4"/>
          </w:tcPr>
          <w:p>
            <w:pPr>
              <w:ind w:left="680"/>
              <w:spacing w:after="0"/>
              <w:rPr>
                <w:sz w:val="20"/>
                <w:szCs w:val="20"/>
                <w:color w:val="auto"/>
              </w:rPr>
            </w:pPr>
            <w:r>
              <w:rPr>
                <w:rFonts w:ascii="Arial" w:cs="Arial" w:eastAsia="Arial" w:hAnsi="Arial"/>
                <w:sz w:val="14"/>
                <w:szCs w:val="14"/>
                <w:color w:val="auto"/>
                <w:w w:val="98"/>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auto"/>
              </w:rPr>
              <w:t>Shares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2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8,908,586</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72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72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2720" w:type="dxa"/>
            <w:vAlign w:val="bottom"/>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2016</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20" w:type="dxa"/>
            <w:vAlign w:val="bottom"/>
            <w:vMerge w:val="restart"/>
          </w:tcPr>
          <w:p>
            <w:pPr>
              <w:jc w:val="right"/>
              <w:ind w:right="1590"/>
              <w:spacing w:after="0"/>
              <w:rPr>
                <w:sz w:val="20"/>
                <w:szCs w:val="20"/>
                <w:color w:val="auto"/>
              </w:rPr>
            </w:pPr>
            <w:r>
              <w:rPr>
                <w:rFonts w:ascii="Arial" w:cs="Arial" w:eastAsia="Arial" w:hAnsi="Arial"/>
                <w:sz w:val="18"/>
                <w:szCs w:val="18"/>
                <w:color w:val="auto"/>
              </w:rPr>
              <w:t>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June 30, 2016 or December 31,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0"/>
              </w:rPr>
              <w:t>June 30, 2016</w:t>
            </w:r>
          </w:p>
        </w:tc>
        <w:tc>
          <w:tcPr>
            <w:tcW w:w="3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June 30, 2015</w:t>
            </w:r>
          </w:p>
        </w:tc>
      </w:tr>
      <w:tr>
        <w:trPr>
          <w:trHeight w:val="167"/>
        </w:trPr>
        <w:tc>
          <w:tcPr>
            <w:tcW w:w="6500" w:type="dxa"/>
            <w:vAlign w:val="bottom"/>
          </w:tcPr>
          <w:p>
            <w:pPr>
              <w:spacing w:after="0"/>
              <w:rPr>
                <w:sz w:val="14"/>
                <w:szCs w:val="14"/>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(shares)</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3,499,638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3,192,325</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2,527,103</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Unvested shares of restricted common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337,935</w:t>
            </w:r>
          </w:p>
        </w:tc>
        <w:tc>
          <w:tcPr>
            <w:tcW w:w="3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337,935</w:t>
            </w: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15,269,095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11,428,358</w:t>
            </w:r>
          </w:p>
        </w:tc>
        <w:tc>
          <w:tcPr>
            <w:tcW w:w="10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the three months ended June 30, 2016, the Company issued 176,950 share of common stock for net proceeds of approximately $257,000 under the 2014 At Market Agreement. In three months ended March 31, 2015, the Company issued 1,279,416 shares of common stock for net proceeds of approximately $4,532,000 under the 2014 At Market Agreement.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and seek class certification, unspecified monetary damages, costs, and attorneys’ fees. The Company disputes the allegations in the complaints and intends to vigorously defend against the claims. On August 22, 2014, the Nevada District Court entered an order consolidating the three cases, relieving the defendants of any obligation to respond to the complaints then on file, and providing that defendants may respond to a consolidated amended complaint to be filed by a lead plaintiff(s) to be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On March 24, 2015, the Court appointed a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10(b)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10(b) and Rule 10b-5 violations pursuant to Section 20(a) of the Exchange Act. The Complaint seeks class certification, unspecified monetary damages, costs, and attorneys’ fees. The Company disputes the allegations and filed a motion to dismiss the Complaint on June 26, 2015. On December 30, 2015, the Court dismissed the putative class action with prejudice and entered a final judgment in favor of the defendants. Plaintiff filed a notice of appeal seeking review of the dismissal order and final judgment. The appeal is fully briefed and is currently pending before the United States Court of Appeals for the Eleventh Circuit.</w:t>
      </w:r>
    </w:p>
    <w:p>
      <w:pPr>
        <w:spacing w:after="0" w:line="173"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Defendants’ motion to dismiss was fully briefed to the Nevada court in February 2016. At a hearing on March 3, 2016, the Nevada State Court granted dismissal of the Nevada State Court litigation pending entry of a final order of dismissal. The Nevada State Court issued its order of dismissal on April 1, 2016. Defendants thereafter filed a motion requesting that the Nevada State Court correct certain language in the dismissal order. In an order dated June 10, 2016, the Nevada State Court denied Defendants’ motion seeking correction of certain language in the dismissal order. On June 21, 2016, Notice of Entry of the Nevada State Court’s order dismissing the Nevada State Court litigation was docketed. The Nevada plaintiff and Intervenor Plaintiffs have filed notices of appeal seeking review of the Nevada State Court’s dismissal order.</w:t>
      </w:r>
    </w:p>
    <w:p>
      <w:pPr>
        <w:spacing w:after="0" w:line="3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Galectin Sciences LLC</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As a result, the Company’s ownership percentage in the LLC was 54.2% at December 31, 2014. The Company contributed $687,000 for the LLC expenses in 2015 adjusting the Company’s ownership percentage to 74.7% at December 31, 2015. The Company also contributed $441,000 for the LLC expenses in the six months ended June 30, 2016 which adjusted the Company’s ownership percentage to 80.2% at June 30, 2016. The Company accounts for the interest in the LLC as a consolidated, less than wholly owned subsidiary. Because the LLC’s equity is immaterial, the value of the non-controlling interest is also deemed to be immaterial.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 Account Pronouncements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The new standard requires recognition of the income tax effects of vested or settled awards in the income statement and involves several other aspects of the accounting for share-based payment transactions, including the income tax consequences, classification of awards as either equity or liabilities and classification on the statement of cash flows. The new standard will be effective for us on January 1, 2017. This standard is not expected to have a material impact on our financial position, results of operations or statements of cash flows upon adoption.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June 30, 2017;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9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20" w:hanging="446"/>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which bind galectin proteins and offer alternative options to larger market segments in our primary disease indications, such as subcutaneous or oral administration.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Galectins are a class of proteins that are made by many cells in the body.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 We have one new chemical entity (NCE) in development, GR-MD-02, which has shown promise in preclinical and early clinical studies in treatment of fibrosis and in cancer therapy. Currently we are focusing on development of GR-MD-02 intended to be used in the treatment of liver fibrosis associated with fatty liver disease (NASH), moderate to severe plaque psoriasis,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340" w:type="dxa"/>
            <w:vAlign w:val="bottom"/>
          </w:tcPr>
          <w:p>
            <w:pPr>
              <w:ind w:left="160"/>
              <w:spacing w:after="0"/>
              <w:rPr>
                <w:sz w:val="20"/>
                <w:szCs w:val="20"/>
                <w:color w:val="auto"/>
              </w:rPr>
            </w:pPr>
            <w:r>
              <w:rPr>
                <w:rFonts w:ascii="Arial" w:cs="Arial" w:eastAsia="Arial" w:hAnsi="Arial"/>
                <w:sz w:val="14"/>
                <w:szCs w:val="14"/>
                <w:b w:val="1"/>
                <w:bCs w:val="1"/>
                <w:color w:val="auto"/>
              </w:rPr>
              <w:t>Drug</w:t>
            </w:r>
          </w:p>
        </w:tc>
        <w:tc>
          <w:tcPr>
            <w:tcW w:w="6100" w:type="dxa"/>
            <w:vAlign w:val="bottom"/>
          </w:tcPr>
          <w:p>
            <w:pPr>
              <w:ind w:left="260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96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134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8"/>
              </w:rPr>
              <w:t>NASH with Advanced Fibrosis: NASH-CX trial and</w:t>
            </w:r>
          </w:p>
        </w:tc>
        <w:tc>
          <w:tcPr>
            <w:tcW w:w="1340" w:type="dxa"/>
            <w:vAlign w:val="bottom"/>
          </w:tcPr>
          <w:p>
            <w:pPr>
              <w:ind w:left="160"/>
              <w:spacing w:after="0"/>
              <w:rPr>
                <w:sz w:val="20"/>
                <w:szCs w:val="20"/>
                <w:color w:val="auto"/>
              </w:rPr>
            </w:pPr>
            <w:r>
              <w:rPr>
                <w:rFonts w:ascii="Arial" w:cs="Arial" w:eastAsia="Arial" w:hAnsi="Arial"/>
                <w:sz w:val="18"/>
                <w:szCs w:val="18"/>
                <w:color w:val="auto"/>
              </w:rPr>
              <w:t>GR-MD-02</w:t>
            </w:r>
          </w:p>
        </w:tc>
        <w:tc>
          <w:tcPr>
            <w:tcW w:w="6100" w:type="dxa"/>
            <w:vAlign w:val="bottom"/>
          </w:tcPr>
          <w:p>
            <w:pPr>
              <w:ind w:left="2600"/>
              <w:spacing w:after="0"/>
              <w:rPr>
                <w:sz w:val="20"/>
                <w:szCs w:val="20"/>
                <w:color w:val="auto"/>
              </w:rPr>
            </w:pPr>
            <w:r>
              <w:rPr>
                <w:rFonts w:ascii="Arial" w:cs="Arial" w:eastAsia="Arial" w:hAnsi="Arial"/>
                <w:sz w:val="18"/>
                <w:szCs w:val="18"/>
                <w:color w:val="auto"/>
                <w:w w:val="94"/>
              </w:rPr>
              <w:t>IND submitted January 2013. Results from the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NASH-FX trial</w:t>
            </w: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1"/>
              </w:rPr>
              <w:t>Phase 1 clinical trial were reported in 2014, with</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7"/>
              </w:rPr>
              <w:t>final results reported in January 2015. End of</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6"/>
              </w:rPr>
              <w:t>Phase 1 meeting held with FDA in 2014. Two</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2"/>
              </w:rPr>
              <w:t>Phase 2 clinical trials are being conducted. The</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rPr>
              <w:t>NASH CX trial, is designed for patients with</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2"/>
              </w:rPr>
              <w:t>cirrhosis, and the NASH FX trial is designed for</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1"/>
              </w:rPr>
              <w:t>patients with advanced fibrosis but not cirrhosis.</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rPr>
              <w:t>The NASH FX trial top line data is expected</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4"/>
              </w:rPr>
              <w:t>around end of September 2016 and the NASH</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w w:val="95"/>
              </w:rPr>
              <w:t>CX trial top line data is expected in December</w:t>
            </w:r>
          </w:p>
        </w:tc>
      </w:tr>
      <w:tr>
        <w:trPr>
          <w:trHeight w:val="216"/>
        </w:trPr>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00" w:type="dxa"/>
            <w:vAlign w:val="bottom"/>
          </w:tcPr>
          <w:p>
            <w:pPr>
              <w:ind w:left="2600"/>
              <w:spacing w:after="0"/>
              <w:rPr>
                <w:sz w:val="20"/>
                <w:szCs w:val="20"/>
                <w:color w:val="auto"/>
              </w:rPr>
            </w:pPr>
            <w:r>
              <w:rPr>
                <w:rFonts w:ascii="Arial" w:cs="Arial" w:eastAsia="Arial" w:hAnsi="Arial"/>
                <w:sz w:val="18"/>
                <w:szCs w:val="18"/>
                <w:color w:val="auto"/>
              </w:rPr>
              <w:t>2017.</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Lung Fibrosis</w:t>
            </w:r>
          </w:p>
        </w:tc>
        <w:tc>
          <w:tcPr>
            <w:tcW w:w="1340" w:type="dxa"/>
            <w:vAlign w:val="bottom"/>
          </w:tcPr>
          <w:p>
            <w:pPr>
              <w:ind w:left="160"/>
              <w:spacing w:after="0"/>
              <w:rPr>
                <w:sz w:val="20"/>
                <w:szCs w:val="20"/>
                <w:color w:val="auto"/>
              </w:rPr>
            </w:pPr>
            <w:r>
              <w:rPr>
                <w:rFonts w:ascii="Arial" w:cs="Arial" w:eastAsia="Arial" w:hAnsi="Arial"/>
                <w:sz w:val="18"/>
                <w:szCs w:val="18"/>
                <w:color w:val="auto"/>
              </w:rPr>
              <w:t>GR-MD-02</w:t>
            </w:r>
          </w:p>
        </w:tc>
        <w:tc>
          <w:tcPr>
            <w:tcW w:w="6100" w:type="dxa"/>
            <w:vAlign w:val="bottom"/>
          </w:tcPr>
          <w:p>
            <w:pPr>
              <w:ind w:left="2600"/>
              <w:spacing w:after="0"/>
              <w:rPr>
                <w:sz w:val="20"/>
                <w:szCs w:val="20"/>
                <w:color w:val="auto"/>
              </w:rPr>
            </w:pPr>
            <w:r>
              <w:rPr>
                <w:rFonts w:ascii="Arial" w:cs="Arial" w:eastAsia="Arial" w:hAnsi="Arial"/>
                <w:sz w:val="18"/>
                <w:szCs w:val="18"/>
                <w:color w:val="auto"/>
              </w:rPr>
              <w:t>In pre-clinical development</w:t>
            </w:r>
          </w:p>
        </w:tc>
      </w:tr>
      <w:tr>
        <w:trPr>
          <w:trHeight w:val="365"/>
        </w:trPr>
        <w:tc>
          <w:tcPr>
            <w:tcW w:w="3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00" w:type="dxa"/>
            <w:vAlign w:val="bottom"/>
          </w:tcPr>
          <w:p>
            <w:pPr>
              <w:ind w:left="3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3620" w:type="dxa"/>
            <w:vAlign w:val="bottom"/>
          </w:tcPr>
          <w:p>
            <w:pPr>
              <w:ind w:left="740"/>
              <w:spacing w:after="0"/>
              <w:rPr>
                <w:sz w:val="20"/>
                <w:szCs w:val="20"/>
                <w:color w:val="auto"/>
              </w:rPr>
            </w:pPr>
            <w:r>
              <w:rPr>
                <w:rFonts w:ascii="Arial" w:cs="Arial" w:eastAsia="Arial" w:hAnsi="Arial"/>
                <w:sz w:val="14"/>
                <w:szCs w:val="14"/>
                <w:b w:val="1"/>
                <w:bCs w:val="1"/>
                <w:color w:val="auto"/>
              </w:rPr>
              <w:t>Drug</w:t>
            </w:r>
          </w:p>
        </w:tc>
        <w:tc>
          <w:tcPr>
            <w:tcW w:w="4340" w:type="dxa"/>
            <w:vAlign w:val="bottom"/>
          </w:tcPr>
          <w:p>
            <w:pPr>
              <w:ind w:left="90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380" w:type="dxa"/>
            <w:vAlign w:val="bottom"/>
          </w:tcPr>
          <w:p>
            <w:pPr>
              <w:spacing w:after="0"/>
              <w:rPr>
                <w:sz w:val="20"/>
                <w:szCs w:val="20"/>
                <w:color w:val="auto"/>
              </w:rPr>
            </w:pPr>
            <w:r>
              <w:rPr>
                <w:rFonts w:ascii="Arial" w:cs="Arial" w:eastAsia="Arial" w:hAnsi="Arial"/>
                <w:sz w:val="18"/>
                <w:szCs w:val="18"/>
                <w:color w:val="auto"/>
              </w:rPr>
              <w:t>Kidney Fibrosis</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w:t>
            </w:r>
          </w:p>
        </w:tc>
        <w:tc>
          <w:tcPr>
            <w:tcW w:w="4340" w:type="dxa"/>
            <w:vAlign w:val="bottom"/>
          </w:tcPr>
          <w:p>
            <w:pPr>
              <w:ind w:left="90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 and GM-CT-01</w:t>
            </w:r>
          </w:p>
        </w:tc>
        <w:tc>
          <w:tcPr>
            <w:tcW w:w="4340" w:type="dxa"/>
            <w:vAlign w:val="bottom"/>
          </w:tcPr>
          <w:p>
            <w:pPr>
              <w:ind w:left="900"/>
              <w:spacing w:after="0"/>
              <w:rPr>
                <w:sz w:val="20"/>
                <w:szCs w:val="20"/>
                <w:color w:val="auto"/>
              </w:rPr>
            </w:pPr>
            <w:r>
              <w:rPr>
                <w:rFonts w:ascii="Arial" w:cs="Arial" w:eastAsia="Arial" w:hAnsi="Arial"/>
                <w:sz w:val="18"/>
                <w:szCs w:val="18"/>
                <w:color w:val="auto"/>
              </w:rPr>
              <w:t>In pre-clinical development</w:t>
            </w:r>
          </w:p>
        </w:tc>
      </w:tr>
      <w:tr>
        <w:trPr>
          <w:trHeight w:val="310"/>
        </w:trPr>
        <w:tc>
          <w:tcPr>
            <w:tcW w:w="338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36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Melanoma</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w:t>
            </w:r>
          </w:p>
        </w:tc>
        <w:tc>
          <w:tcPr>
            <w:tcW w:w="4340" w:type="dxa"/>
            <w:vAlign w:val="bottom"/>
          </w:tcPr>
          <w:p>
            <w:pPr>
              <w:ind w:left="900"/>
              <w:spacing w:after="0"/>
              <w:rPr>
                <w:sz w:val="20"/>
                <w:szCs w:val="20"/>
                <w:color w:val="auto"/>
              </w:rPr>
            </w:pPr>
            <w:r>
              <w:rPr>
                <w:rFonts w:ascii="Arial" w:cs="Arial" w:eastAsia="Arial" w:hAnsi="Arial"/>
                <w:sz w:val="18"/>
                <w:szCs w:val="18"/>
                <w:color w:val="auto"/>
                <w:w w:val="92"/>
              </w:rPr>
              <w:t>Investigator IND submitted in December 2013.</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89"/>
              </w:rPr>
              <w:t>Phase 1B study in process. A second Phase 1B</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94"/>
              </w:rPr>
              <w:t>study began in Q-1 2016. Investigator IND for</w:t>
            </w:r>
          </w:p>
        </w:tc>
      </w:tr>
      <w:tr>
        <w:trPr>
          <w:trHeight w:val="230"/>
        </w:trPr>
        <w:tc>
          <w:tcPr>
            <w:tcW w:w="3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rPr>
              <w:t>that study submitted in September 2015.</w:t>
            </w:r>
          </w:p>
        </w:tc>
      </w:tr>
      <w:tr>
        <w:trPr>
          <w:trHeight w:val="310"/>
        </w:trPr>
        <w:tc>
          <w:tcPr>
            <w:tcW w:w="3380" w:type="dxa"/>
            <w:vAlign w:val="bottom"/>
          </w:tcPr>
          <w:p>
            <w:pPr>
              <w:spacing w:after="0"/>
              <w:rPr>
                <w:sz w:val="20"/>
                <w:szCs w:val="20"/>
                <w:color w:val="auto"/>
              </w:rPr>
            </w:pPr>
            <w:r>
              <w:rPr>
                <w:rFonts w:ascii="Arial" w:cs="Arial" w:eastAsia="Arial" w:hAnsi="Arial"/>
                <w:sz w:val="18"/>
                <w:szCs w:val="18"/>
                <w:b w:val="1"/>
                <w:bCs w:val="1"/>
                <w:color w:val="auto"/>
              </w:rPr>
              <w:t>Psoriasis</w:t>
            </w:r>
          </w:p>
        </w:tc>
        <w:tc>
          <w:tcPr>
            <w:tcW w:w="36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3620" w:type="dxa"/>
            <w:vAlign w:val="bottom"/>
          </w:tcPr>
          <w:p>
            <w:pPr>
              <w:ind w:left="740"/>
              <w:spacing w:after="0"/>
              <w:rPr>
                <w:sz w:val="20"/>
                <w:szCs w:val="20"/>
                <w:color w:val="auto"/>
              </w:rPr>
            </w:pPr>
            <w:r>
              <w:rPr>
                <w:rFonts w:ascii="Arial" w:cs="Arial" w:eastAsia="Arial" w:hAnsi="Arial"/>
                <w:sz w:val="18"/>
                <w:szCs w:val="18"/>
                <w:color w:val="auto"/>
              </w:rPr>
              <w:t>GR-MD-02</w:t>
            </w:r>
          </w:p>
        </w:tc>
        <w:tc>
          <w:tcPr>
            <w:tcW w:w="4340" w:type="dxa"/>
            <w:vAlign w:val="bottom"/>
          </w:tcPr>
          <w:p>
            <w:pPr>
              <w:ind w:left="900"/>
              <w:spacing w:after="0"/>
              <w:rPr>
                <w:sz w:val="20"/>
                <w:szCs w:val="20"/>
                <w:color w:val="auto"/>
              </w:rPr>
            </w:pPr>
            <w:r>
              <w:rPr>
                <w:rFonts w:ascii="Arial" w:cs="Arial" w:eastAsia="Arial" w:hAnsi="Arial"/>
                <w:sz w:val="18"/>
                <w:szCs w:val="18"/>
                <w:color w:val="auto"/>
                <w:w w:val="92"/>
              </w:rPr>
              <w:t>IND submitted March 2015. A phase 2a trial in</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95"/>
              </w:rPr>
              <w:t>moderate to severe plaque psoriasis patients</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90"/>
              </w:rPr>
              <w:t>began in January 2016. Interim data on the first</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90"/>
              </w:rPr>
              <w:t>four patients were positive and were reported in</w:t>
            </w:r>
          </w:p>
        </w:tc>
      </w:tr>
      <w:tr>
        <w:trPr>
          <w:trHeight w:val="216"/>
        </w:trPr>
        <w:tc>
          <w:tcPr>
            <w:tcW w:w="3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w w:val="91"/>
              </w:rPr>
              <w:t>May 2016. Further data is expected around the</w:t>
            </w:r>
          </w:p>
        </w:tc>
      </w:tr>
      <w:tr>
        <w:trPr>
          <w:trHeight w:val="230"/>
        </w:trPr>
        <w:tc>
          <w:tcPr>
            <w:tcW w:w="3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340" w:type="dxa"/>
            <w:vAlign w:val="bottom"/>
          </w:tcPr>
          <w:p>
            <w:pPr>
              <w:ind w:left="900"/>
              <w:spacing w:after="0"/>
              <w:rPr>
                <w:sz w:val="20"/>
                <w:szCs w:val="20"/>
                <w:color w:val="auto"/>
              </w:rPr>
            </w:pPr>
            <w:r>
              <w:rPr>
                <w:rFonts w:ascii="Arial" w:cs="Arial" w:eastAsia="Arial" w:hAnsi="Arial"/>
                <w:sz w:val="18"/>
                <w:szCs w:val="18"/>
                <w:color w:val="auto"/>
              </w:rPr>
              <w:t>end of September 2016.</w:t>
            </w:r>
          </w:p>
        </w:tc>
      </w:tr>
    </w:tbl>
    <w:p>
      <w:pPr>
        <w:spacing w:after="0" w:line="2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Phase 2 program in fibrotic disease consists of two separate human clinical trials. The first clinical trial is the NASH-CX study for patients with NASH with cirrhosis, which began enrolling in June 2015. This study is a randomized, placebo-controlled, double-blind, parallel-group Phase 2 trial to evaluate the safety and efficacy of GR-MD-02 for the treatment of liver fibrosis and resultant portal hypertension in patients with NASH cirrhosis. A total of 156 patients at approximately 50 sites in the United States will be randomized to receive either 2 mg/kg of GR-MD-02, 8 mg/kg of GR-MD-02 or placebo, with 52 patients in each group. The primary endpoint is a reduction in change in hepatic venous pressure gradient (HVPG). Patients will receive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5"/>
          <w:szCs w:val="15"/>
          <w:color w:val="auto"/>
        </w:rPr>
        <w:t>(R)</w:t>
      </w:r>
      <w:r>
        <w:rPr>
          <w:rFonts w:ascii="Arial" w:cs="Arial" w:eastAsia="Arial" w:hAnsi="Arial"/>
          <w:sz w:val="18"/>
          <w:szCs w:val="18"/>
          <w:color w:val="auto"/>
        </w:rPr>
        <w:t>) and assessment of liver metabolism (</w:t>
      </w:r>
      <w:r>
        <w:rPr>
          <w:rFonts w:ascii="Arial" w:cs="Arial" w:eastAsia="Arial" w:hAnsi="Arial"/>
          <w:sz w:val="15"/>
          <w:szCs w:val="15"/>
          <w:color w:val="auto"/>
        </w:rPr>
        <w:t>13</w:t>
      </w:r>
      <w:r>
        <w:rPr>
          <w:rFonts w:ascii="Arial" w:cs="Arial" w:eastAsia="Arial" w:hAnsi="Arial"/>
          <w:sz w:val="18"/>
          <w:szCs w:val="18"/>
          <w:color w:val="auto"/>
        </w:rPr>
        <w:t>C-methacetin breath test, Exalenz), which are non-invasive measures of the liver that may be used in future studies. Data readout is expected by the end of 2017.</w:t>
      </w:r>
    </w:p>
    <w:p>
      <w:pPr>
        <w:spacing w:after="0" w:line="19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second clinical trial is the NASH-FX for patients with NASH advanced fibrosis uses a variety of non-invasive fibrosis assessment technologies. The first patient in this 30 patient study was consented in September 2015, and the study is designed for 15 patients receiving 8 mg/kg of GR-MD-02 and 15 receiving placebo to be treated. That study will evaluate the safety and efficacy of GR-MD-02 for a four month treatment period of bi-weekly infusions of GR-MD-02 on non-invasive measures on liver stiffness as assessed imaging of liver fibrosis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as the primary endpoint, as well as magnetic resonance-elastography and FibroScan score, as secondary endpoints. Top-line data is expected to be available in the third quarter of 2016.</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These preclinical data led to the filing of an Investigator-sponsored IND and the initiation of a study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in a Phase 1B study of patients with metastatic melanoma. This study is being conducted under the sponsorship of Providence Portland Medical Center’s Earle A. Chiles Research Institute (EACRI). A study with Keytruda and GRMD-02 is conducted by EACRI is expected to begin enrolling by April 2016.</w:t>
      </w:r>
    </w:p>
    <w:p>
      <w:pPr>
        <w:spacing w:after="0" w:line="16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Psoriasis. </w:t>
      </w:r>
      <w:r>
        <w:rPr>
          <w:rFonts w:ascii="Arial" w:cs="Arial" w:eastAsia="Arial" w:hAnsi="Arial"/>
          <w:sz w:val="18"/>
          <w:szCs w:val="18"/>
          <w:color w:val="auto"/>
        </w:rPr>
        <w:t>During our Phase 1 NASH fibrosis trial with GR-MD-02, a clinical effect on plaque psoriasis was observed in a NASH patient who also had</w:t>
      </w:r>
      <w:r>
        <w:rPr>
          <w:rFonts w:ascii="Arial" w:cs="Arial" w:eastAsia="Arial" w:hAnsi="Arial"/>
          <w:sz w:val="18"/>
          <w:szCs w:val="18"/>
          <w:i w:val="1"/>
          <w:iCs w:val="1"/>
          <w:color w:val="auto"/>
        </w:rPr>
        <w:t xml:space="preserve"> </w:t>
      </w:r>
      <w:r>
        <w:rPr>
          <w:rFonts w:ascii="Arial" w:cs="Arial" w:eastAsia="Arial" w:hAnsi="Arial"/>
          <w:sz w:val="18"/>
          <w:szCs w:val="18"/>
          <w:color w:val="auto"/>
        </w:rPr>
        <w:t>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10 patients with moderate to severe plaque psoriasis are administered GR-MD-02 every two weeks for 12 weeks. In May 2016, we reported positive results on the first four patients after 12 weeks of therapy. Based on these results, we modified the trial to include 24 weeks of therapy. We anticipate top line data for at least 5 patients who have received 24 weeks of therapy in this trial by the end of the third quarter of 2016.</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2016 Compared to Three and Six Months Ended June 30,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Six Months Ended</w:t>
            </w: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w w:val="97"/>
              </w:rPr>
              <w:t>2016 as Compared to 2015</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4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89"/>
              </w:rPr>
              <w:t>June 30,</w:t>
            </w:r>
          </w:p>
        </w:tc>
        <w:tc>
          <w:tcPr>
            <w:tcW w:w="140" w:type="dxa"/>
            <w:vAlign w:val="bottom"/>
          </w:tcPr>
          <w:p>
            <w:pPr>
              <w:spacing w:after="0"/>
              <w:rPr>
                <w:sz w:val="12"/>
                <w:szCs w:val="12"/>
                <w:color w:val="auto"/>
              </w:rPr>
            </w:pPr>
          </w:p>
        </w:tc>
        <w:tc>
          <w:tcPr>
            <w:tcW w:w="144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89"/>
              </w:rPr>
              <w:t>June 30,</w:t>
            </w:r>
          </w:p>
        </w:tc>
        <w:tc>
          <w:tcPr>
            <w:tcW w:w="140" w:type="dxa"/>
            <w:vAlign w:val="bottom"/>
          </w:tcPr>
          <w:p>
            <w:pPr>
              <w:spacing w:after="0"/>
              <w:rPr>
                <w:sz w:val="12"/>
                <w:szCs w:val="12"/>
                <w:color w:val="auto"/>
              </w:rPr>
            </w:pPr>
          </w:p>
        </w:tc>
        <w:tc>
          <w:tcPr>
            <w:tcW w:w="1840" w:type="dxa"/>
            <w:vAlign w:val="bottom"/>
            <w:gridSpan w:val="3"/>
          </w:tcPr>
          <w:p>
            <w:pPr>
              <w:ind w:left="320"/>
              <w:spacing w:after="0" w:line="142" w:lineRule="exact"/>
              <w:rPr>
                <w:sz w:val="20"/>
                <w:szCs w:val="20"/>
                <w:color w:val="auto"/>
              </w:rPr>
            </w:pPr>
            <w:r>
              <w:rPr>
                <w:rFonts w:ascii="Arial" w:cs="Arial" w:eastAsia="Arial" w:hAnsi="Arial"/>
                <w:sz w:val="14"/>
                <w:szCs w:val="14"/>
                <w:color w:val="auto"/>
              </w:rPr>
              <w:t>Three Months</w:t>
            </w:r>
          </w:p>
        </w:tc>
        <w:tc>
          <w:tcPr>
            <w:tcW w:w="1440" w:type="dxa"/>
            <w:vAlign w:val="bottom"/>
            <w:gridSpan w:val="2"/>
          </w:tcPr>
          <w:p>
            <w:pPr>
              <w:ind w:left="380"/>
              <w:spacing w:after="0" w:line="142"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color w:val="auto"/>
              </w:rPr>
              <w:t>2016</w:t>
            </w: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2016</w:t>
            </w:r>
          </w:p>
        </w:tc>
        <w:tc>
          <w:tcPr>
            <w:tcW w:w="6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88"/>
              </w:rPr>
              <w:t>% Change</w:t>
            </w:r>
          </w:p>
        </w:tc>
        <w:tc>
          <w:tcPr>
            <w:tcW w:w="4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20" w:type="dxa"/>
            <w:vAlign w:val="bottom"/>
            <w:gridSpan w:val="4"/>
          </w:tcPr>
          <w:p>
            <w:pPr>
              <w:ind w:left="260"/>
              <w:spacing w:after="0" w:line="142" w:lineRule="exact"/>
              <w:rPr>
                <w:sz w:val="20"/>
                <w:szCs w:val="20"/>
                <w:color w:val="auto"/>
              </w:rPr>
            </w:pPr>
            <w:r>
              <w:rPr>
                <w:rFonts w:ascii="Arial" w:cs="Arial" w:eastAsia="Arial" w:hAnsi="Arial"/>
                <w:sz w:val="14"/>
                <w:szCs w:val="14"/>
                <w:color w:val="auto"/>
                <w:w w:val="92"/>
              </w:rPr>
              <w:t>(In thousands, except %)</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7"/>
              </w:rPr>
              <w:t>$4,226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$ 2,600</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$8,603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$5,736</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$ 1,626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$ 2,867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 </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held an “End of Phase 1 meeting” with the FDA and, amongst other things, received guidance on the primary endpoints for a Phase 2 trial. In Phase 2 we are exploring two indications, NASH cirrhosis and NASH with advanced fibrosis. The NASH-CX trial is designed to target a patient population with cirrhosis due to NASH. The study endpoints will include those that are closely associated with outcomes in patients with cirrhosis with the primary endpoint: chosen as hepatic venous pressure gradient (HVPG). HVPG is reflective of portal pressure and portal hypertension is responsible for most of the complications resulting from cirrhosis; a reduction in HVPG is associated with a reduction in complications of cirrhosis and reduced mortality. Planned secondary endpoints include: morphometric analysis of collagen on liver biopsies, a change in histopathological stage, and other secondary endpoints will include non-invasive tests to evaluate for correlation with HVPG and liver collagen. We have awarded the contract for the NASH-CX trial to a CRO, PPD Development, L.P., and enrollment began in June 2015 to assess the efficacy of GR-MD-02 in patients with NASH cirrhosis. On March 11, 2016, we entered into a Project Addendum Modification with PPD Development, L.P. (“PPD”) amending our Project Addendum to Master Services Agreement for clinical management services, which we entered into on March 6, 2015.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timing of initial results from the NASH-CX are dependent upon the rate of patient enrollment, amongst other factors, but we anticipate top line results around the end of 2017. In the indication of NASH with advanced fibrosis, we are conducting a single site, placebo controlled, randomized clinical trial (NASH-FX) to evaluate 4 months of treatment on patients with stage 3 bridging fibrosis. This trial was initiated in the third quarter of 2015 with top line results expected to be available around the end of the third quarter of 2016. Our Phase 2 clinical program is designed to position the Company for a strong Phase 3 clinical trial program.</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Additionally, during the Phase 1 clinical trial, there appeared to be a potential beneficial effect on at least one patient’s moderate to severe psoriasis. As a result, we are conducting a single site, 10 patient, open label clinical trial with GR-MD-02 to determine whether more extensive studies in this indication are warranted. Enrollment of patients in this trial began in January 2016.</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as well as other monoclonal specific antibody techniques to map GR oligomer integrity and distribution. The Company has also characterized how the GR molecule behaves under conditions of forced degradation.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color w:val="auto"/>
              </w:rPr>
              <w:t>Six Months Ended</w:t>
            </w:r>
          </w:p>
        </w:tc>
      </w:tr>
      <w:tr>
        <w:trPr>
          <w:trHeight w:val="167"/>
        </w:trPr>
        <w:tc>
          <w:tcPr>
            <w:tcW w:w="7200" w:type="dxa"/>
            <w:vAlign w:val="bottom"/>
          </w:tcPr>
          <w:p>
            <w:pPr>
              <w:spacing w:after="0"/>
              <w:rPr>
                <w:sz w:val="14"/>
                <w:szCs w:val="14"/>
                <w:color w:val="auto"/>
              </w:rPr>
            </w:pPr>
          </w:p>
        </w:tc>
        <w:tc>
          <w:tcPr>
            <w:tcW w:w="1620" w:type="dxa"/>
            <w:vAlign w:val="bottom"/>
            <w:gridSpan w:val="5"/>
          </w:tcPr>
          <w:p>
            <w:pPr>
              <w:jc w:val="right"/>
              <w:ind w:right="660"/>
              <w:spacing w:after="0"/>
              <w:rPr>
                <w:sz w:val="20"/>
                <w:szCs w:val="20"/>
                <w:color w:val="auto"/>
              </w:rPr>
            </w:pPr>
            <w:r>
              <w:rPr>
                <w:rFonts w:ascii="Arial" w:cs="Arial" w:eastAsia="Arial" w:hAnsi="Arial"/>
                <w:sz w:val="14"/>
                <w:szCs w:val="14"/>
                <w:color w:val="auto"/>
              </w:rPr>
              <w:t>June 30,</w:t>
            </w:r>
          </w:p>
        </w:tc>
        <w:tc>
          <w:tcPr>
            <w:tcW w:w="200" w:type="dxa"/>
            <w:vAlign w:val="bottom"/>
          </w:tcPr>
          <w:p>
            <w:pPr>
              <w:spacing w:after="0"/>
              <w:rPr>
                <w:sz w:val="14"/>
                <w:szCs w:val="14"/>
                <w:color w:val="auto"/>
              </w:rPr>
            </w:pPr>
          </w:p>
        </w:tc>
        <w:tc>
          <w:tcPr>
            <w:tcW w:w="1480" w:type="dxa"/>
            <w:vAlign w:val="bottom"/>
            <w:gridSpan w:val="4"/>
          </w:tcPr>
          <w:p>
            <w:pPr>
              <w:jc w:val="right"/>
              <w:ind w:right="540"/>
              <w:spacing w:after="0"/>
              <w:rPr>
                <w:sz w:val="20"/>
                <w:szCs w:val="20"/>
                <w:color w:val="auto"/>
              </w:rPr>
            </w:pPr>
            <w:r>
              <w:rPr>
                <w:rFonts w:ascii="Arial" w:cs="Arial" w:eastAsia="Arial" w:hAnsi="Arial"/>
                <w:sz w:val="14"/>
                <w:szCs w:val="14"/>
                <w:color w:val="auto"/>
              </w:rPr>
              <w:t>June 30,</w:t>
            </w:r>
          </w:p>
        </w:tc>
      </w:tr>
      <w:tr>
        <w:trPr>
          <w:trHeight w:val="142"/>
        </w:trPr>
        <w:tc>
          <w:tcPr>
            <w:tcW w:w="720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5"/>
          </w:tcPr>
          <w:p>
            <w:pPr>
              <w:ind w:left="30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$3,366</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$ 1,708</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$6,772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$3,781</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542</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1,257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r>
      <w:tr>
        <w:trPr>
          <w:trHeight w:val="27"/>
        </w:trPr>
        <w:tc>
          <w:tcPr>
            <w:tcW w:w="7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4,226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$ 2,600</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8,603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5,736</w:t>
            </w:r>
          </w:p>
        </w:tc>
      </w:tr>
      <w:tr>
        <w:trPr>
          <w:trHeight w:val="20"/>
        </w:trPr>
        <w:tc>
          <w:tcPr>
            <w:tcW w:w="7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Clinical programs expenses increased primarily due to costs related to our Phase 2 clinical trials during the three and six months ended June 30, 2016 as compared to the same period in 2015. As we continue our Phase 2 trials, we expect our clinical activities costs will increase and may fluctuate from quarter to quarter as the trials progress. Pre-clinical activities decreased primarily because we have completed pre-clinical work directly related to our Phase 2 clinical trial program. Other research and development expense increased primarily due to the hiring of our executive director of clinical development in June 2015.</w:t>
      </w:r>
    </w:p>
    <w:p>
      <w:pPr>
        <w:spacing w:after="0" w:line="154"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Three Months</w:t>
            </w:r>
          </w:p>
        </w:tc>
        <w:tc>
          <w:tcPr>
            <w:tcW w:w="140" w:type="dxa"/>
            <w:vAlign w:val="bottom"/>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color w:val="auto"/>
                <w:w w:val="98"/>
              </w:rPr>
              <w:t>Six Months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82"/>
              <w:spacing w:after="0"/>
              <w:rPr>
                <w:sz w:val="20"/>
                <w:szCs w:val="20"/>
                <w:color w:val="auto"/>
              </w:rPr>
            </w:pPr>
            <w:r>
              <w:rPr>
                <w:rFonts w:ascii="Arial" w:cs="Arial" w:eastAsia="Arial" w:hAnsi="Arial"/>
                <w:sz w:val="14"/>
                <w:szCs w:val="14"/>
                <w:color w:val="auto"/>
                <w:w w:val="94"/>
              </w:rPr>
              <w:t>2016 as Compared to 2015</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1"/>
              </w:rPr>
              <w:t>Ended June 30,</w:t>
            </w:r>
          </w:p>
        </w:tc>
        <w:tc>
          <w:tcPr>
            <w:tcW w:w="140" w:type="dxa"/>
            <w:vAlign w:val="bottom"/>
          </w:tcPr>
          <w:p>
            <w:pPr>
              <w:spacing w:after="0"/>
              <w:rPr>
                <w:sz w:val="12"/>
                <w:szCs w:val="12"/>
                <w:color w:val="auto"/>
              </w:rPr>
            </w:pPr>
          </w:p>
        </w:tc>
        <w:tc>
          <w:tcPr>
            <w:tcW w:w="142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89"/>
              </w:rPr>
              <w:t>Ended 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right"/>
              <w:ind w:right="64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Six Months</w:t>
            </w:r>
          </w:p>
        </w:tc>
        <w:tc>
          <w:tcPr>
            <w:tcW w:w="26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2016</w:t>
            </w: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2016</w:t>
            </w:r>
          </w:p>
        </w:tc>
        <w:tc>
          <w:tcPr>
            <w:tcW w:w="6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w w:val="89"/>
              </w:rPr>
              <w:t>Change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Change</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5"/>
              </w:rPr>
              <w:t>Change</w:t>
            </w: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$1,305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w:t>
            </w: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$3,742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(752)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decrease in general and administrative expenses for the three-months ended June 30, 2016 as compared to the same period in 2015 were decreases in non-cash, stock-based compensation expense, legal and accounting fees. For the six months ended June 30, 2016, there was a decrease in legal and accounting fees offset by an increase in investor and public relations expenses.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March 31, 2016, we raised a net total of $122.8 million from these offerings. We have operated at a loss since our inception and have had no significant revenues. We anticipate that losses will continue for the foreseeable future. At June 30, 2016, we had $18.0 million of unrestricted cash and cash equivalents available to fund future operations. We believe that with the cash on hand at June 30, 2016, there is sufficient cash to fund currently planned operations through June 30, 2017. Our ability to fund operations after our current cash resources are exhausted depends on our ability to obtain additional financing or achieve profitable operations, as to which no assurances can be given. Based on the forecasts and estimates underlying our current operating plan, the financial statements do not currently include any adjustments that might be necessary if we are unable to continue as a going concern.</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used in operations increased by $802,000 to $8,100,000 for the six months ended June 30, 2016, as compared to $7,298,000 for the six months ended June 30, 2015. Cash operating expenses increased principally due to research and development activities related to our clinical trial activity with GR-MD-02.</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Net cash provided by financing activities the six months ended June 30, 2016 and 2015, of $257,000 and $4,532,000, respectively, represent net proceeds from the sale of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2015 Annual Report on Form 10-K.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2016, our disclosure controls and procedures were effective at a reasonable assurance level. During the quarter ended June 30, 2016,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Item 6.</w:t>
            </w:r>
          </w:p>
        </w:tc>
        <w:tc>
          <w:tcPr>
            <w:tcW w:w="918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85"/>
        </w:trPr>
        <w:tc>
          <w:tcPr>
            <w:tcW w:w="8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408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91"/>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260" w:type="dxa"/>
            <w:vAlign w:val="bottom"/>
          </w:tcPr>
          <w:p>
            <w:pPr>
              <w:spacing w:after="0"/>
              <w:rPr>
                <w:sz w:val="24"/>
                <w:szCs w:val="24"/>
                <w:color w:val="auto"/>
              </w:rPr>
            </w:pP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r>
      <w:tr>
        <w:trPr>
          <w:trHeight w:val="32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24"/>
                <w:szCs w:val="24"/>
                <w:color w:val="auto"/>
              </w:rPr>
            </w:pP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r>
      <w:tr>
        <w:trPr>
          <w:trHeight w:val="32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101.SCH</w:t>
            </w: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101.CAL</w:t>
            </w: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101.DEF</w:t>
            </w: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101.LAB</w:t>
            </w: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101.PRE</w:t>
            </w:r>
          </w:p>
        </w:tc>
        <w:tc>
          <w:tcPr>
            <w:tcW w:w="9180" w:type="dxa"/>
            <w:vAlign w:val="bottom"/>
            <w:gridSpan w:val="3"/>
          </w:tcPr>
          <w:p>
            <w:pPr>
              <w:ind w:left="4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1280" w:hanging="5612"/>
        <w:spacing w:after="0" w:line="433" w:lineRule="auto"/>
        <w:tabs>
          <w:tab w:leader="none" w:pos="45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Reference</w:t>
      </w:r>
    </w:p>
    <w:p>
      <w:pPr>
        <w:sectPr>
          <w:pgSz w:w="11900" w:h="16838" w:orient="portrait"/>
          <w:cols w:equalWidth="0" w:num="2">
            <w:col w:w="10040" w:space="720"/>
            <w:col w:w="62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9,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G. Traber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 (principal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executive officer)</w:t>
            </w:r>
          </w:p>
        </w:tc>
      </w:tr>
    </w:tbl>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August 9, 2016</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August 9, 2016</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2016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August 9, 2016</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2016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August 9, 2016</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2019-12-29T10:29:01Z</dcterms:created>
  <dcterms:modified xsi:type="dcterms:W3CDTF">2019-12-29T10:29:01Z</dcterms:modified>
</cp:coreProperties>
</file>