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tbl>
      <w:tblPr>
        <w:tblLayout w:type="fixed"/>
        <w:tblInd w:w="1060" w:type="dxa"/>
        <w:tblCellMar>
          <w:top w:w="0" w:type="dxa"/>
          <w:left w:w="0" w:type="dxa"/>
          <w:bottom w:w="0" w:type="dxa"/>
          <w:right w:w="0" w:type="dxa"/>
        </w:tblCellMar>
      </w:tblPr>
      <w:tr>
        <w:trPr>
          <w:trHeight w:val="216"/>
        </w:trPr>
        <w:tc>
          <w:tcPr>
            <w:tcW w:w="37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Nevada</w:t>
            </w:r>
          </w:p>
        </w:tc>
        <w:tc>
          <w:tcPr>
            <w:tcW w:w="5100" w:type="dxa"/>
            <w:vAlign w:val="bottom"/>
          </w:tcPr>
          <w:p>
            <w:pPr>
              <w:jc w:val="right"/>
              <w:ind w:right="850"/>
              <w:spacing w:after="0"/>
              <w:rPr>
                <w:sz w:val="20"/>
                <w:szCs w:val="20"/>
                <w:color w:val="auto"/>
              </w:rPr>
            </w:pPr>
            <w:r>
              <w:rPr>
                <w:rFonts w:ascii="Arial" w:cs="Arial" w:eastAsia="Arial" w:hAnsi="Arial"/>
                <w:sz w:val="18"/>
                <w:szCs w:val="18"/>
                <w:b w:val="1"/>
                <w:bCs w:val="1"/>
                <w:color w:val="auto"/>
              </w:rPr>
              <w:t>04-3562325</w:t>
            </w:r>
          </w:p>
        </w:tc>
      </w:tr>
      <w:tr>
        <w:trPr>
          <w:trHeight w:val="234"/>
        </w:trPr>
        <w:tc>
          <w:tcPr>
            <w:tcW w:w="370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(State or other jurisdiction of incorporation)</w:t>
            </w:r>
          </w:p>
        </w:tc>
        <w:tc>
          <w:tcPr>
            <w:tcW w:w="5100" w:type="dxa"/>
            <w:vAlign w:val="bottom"/>
          </w:tcPr>
          <w:p>
            <w:pPr>
              <w:jc w:val="center"/>
              <w:ind w:left="22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370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4960 Peachtree Industrial Blvd.,</w:t>
            </w:r>
          </w:p>
        </w:tc>
        <w:tc>
          <w:tcPr>
            <w:tcW w:w="5100" w:type="dxa"/>
            <w:vAlign w:val="bottom"/>
          </w:tcPr>
          <w:p>
            <w:pPr>
              <w:spacing w:after="0"/>
              <w:rPr>
                <w:sz w:val="24"/>
                <w:szCs w:val="24"/>
                <w:color w:val="auto"/>
              </w:rPr>
            </w:pPr>
          </w:p>
        </w:tc>
      </w:tr>
      <w:tr>
        <w:trPr>
          <w:trHeight w:val="216"/>
        </w:trPr>
        <w:tc>
          <w:tcPr>
            <w:tcW w:w="37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Suite 240, Norcross, GA</w:t>
            </w:r>
          </w:p>
        </w:tc>
        <w:tc>
          <w:tcPr>
            <w:tcW w:w="5100" w:type="dxa"/>
            <w:vAlign w:val="bottom"/>
          </w:tcPr>
          <w:p>
            <w:pPr>
              <w:jc w:val="right"/>
              <w:ind w:right="1050"/>
              <w:spacing w:after="0"/>
              <w:rPr>
                <w:sz w:val="20"/>
                <w:szCs w:val="20"/>
                <w:color w:val="auto"/>
              </w:rPr>
            </w:pPr>
            <w:r>
              <w:rPr>
                <w:rFonts w:ascii="Arial" w:cs="Arial" w:eastAsia="Arial" w:hAnsi="Arial"/>
                <w:sz w:val="18"/>
                <w:szCs w:val="18"/>
                <w:b w:val="1"/>
                <w:bCs w:val="1"/>
                <w:color w:val="auto"/>
              </w:rPr>
              <w:t>30071</w:t>
            </w:r>
          </w:p>
        </w:tc>
      </w:tr>
      <w:tr>
        <w:trPr>
          <w:trHeight w:val="234"/>
        </w:trPr>
        <w:tc>
          <w:tcPr>
            <w:tcW w:w="370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5100" w:type="dxa"/>
            <w:vAlign w:val="bottom"/>
          </w:tcPr>
          <w:p>
            <w:pPr>
              <w:jc w:val="center"/>
              <w:ind w:left="2290"/>
              <w:spacing w:after="0"/>
              <w:rPr>
                <w:sz w:val="20"/>
                <w:szCs w:val="20"/>
                <w:color w:val="auto"/>
              </w:rPr>
            </w:pPr>
            <w:r>
              <w:rPr>
                <w:rFonts w:ascii="Arial" w:cs="Arial" w:eastAsia="Arial" w:hAnsi="Arial"/>
                <w:sz w:val="18"/>
                <w:szCs w:val="18"/>
                <w:b w:val="1"/>
                <w:bCs w:val="1"/>
                <w:color w:val="auto"/>
                <w:w w:val="94"/>
              </w:rPr>
              <w:t>(Zip Code)</w:t>
            </w:r>
          </w:p>
        </w:tc>
      </w:tr>
      <w:tr>
        <w:trPr>
          <w:trHeight w:val="432"/>
        </w:trPr>
        <w:tc>
          <w:tcPr>
            <w:tcW w:w="3700" w:type="dxa"/>
            <w:vAlign w:val="bottom"/>
          </w:tcPr>
          <w:p>
            <w:pPr>
              <w:spacing w:after="0"/>
              <w:rPr>
                <w:sz w:val="24"/>
                <w:szCs w:val="24"/>
                <w:color w:val="auto"/>
              </w:rPr>
            </w:pPr>
          </w:p>
        </w:tc>
        <w:tc>
          <w:tcPr>
            <w:tcW w:w="5100" w:type="dxa"/>
            <w:vAlign w:val="bottom"/>
          </w:tcPr>
          <w:p>
            <w:pPr>
              <w:jc w:val="right"/>
              <w:ind w:right="3570"/>
              <w:spacing w:after="0"/>
              <w:rPr>
                <w:sz w:val="20"/>
                <w:szCs w:val="20"/>
                <w:color w:val="auto"/>
              </w:rPr>
            </w:pPr>
            <w:r>
              <w:rPr>
                <w:rFonts w:ascii="Arial" w:cs="Arial" w:eastAsia="Arial" w:hAnsi="Arial"/>
                <w:sz w:val="18"/>
                <w:szCs w:val="18"/>
                <w:b w:val="1"/>
                <w:bCs w:val="1"/>
                <w:color w:val="auto"/>
              </w:rPr>
              <w:t>(678) 620 -3186</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8640" w:type="dxa"/>
            <w:vAlign w:val="bottom"/>
            <w:gridSpan w:val="5"/>
          </w:tcPr>
          <w:p>
            <w:pPr>
              <w:jc w:val="center"/>
              <w:ind w:right="2510"/>
              <w:spacing w:after="0"/>
              <w:rPr>
                <w:sz w:val="20"/>
                <w:szCs w:val="20"/>
                <w:color w:val="auto"/>
              </w:rPr>
            </w:pPr>
            <w:r>
              <w:rPr>
                <w:rFonts w:ascii="Arial" w:cs="Arial" w:eastAsia="Arial" w:hAnsi="Arial"/>
                <w:sz w:val="18"/>
                <w:szCs w:val="18"/>
                <w:b w:val="1"/>
                <w:bCs w:val="1"/>
                <w:color w:val="auto"/>
                <w:w w:val="88"/>
              </w:rPr>
              <w:t>Securities registered or to be registered pursuant to Section 12(b) of the Act.</w:t>
            </w:r>
          </w:p>
        </w:tc>
      </w:tr>
      <w:tr>
        <w:trPr>
          <w:trHeight w:val="414"/>
        </w:trPr>
        <w:tc>
          <w:tcPr>
            <w:tcW w:w="2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2600" w:type="dxa"/>
            <w:vAlign w:val="bottom"/>
          </w:tcPr>
          <w:p>
            <w:pPr>
              <w:jc w:val="center"/>
              <w:ind w:left="930"/>
              <w:spacing w:after="0"/>
              <w:rPr>
                <w:sz w:val="20"/>
                <w:szCs w:val="20"/>
                <w:color w:val="auto"/>
              </w:rPr>
            </w:pPr>
            <w:r>
              <w:rPr>
                <w:rFonts w:ascii="Arial" w:cs="Arial" w:eastAsia="Arial" w:hAnsi="Arial"/>
                <w:sz w:val="18"/>
                <w:szCs w:val="18"/>
                <w:b w:val="1"/>
                <w:bCs w:val="1"/>
                <w:color w:val="auto"/>
                <w:w w:val="86"/>
              </w:rPr>
              <w:t>Title of each class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34"/>
        </w:trPr>
        <w:tc>
          <w:tcPr>
            <w:tcW w:w="2600" w:type="dxa"/>
            <w:vAlign w:val="bottom"/>
            <w:tcBorders>
              <w:top w:val="single" w:sz="8" w:color="auto"/>
            </w:tcBorders>
          </w:tcPr>
          <w:p>
            <w:pPr>
              <w:jc w:val="center"/>
              <w:ind w:left="930"/>
              <w:spacing w:after="0"/>
              <w:rPr>
                <w:sz w:val="20"/>
                <w:szCs w:val="20"/>
                <w:color w:val="auto"/>
              </w:rPr>
            </w:pPr>
            <w:r>
              <w:rPr>
                <w:rFonts w:ascii="Arial" w:cs="Arial" w:eastAsia="Arial" w:hAnsi="Arial"/>
                <w:sz w:val="18"/>
                <w:szCs w:val="18"/>
                <w:b w:val="1"/>
                <w:bCs w:val="1"/>
                <w:color w:val="auto"/>
                <w:w w:val="89"/>
              </w:rPr>
              <w:t>Common Stock</w:t>
            </w: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GALT</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80"/>
              <w:spacing w:after="0"/>
              <w:rPr>
                <w:sz w:val="20"/>
                <w:szCs w:val="20"/>
                <w:color w:val="auto"/>
              </w:rPr>
            </w:pPr>
            <w:r>
              <w:rPr>
                <w:rFonts w:ascii="Arial" w:cs="Arial" w:eastAsia="Arial" w:hAnsi="Arial"/>
                <w:sz w:val="18"/>
                <w:szCs w:val="18"/>
                <w:color w:val="auto"/>
                <w:w w:val="96"/>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0"/>
                <w:szCs w:val="20"/>
                <w:color w:val="auto"/>
              </w:rPr>
            </w:pPr>
            <w:r>
              <w:rPr>
                <w:rFonts w:ascii="Arial" w:cs="Arial" w:eastAsia="Arial" w:hAnsi="Arial"/>
                <w:sz w:val="18"/>
                <w:szCs w:val="18"/>
                <w:color w:val="auto"/>
                <w:w w:val="98"/>
              </w:rPr>
              <w:t>Emerging growth company</w:t>
            </w:r>
          </w:p>
        </w:tc>
        <w:tc>
          <w:tcPr>
            <w:tcW w:w="3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4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ab/>
        <w:t xml:space="preserve">☒ </w:t>
      </w:r>
      <w:r>
        <w:rPr>
          <w:rFonts w:ascii="Arial" w:cs="Arial" w:eastAsia="Arial" w:hAnsi="Arial"/>
          <w:sz w:val="18"/>
          <w:szCs w:val="18"/>
          <w:color w:val="auto"/>
        </w:rPr>
        <w:t>No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November 5, 2021 was 59,341,305.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145"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60" w:type="dxa"/>
            <w:vAlign w:val="bottom"/>
            <w:gridSpan w:val="10"/>
            <w:vMerge w:val="restart"/>
          </w:tcPr>
          <w:p>
            <w:pPr>
              <w:jc w:val="center"/>
              <w:ind w:right="2360"/>
              <w:spacing w:after="0"/>
              <w:rPr>
                <w:sz w:val="20"/>
                <w:szCs w:val="20"/>
                <w:color w:val="auto"/>
              </w:rPr>
            </w:pPr>
            <w:r>
              <w:rPr>
                <w:rFonts w:ascii="Arial" w:cs="Arial" w:eastAsia="Arial" w:hAnsi="Arial"/>
                <w:sz w:val="18"/>
                <w:szCs w:val="18"/>
                <w:color w:val="auto"/>
                <w:w w:val="98"/>
              </w:rPr>
              <w:t>PART I — FINANCIAL INFORMATION</w:t>
            </w:r>
          </w:p>
        </w:tc>
        <w:tc>
          <w:tcPr>
            <w:tcW w:w="600" w:type="dxa"/>
            <w:vAlign w:val="bottom"/>
            <w:gridSpan w:val="3"/>
          </w:tcPr>
          <w:p>
            <w:pPr>
              <w:ind w:left="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60" w:type="dxa"/>
            <w:vAlign w:val="bottom"/>
            <w:gridSpan w:val="10"/>
            <w:vMerge w:val="continue"/>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7"/>
          </w:tcPr>
          <w:p>
            <w:pPr>
              <w:spacing w:after="0"/>
              <w:rPr>
                <w:sz w:val="20"/>
                <w:szCs w:val="20"/>
                <w:color w:val="auto"/>
              </w:rPr>
            </w:pPr>
            <w:r>
              <w:rPr>
                <w:rFonts w:ascii="Arial" w:cs="Arial" w:eastAsia="Arial" w:hAnsi="Arial"/>
                <w:sz w:val="18"/>
                <w:szCs w:val="18"/>
                <w:color w:val="auto"/>
              </w:rPr>
              <w:t>Unaudited Condensed Consolidated Financial Statements (unaudited)</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978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2021 and December 31, 2020</w:t>
              </w:r>
            </w:hyperlink>
          </w:p>
        </w:tc>
        <w:tc>
          <w:tcPr>
            <w:tcW w:w="58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9780" w:type="dxa"/>
            <w:vAlign w:val="bottom"/>
            <w:gridSpan w:val="1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Nine Months Ended September 30, 2021 and 2020</w:t>
              </w:r>
            </w:hyperlink>
          </w:p>
        </w:tc>
        <w:tc>
          <w:tcPr>
            <w:tcW w:w="58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9780" w:type="dxa"/>
            <w:vAlign w:val="bottom"/>
            <w:gridSpan w:val="1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Nine Months Ended September 30, 2021 and 2020</w:t>
              </w:r>
            </w:hyperlink>
          </w:p>
        </w:tc>
        <w:tc>
          <w:tcPr>
            <w:tcW w:w="58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80" w:type="dxa"/>
            <w:vAlign w:val="bottom"/>
            <w:tcBorders>
              <w:bottom w:val="single" w:sz="8" w:color="CCEEFF"/>
            </w:tcBorders>
            <w:shd w:val="clear" w:color="auto" w:fill="CCEEFF"/>
          </w:tcPr>
          <w:p>
            <w:pPr>
              <w:spacing w:after="0"/>
              <w:rPr>
                <w:sz w:val="15"/>
                <w:szCs w:val="15"/>
                <w:color w:val="auto"/>
              </w:rPr>
            </w:pPr>
          </w:p>
        </w:tc>
        <w:tc>
          <w:tcPr>
            <w:tcW w:w="97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in Redeemable Convertible Preferred Stock and Stockholders’ Equity (Deficit) for the</w:t>
              </w:r>
            </w:hyperlink>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9780" w:type="dxa"/>
            <w:vAlign w:val="bottom"/>
            <w:gridSpan w:val="17"/>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Three and Nine Months Ended September 30, 2021 and 2020</w:t>
              </w:r>
            </w:hyperlink>
          </w:p>
        </w:tc>
        <w:tc>
          <w:tcPr>
            <w:tcW w:w="58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9780" w:type="dxa"/>
            <w:vAlign w:val="bottom"/>
            <w:gridSpan w:val="17"/>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58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80" w:type="dxa"/>
            <w:vAlign w:val="bottom"/>
            <w:gridSpan w:val="17"/>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58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80" w:type="dxa"/>
            <w:vAlign w:val="bottom"/>
            <w:gridSpan w:val="17"/>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58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80" w:type="dxa"/>
            <w:vAlign w:val="bottom"/>
            <w:gridSpan w:val="17"/>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58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60" w:type="dxa"/>
            <w:vAlign w:val="bottom"/>
            <w:gridSpan w:val="10"/>
            <w:shd w:val="clear" w:color="auto" w:fill="CCEEFF"/>
          </w:tcPr>
          <w:p>
            <w:pPr>
              <w:jc w:val="center"/>
              <w:ind w:right="2340"/>
              <w:spacing w:after="0"/>
              <w:rPr>
                <w:sz w:val="20"/>
                <w:szCs w:val="20"/>
                <w:color w:val="auto"/>
              </w:rPr>
            </w:pPr>
            <w:r>
              <w:rPr>
                <w:rFonts w:ascii="Arial" w:cs="Arial" w:eastAsia="Arial" w:hAnsi="Arial"/>
                <w:sz w:val="18"/>
                <w:szCs w:val="18"/>
                <w:color w:val="auto"/>
                <w:w w:val="96"/>
              </w:rPr>
              <w:t>PART II — OTHER INFORMATION</w:t>
            </w:r>
          </w:p>
        </w:tc>
        <w:tc>
          <w:tcPr>
            <w:tcW w:w="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78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58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78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58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8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58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8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58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8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58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78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58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78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58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6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58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20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6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GALECTIN THERAPEUTICS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36,600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27,142</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Accrued dividends payable</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Convertible notes payable and accrued interest, net of debt discounts – related party (Note 4)</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19,299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 (Note 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Series C super dividend redeemable convertible preferred stock; 1,000 shares authorized, 176 shares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outstanding at September 30, 2021 and December 31, 2020, redemption value: $8,414,000, liquidation value: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$1,760,000 at September 30, 2021</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 w:type="dxa"/>
            <w:vAlign w:val="bottom"/>
            <w:shd w:val="clear" w:color="auto" w:fill="CCEEFF"/>
          </w:tcPr>
          <w:p>
            <w:pPr>
              <w:spacing w:after="0"/>
              <w:rPr>
                <w:sz w:val="17"/>
                <w:szCs w:val="17"/>
                <w:color w:val="auto"/>
              </w:rPr>
            </w:pPr>
          </w:p>
        </w:tc>
        <w:tc>
          <w:tcPr>
            <w:tcW w:w="83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0"/>
              </w:rPr>
              <w:t>Undesignated stock, $0.01 par value; 20,000,000 shares authorized, 20,000,000 designated at September 30, 2021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2020,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8360" w:type="dxa"/>
            <w:vAlign w:val="bottom"/>
          </w:tcPr>
          <w:p>
            <w:pPr>
              <w:ind w:left="20"/>
              <w:spacing w:after="0" w:line="201" w:lineRule="exact"/>
              <w:rPr>
                <w:sz w:val="20"/>
                <w:szCs w:val="20"/>
                <w:color w:val="auto"/>
              </w:rPr>
            </w:pPr>
            <w:r>
              <w:rPr>
                <w:rFonts w:ascii="Arial" w:cs="Arial" w:eastAsia="Arial" w:hAnsi="Arial"/>
                <w:sz w:val="18"/>
                <w:szCs w:val="18"/>
                <w:color w:val="auto"/>
                <w:w w:val="96"/>
              </w:rPr>
              <w:t>Series A 12% convertible preferred stock; 1,742,500 shares authorized, 1,302,500 issued and outstanding at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rPr>
              <w:t>September 30, 2021 and December 31, 2020, liquidation value $1,302,500 at September 30, 2021</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2"/>
        </w:trPr>
        <w:tc>
          <w:tcPr>
            <w:tcW w:w="320" w:type="dxa"/>
            <w:vAlign w:val="bottom"/>
            <w:shd w:val="clear" w:color="auto" w:fill="CCEEFF"/>
          </w:tcPr>
          <w:p>
            <w:pPr>
              <w:spacing w:after="0"/>
              <w:rPr>
                <w:sz w:val="17"/>
                <w:szCs w:val="17"/>
                <w:color w:val="auto"/>
              </w:rPr>
            </w:pPr>
          </w:p>
        </w:tc>
        <w:tc>
          <w:tcPr>
            <w:tcW w:w="83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Common stock, $0.001 par value; 100,000,000 shares authorized at September 30, 2021 and December 31, 2020,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59,341,305 and 57,077,055 issued and outstanding at September 30, 2021 and December 31, 2020,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270,347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261,883</w:t>
            </w: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deficit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(263,407)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(239,996)</w:t>
            </w:r>
          </w:p>
        </w:tc>
        <w:tc>
          <w:tcPr>
            <w:tcW w:w="0" w:type="dxa"/>
            <w:vAlign w:val="bottom"/>
          </w:tcPr>
          <w:p>
            <w:pPr>
              <w:spacing w:after="0"/>
              <w:rPr>
                <w:sz w:val="1"/>
                <w:szCs w:val="1"/>
                <w:color w:val="auto"/>
              </w:rPr>
            </w:pPr>
          </w:p>
        </w:tc>
      </w:tr>
      <w:tr>
        <w:trPr>
          <w:trHeight w:val="223"/>
        </w:trPr>
        <w:tc>
          <w:tcPr>
            <w:tcW w:w="320" w:type="dxa"/>
            <w:vAlign w:val="bottom"/>
            <w:tcBorders>
              <w:top w:val="single" w:sz="8" w:color="CCEEFF"/>
            </w:tcBorders>
          </w:tcPr>
          <w:p>
            <w:pPr>
              <w:spacing w:after="0"/>
              <w:rPr>
                <w:sz w:val="19"/>
                <w:szCs w:val="19"/>
                <w:color w:val="auto"/>
              </w:rPr>
            </w:pPr>
          </w:p>
        </w:tc>
        <w:tc>
          <w:tcPr>
            <w:tcW w:w="83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7,526</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9"/>
              </w:rPr>
              <w:t>(in thousands,</w:t>
            </w:r>
          </w:p>
        </w:tc>
        <w:tc>
          <w:tcPr>
            <w:tcW w:w="138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w w:val="90"/>
              </w:rPr>
              <w:t>except per share</w:t>
            </w:r>
          </w:p>
        </w:tc>
        <w:tc>
          <w:tcPr>
            <w:tcW w:w="220" w:type="dxa"/>
            <w:vAlign w:val="bottom"/>
          </w:tcPr>
          <w:p>
            <w:pPr>
              <w:spacing w:after="0"/>
              <w:rPr>
                <w:sz w:val="17"/>
                <w:szCs w:val="17"/>
                <w:color w:val="auto"/>
              </w:rPr>
            </w:pPr>
          </w:p>
        </w:tc>
        <w:tc>
          <w:tcPr>
            <w:tcW w:w="11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7"/>
              </w:rPr>
              <w:t>(in thousands,</w:t>
            </w:r>
          </w:p>
        </w:tc>
        <w:tc>
          <w:tcPr>
            <w:tcW w:w="134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w w:val="89"/>
              </w:rPr>
              <w:t>except per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138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2"/>
              </w:rPr>
              <w:t>data)</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data)</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17,962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11,605</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1,146</w:t>
            </w: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4,792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260" w:type="dxa"/>
            <w:vAlign w:val="bottom"/>
            <w:tcBorders>
              <w:left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Total operating loss</w:t>
            </w:r>
          </w:p>
        </w:tc>
        <w:tc>
          <w:tcPr>
            <w:tcW w:w="240" w:type="dxa"/>
            <w:vAlign w:val="bottom"/>
          </w:tcPr>
          <w:p>
            <w:pPr>
              <w:spacing w:after="0"/>
              <w:rPr>
                <w:sz w:val="19"/>
                <w:szCs w:val="19"/>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(8,244)</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(5,926)</w:t>
            </w:r>
          </w:p>
        </w:tc>
        <w:tc>
          <w:tcPr>
            <w:tcW w:w="24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(22,754)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(15,612)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derivative</w:t>
            </w:r>
          </w:p>
        </w:tc>
        <w:tc>
          <w:tcPr>
            <w:tcW w:w="24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(8,520)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(23,306)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(15,613)</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left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(8,557)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(5,955)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(23,410)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(15,685)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24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59,290</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57,047</w:t>
            </w:r>
          </w:p>
        </w:tc>
        <w:tc>
          <w:tcPr>
            <w:tcW w:w="24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58,253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57,013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GALECTIN THERAPEUTICS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(23,306)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(15,613)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Amortization of right to use lease asset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Change in fair value of derivative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Net cash flows from operating activities</w:t>
            </w:r>
          </w:p>
        </w:tc>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(17,357)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(15,187)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Net proceeds from convertible notes payable – related party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common stock</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Net cash flows from financing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47,480</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spacing w:after="0"/>
              <w:rPr>
                <w:sz w:val="20"/>
                <w:szCs w:val="20"/>
                <w:color w:val="auto"/>
              </w:rPr>
            </w:pPr>
            <w:r>
              <w:rPr>
                <w:rFonts w:ascii="Arial" w:cs="Arial" w:eastAsia="Arial" w:hAnsi="Arial"/>
                <w:sz w:val="18"/>
                <w:szCs w:val="18"/>
                <w:color w:val="auto"/>
              </w:rPr>
              <w:t>NONCASH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of preferred stock dividends in common stock</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Fair value of derivatives related to related party convertible notes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Reclassification of accrued bonus to additional paid 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Series C Super</w:t>
            </w: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Dividend Redeemable</w:t>
            </w: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Convertible</w:t>
            </w:r>
          </w:p>
        </w:tc>
      </w:tr>
      <w:tr>
        <w:trPr>
          <w:trHeight w:val="241"/>
        </w:trPr>
        <w:tc>
          <w:tcPr>
            <w:tcW w:w="8680" w:type="dxa"/>
            <w:vAlign w:val="bottom"/>
          </w:tcPr>
          <w:p>
            <w:pPr>
              <w:spacing w:after="0"/>
              <w:rPr>
                <w:sz w:val="20"/>
                <w:szCs w:val="20"/>
                <w:color w:val="auto"/>
              </w:rPr>
            </w:pPr>
          </w:p>
        </w:tc>
        <w:tc>
          <w:tcPr>
            <w:tcW w:w="2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Preferred Stock</w:t>
            </w: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Balance at September 30, 2020</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Balance at September 30, 2021</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1,723</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September 30,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44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1"/>
              </w:rPr>
              <w:t>Series A 12%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4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2"/>
              </w:rPr>
              <w:t>Convertible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18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Preferred Stock</w:t>
            </w: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42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16"/>
        </w:trPr>
        <w:tc>
          <w:tcPr>
            <w:tcW w:w="42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of</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of</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Paid-In</w:t>
            </w:r>
          </w:p>
        </w:tc>
        <w:tc>
          <w:tcPr>
            <w:tcW w:w="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Retained</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r>
      <w:tr>
        <w:trPr>
          <w:trHeight w:val="241"/>
        </w:trPr>
        <w:tc>
          <w:tcPr>
            <w:tcW w:w="4220" w:type="dxa"/>
            <w:vAlign w:val="bottom"/>
          </w:tcPr>
          <w:p>
            <w:pPr>
              <w:spacing w:after="0"/>
              <w:rPr>
                <w:sz w:val="20"/>
                <w:szCs w:val="2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Amount</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Pr>
          <w:p>
            <w:pPr>
              <w:spacing w:after="0"/>
              <w:rPr>
                <w:sz w:val="20"/>
                <w:szCs w:val="20"/>
                <w:color w:val="auto"/>
              </w:rPr>
            </w:pP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Deficit</w:t>
            </w:r>
          </w:p>
        </w:tc>
        <w:tc>
          <w:tcPr>
            <w:tcW w:w="16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(Deficit)</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1,327,500</w:t>
            </w:r>
          </w:p>
        </w:tc>
        <w:tc>
          <w:tcPr>
            <w:tcW w:w="1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537</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57,043,661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260,820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(226,124)</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35,289</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Series A 12% convertible preferred stock dividend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13,025</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r>
      <w:tr>
        <w:trPr>
          <w:trHeight w:val="202"/>
        </w:trPr>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C super dividend redeemable convertible preferred</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dividend</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15,816</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w w:val="99"/>
              </w:rPr>
              <w:t>Issuance of common stock for conversion of Series A</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12% Convertible Preferred Stock</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46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4,553</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(5,943)</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(5,943)</w:t>
            </w:r>
          </w:p>
        </w:tc>
      </w:tr>
      <w:tr>
        <w:trPr>
          <w:trHeight w:val="257"/>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9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1,302,500</w:t>
            </w:r>
          </w:p>
        </w:tc>
        <w:tc>
          <w:tcPr>
            <w:tcW w:w="46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6"/>
              </w:rPr>
              <w:t>527</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57,077,055</w:t>
            </w:r>
          </w:p>
        </w:tc>
        <w:tc>
          <w:tcPr>
            <w:tcW w:w="58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261,316</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(232,080)</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29,819</w:t>
            </w:r>
          </w:p>
        </w:tc>
      </w:tr>
      <w:tr>
        <w:trPr>
          <w:trHeight w:val="209"/>
        </w:trPr>
        <w:tc>
          <w:tcPr>
            <w:tcW w:w="422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1,302,500</w:t>
            </w:r>
          </w:p>
        </w:tc>
        <w:tc>
          <w:tcPr>
            <w:tcW w:w="460" w:type="dxa"/>
            <w:vAlign w:val="bottom"/>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6"/>
              </w:rPr>
              <w:t>527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59,275,031</w:t>
            </w:r>
          </w:p>
        </w:tc>
        <w:tc>
          <w:tcPr>
            <w:tcW w:w="5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269,657</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8"/>
              </w:rPr>
              <w:t>(254,850)</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15,393</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Series A 12% convertible preferred stock dividend</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13,025</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w w:val="91"/>
              </w:rPr>
              <w:t>Series C super dividend redeemable convertible preferred</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stock dividend</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13,512</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r>
      <w:tr>
        <w:trPr>
          <w:trHeight w:val="202"/>
        </w:trPr>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Issuance of common stock from exercise of warrants and</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39,737</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587</w:t>
            </w:r>
          </w:p>
        </w:tc>
      </w:tr>
      <w:tr>
        <w:trPr>
          <w:trHeight w:val="223"/>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(8,520)</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(8,520)</w:t>
            </w: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Balance at September 30, 2021</w:t>
            </w: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9"/>
              </w:rPr>
              <w:t>1,302,500</w:t>
            </w: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86"/>
              </w:rPr>
              <w:t>527</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9"/>
              </w:rPr>
              <w:t>59,341,305</w:t>
            </w:r>
          </w:p>
        </w:tc>
        <w:tc>
          <w:tcPr>
            <w:tcW w:w="5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270,347</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w w:val="98"/>
              </w:rPr>
              <w:t>(263,407)</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7,526</w:t>
            </w:r>
          </w:p>
        </w:tc>
      </w:tr>
      <w:tr>
        <w:trPr>
          <w:trHeight w:val="21"/>
        </w:trPr>
        <w:tc>
          <w:tcPr>
            <w:tcW w:w="4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562"/>
        </w:trPr>
        <w:tc>
          <w:tcPr>
            <w:tcW w:w="4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
        </w:trPr>
        <w:tc>
          <w:tcPr>
            <w:tcW w:w="4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42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1"/>
              </w:rPr>
              <w:t>Series A 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2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2"/>
              </w:rPr>
              <w:t>Convertible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18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Preferred Stock</w:t>
            </w: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42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16"/>
        </w:trPr>
        <w:tc>
          <w:tcPr>
            <w:tcW w:w="42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of</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of</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Paid-In</w:t>
            </w:r>
          </w:p>
        </w:tc>
        <w:tc>
          <w:tcPr>
            <w:tcW w:w="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Retained</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r>
      <w:tr>
        <w:trPr>
          <w:trHeight w:val="241"/>
        </w:trPr>
        <w:tc>
          <w:tcPr>
            <w:tcW w:w="4220" w:type="dxa"/>
            <w:vAlign w:val="bottom"/>
          </w:tcPr>
          <w:p>
            <w:pPr>
              <w:spacing w:after="0"/>
              <w:rPr>
                <w:sz w:val="20"/>
                <w:szCs w:val="2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Amount</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Pr>
          <w:p>
            <w:pPr>
              <w:spacing w:after="0"/>
              <w:rPr>
                <w:sz w:val="20"/>
                <w:szCs w:val="20"/>
                <w:color w:val="auto"/>
              </w:rPr>
            </w:pP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Deficit</w:t>
            </w:r>
          </w:p>
        </w:tc>
        <w:tc>
          <w:tcPr>
            <w:tcW w:w="16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(Deficit)</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1,327,500</w:t>
            </w:r>
          </w:p>
        </w:tc>
        <w:tc>
          <w:tcPr>
            <w:tcW w:w="1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537</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56,894,642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259,673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(216,394)</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43,872</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Series A 12% convertible preferred stock dividend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26,300</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r>
      <w:tr>
        <w:trPr>
          <w:trHeight w:val="202"/>
        </w:trPr>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C super dividend redeemable convertible preferred</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dividend</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33,416</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w w:val="99"/>
              </w:rPr>
              <w:t>Issuance of common stock for conversion of Series A</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12% Convertible Preferred Stock</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44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4,553</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14,452</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w w:val="95"/>
              </w:rPr>
              <w:t>Issuance of common stock for exercise of warrants and</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options</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84,624</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19,068</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1,232</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(15,613)</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(15,613)</w:t>
            </w:r>
          </w:p>
        </w:tc>
      </w:tr>
      <w:tr>
        <w:trPr>
          <w:trHeight w:val="257"/>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9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1,302,500</w:t>
            </w: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527</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57,077,055</w:t>
            </w:r>
          </w:p>
        </w:tc>
        <w:tc>
          <w:tcPr>
            <w:tcW w:w="58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261,316</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(232,080)</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29,819</w:t>
            </w:r>
          </w:p>
        </w:tc>
      </w:tr>
      <w:tr>
        <w:trPr>
          <w:trHeight w:val="209"/>
        </w:trPr>
        <w:tc>
          <w:tcPr>
            <w:tcW w:w="422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1,302,500</w:t>
            </w:r>
          </w:p>
        </w:tc>
        <w:tc>
          <w:tcPr>
            <w:tcW w:w="440" w:type="dxa"/>
            <w:vAlign w:val="bottom"/>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527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57,077,055</w:t>
            </w:r>
          </w:p>
        </w:tc>
        <w:tc>
          <w:tcPr>
            <w:tcW w:w="5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261,883</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8"/>
              </w:rPr>
              <w:t>(239,996)</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22,470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Series A 12% convertible preferred stock dividend</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26,050</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w w:val="91"/>
              </w:rPr>
              <w:t>Series C super dividend redeemable convertible preferred</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stock dividend</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31,112</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845,214</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3,864</w:t>
            </w: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w w:val="95"/>
              </w:rPr>
              <w:t>Issuance of common stock for exercise of warrants and</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options</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1,329,181</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2,949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2,951</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32,693</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1,482</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(23,306)</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(23,306)</w:t>
            </w:r>
          </w:p>
        </w:tc>
      </w:tr>
      <w:tr>
        <w:trPr>
          <w:trHeight w:val="25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2021</w:t>
            </w:r>
          </w:p>
        </w:tc>
        <w:tc>
          <w:tcPr>
            <w:tcW w:w="9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1,302,500</w:t>
            </w: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527</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59,341,305</w:t>
            </w:r>
          </w:p>
        </w:tc>
        <w:tc>
          <w:tcPr>
            <w:tcW w:w="58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270,347</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(263,407)</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7,526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right="60" w:firstLine="441"/>
        <w:spacing w:after="0" w:line="269"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September 30, 2021 and the results of its operations for the three and nine months ended September 30, 2021 and 2020 and its cash flows for the three and nine months ended September 30, 2021 and 2020. All adjustments made to the interim financial statements include all those of a normal and recurring nature. Amounts presented in the condensed consolidated balance sheet as of December 31, 2020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2020.</w:t>
      </w:r>
    </w:p>
    <w:p>
      <w:pPr>
        <w:spacing w:after="0" w:line="114" w:lineRule="exact"/>
        <w:rPr>
          <w:sz w:val="20"/>
          <w:szCs w:val="20"/>
          <w:color w:val="auto"/>
        </w:rPr>
      </w:pPr>
    </w:p>
    <w:p>
      <w:pPr>
        <w:ind w:right="100" w:firstLine="441"/>
        <w:spacing w:after="0" w:line="269" w:lineRule="auto"/>
        <w:rPr>
          <w:sz w:val="20"/>
          <w:szCs w:val="20"/>
          <w:color w:val="auto"/>
        </w:rPr>
      </w:pPr>
      <w:r>
        <w:rPr>
          <w:rFonts w:ascii="Arial" w:cs="Arial" w:eastAsia="Arial" w:hAnsi="Arial"/>
          <w:sz w:val="17"/>
          <w:szCs w:val="17"/>
          <w:color w:val="auto"/>
        </w:rPr>
        <w:t>The Company has operated at a loss since its inception and has had no revenues. The Company anticipates that losses will continue for the foreseeable future. At September 30, 2021, the Company had $36,600,000 of unrestricted cash and cash equivalents available to fund future operations. The Company believes there is sufficient cash, including a $10,000,000 convertible note payable that will close in December 2021 (see Note 4), to fund currently planned operations at least through March 31, 2023. We will require more cash to fund our operations after March 31, 2023 and believe we will be able to obtain additional financing. The currently planned operations include costs related to our adaptively designed NAVIGATE Phase 2b/3 clinical trial. Currently, we expect to require an additional approximately $30-$35 million to cover costs of the trial to reach the planned interim analysis estimated to occur around the end of the first quarter of 2024 along with drug manufacturing and other scientific support activities and general and administrative costs. However, there can be no assurance that we will be successful in obtaining such new financing or, if available, that such financing will be on terms favorable to us. If we are unsuccessful in raising additional capital to fund operations before March 31, 2023, we may be required to cease operations. Accordingly, based on the forecasts and estimates underlying our current operating plan, the financial statements do not currently include any adjustments that might be necessary if we are unable to continue as a going concern.</w:t>
      </w:r>
    </w:p>
    <w:p>
      <w:pPr>
        <w:spacing w:after="0" w:line="182"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2. Accrued Expenses and Other</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440"/>
              <w:spacing w:after="0"/>
              <w:rPr>
                <w:sz w:val="20"/>
                <w:szCs w:val="20"/>
                <w:color w:val="auto"/>
              </w:rPr>
            </w:pPr>
            <w:r>
              <w:rPr>
                <w:rFonts w:ascii="Arial" w:cs="Arial" w:eastAsia="Arial" w:hAnsi="Arial"/>
                <w:sz w:val="18"/>
                <w:szCs w:val="18"/>
                <w:color w:val="auto"/>
              </w:rPr>
              <w:t>Accrued expenses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8"/>
                <w:szCs w:val="18"/>
                <w:color w:val="auto"/>
              </w:rPr>
            </w:pP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Accrued research and development costs and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3,087</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Research and development expenses, including personnel costs, allocated facility costs, lab supplies, outside 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ectPr>
          <w:pgSz w:w="11900" w:h="16838" w:orient="portrait"/>
          <w:cols w:equalWidth="0" w:num="1">
            <w:col w:w="11240"/>
          </w:cols>
          <w:pgMar w:left="320" w:top="121" w:right="339"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Line of Credit – Related Party</w:t>
      </w:r>
    </w:p>
    <w:p>
      <w:pPr>
        <w:spacing w:after="0" w:line="229"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The Company has a $10 million Line of Credit arrangement with Richard E. Uihlein, Chairman of Board of Directors and a shareholder pursuant to an agreement established in December, 2017 and amended in December, 2018 and January, 2019. Under the arrangement the Company may borrow up to $10 million from Mr. Uihlein on an unsecured basis and with any borrowings bearing interest at the Applicable Federal Rate for short terms loans published by the Internal Revenue Service (0.17% in September 2021). Borrowings may be made through December 31, 2021 with repayment due on December 31, 2022.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The 500,000 warrants that vested at closing were exercised in May 2019 for cash proceeds to the Company of $2.5 million. As of the date of this Quarterly Report, there have been no borrowings under the Line of Credit.</w:t>
      </w:r>
    </w:p>
    <w:p>
      <w:pPr>
        <w:spacing w:after="0" w:line="178"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The fair value of the 500,000 warrants vested at closing in December 2017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were to be amortized on a straight-line basis from December 19, 2017 through December 31, 2019. The remaining unamortized balance of the deferred financing cost on January 11, 2019 was adjusted to be recorded as expense on a straight-line basis through December 31, 2022. Amortization for the nine months ended September 30, 2021 and 2020 of $65,000 and $65,000, respectively, was recorded as interest expense. The fair value of warrants that vest in the future based on borrowings will be computed when those borrowings occur and amortized over the remaining period through December 31, 2022 reflecting the second extension.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Convertible Notes Payable – Related Party</w:t>
      </w:r>
    </w:p>
    <w:p>
      <w:pPr>
        <w:spacing w:after="0" w:line="229" w:lineRule="exact"/>
        <w:rPr>
          <w:sz w:val="20"/>
          <w:szCs w:val="20"/>
          <w:color w:val="auto"/>
        </w:rPr>
      </w:pPr>
    </w:p>
    <w:p>
      <w:pPr>
        <w:ind w:right="440" w:firstLine="441"/>
        <w:spacing w:after="0" w:line="263" w:lineRule="auto"/>
        <w:rPr>
          <w:sz w:val="20"/>
          <w:szCs w:val="20"/>
          <w:color w:val="auto"/>
        </w:rPr>
      </w:pPr>
      <w:r>
        <w:rPr>
          <w:rFonts w:ascii="Arial" w:cs="Arial" w:eastAsia="Arial" w:hAnsi="Arial"/>
          <w:sz w:val="18"/>
          <w:szCs w:val="18"/>
          <w:color w:val="auto"/>
        </w:rPr>
        <w:t>On April 16, 2021, the Company and Richard E. Uihlein entered into a debt financing arrangement whereby Mr. Uihlein loaned $10,000,000 to Company. In consideration for the loan, the Company issued a convertible promissory note (the “April Note”) in the principal amount of ten million dollars.</w:t>
      </w:r>
    </w:p>
    <w:p>
      <w:pPr>
        <w:spacing w:after="0" w:line="184"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April Note has a maturity date of April 16, 2025, is prepayable at the option of the Company in whole or in part at any time and is convertible into the Company’s common stock at a conversion price equal to $5.00 per share at the option of the noteholder. The April Note bears interest at the rate of two percent (2%) per annum, compounded annually. From April 16, 2021 through September 30, 2021, approximately $92,000 of interest expense was accrued and included with the principal in the financial statements.</w:t>
      </w:r>
    </w:p>
    <w:p>
      <w:pPr>
        <w:spacing w:after="0" w:line="18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The April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April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April Note at its inception. The fair value of the contingent interest derivative liability was $420,000 and $776,000 at note inception (April 16, 2021) and September 30, 2021, respectively, and is recognized as a derivative liability in the consolidated balance sheet. The change in the fair value of the derivative liability from April 16, 2021 to September 30, 2021 of $356,000 was charged to other expense for the period ended September 30, 2021. The amortization of the debt discount of $420,000 recorded initially upon note inception of $48,000 was recorded as additional interest expense from April 16, 2021 through September 30, 2021.</w:t>
      </w:r>
    </w:p>
    <w:p>
      <w:pPr>
        <w:spacing w:after="0" w:line="166"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On September 17, 2021, the Company and Mr. Uihlein entered into a loan agreement in the aggregate of $20,000,000 (the “Loan Agreement”) to be funded in two closings and evidenced by two separate unsecured convertible promissory notes. The first of the two promissory notes was also executed and delivered on September 17, 2021, (the “September Note”) to evidence the first loan in the principal amount of $10,000,000. The second closing under the Loan Agreement for the remaining $10,000,000 will occur on or before December 17, 2021.</w:t>
      </w:r>
    </w:p>
    <w:p>
      <w:pPr>
        <w:spacing w:after="0" w:line="17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September Note has a maturity date of September 17, 2025, is prepayable at the option of the Company in whole or in part at any time and is convertible into the Company’s common stock at a conversion price equal to $8.64 per share at the option of the noteholder. The September Note bears interest at the rate of two percent (2%) per annum, compounded annually. From September 17, 2021 through September 30, 2021, approximately $7,000 of interest expense was accrued and included with the principal in the financial statements.</w:t>
      </w:r>
    </w:p>
    <w:p>
      <w:pPr>
        <w:spacing w:after="0" w:line="371" w:lineRule="exact"/>
        <w:rPr>
          <w:sz w:val="20"/>
          <w:szCs w:val="20"/>
          <w:color w:val="auto"/>
        </w:rPr>
      </w:pPr>
    </w:p>
    <w:p>
      <w:pPr>
        <w:jc w:val="center"/>
        <w:ind w:left="42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ind w:left="4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The September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September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September Note at its inception. The fair value of the contingent interest derivative liability was $433,000 and $415,000 at note inception (September 17, 2021) and September 30, 2021, respectively, and is recognized as a derivative liability in the consolidated balance sheet. The change in the fair value of the derivative liability from September 17, 2021 to September 30, 2021 of ($18,000) was recorded to other expense for the three month period ended September 30, 2021. The amortization of the debt discount of $433,000 recorded initially upon note inception of $5,000 was recorded as additional interest expense for the for the three month period ended September 30, 2021.</w:t>
      </w:r>
    </w:p>
    <w:p>
      <w:pPr>
        <w:spacing w:after="0" w:line="185"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Under the terms of the Loan Agreement, the Line of Credit for $10 million between the Company and Mr. Uihlein, (See Note 3) will be terminated upon closing of the second $10 million unsecured convertible loan in December 2021. Currently there are no borrowings under the Line of Credit.</w:t>
      </w:r>
    </w:p>
    <w:p>
      <w:pPr>
        <w:spacing w:after="0" w:line="124"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color w:val="auto"/>
        </w:rPr>
        <w:t>The Company’s contractual cash obligations related to the outstanding convertible notes payable is a repayment of the April Note of the $10,000,000 plus accrued interest on April 16, 2025 and a repayment of the September Note of the $10,000,000 plus accrued interest on September 17, 2025, unless converted at the option of the noteholder.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restricted common stock, common stock warrants and deferred stock units: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980" w:type="dxa"/>
            <w:vAlign w:val="bottom"/>
          </w:tcPr>
          <w:p>
            <w:pPr>
              <w:spacing w:after="0"/>
              <w:rPr>
                <w:sz w:val="20"/>
                <w:szCs w:val="20"/>
                <w:color w:val="auto"/>
              </w:rPr>
            </w:pPr>
          </w:p>
        </w:tc>
        <w:tc>
          <w:tcPr>
            <w:tcW w:w="2100" w:type="dxa"/>
            <w:vAlign w:val="bottom"/>
            <w:gridSpan w:val="4"/>
          </w:tcPr>
          <w:p>
            <w:pPr>
              <w:jc w:val="right"/>
              <w:ind w:right="221"/>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i w:val="1"/>
                <w:iCs w:val="1"/>
                <w:color w:val="auto"/>
                <w:w w:val="90"/>
              </w:rPr>
              <w:t>in thousands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496</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1,175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r>
      <w:tr>
        <w:trPr>
          <w:trHeight w:val="257"/>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587</w:t>
            </w: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2020 through September 30,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3,987,575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2,260,000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(396,664)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Options forfeited/cancelled</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(1,190,350)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30, 2021</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4,660,561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r>
    </w:tbl>
    <w:p>
      <w:pPr>
        <w:spacing w:after="0" w:line="202"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As of September 30, 2021, there was $3,346,200 of unrecognized compensation related to 2,401,668 unvested options, which is expected to be recognized over a weighted–average period of approximately 2 years. The weighted-average grant date fair value for options granted during the nine months ended September 30, 2021 was $1.71. The Company granted 2,260,000 stock options during the nine months ended September 30, 2021. During the nine months ended September 30, 2021, 396,664 stock options were exercised on a net basis resulting in the issuance of 148,938 shares of common stock.</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Nine</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Nine</w:t>
            </w: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Months</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Months</w:t>
            </w: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Ended</w:t>
            </w:r>
          </w:p>
        </w:tc>
      </w:tr>
      <w:tr>
        <w:trPr>
          <w:trHeight w:val="241"/>
        </w:trPr>
        <w:tc>
          <w:tcPr>
            <w:tcW w:w="860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86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6 years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 years</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360" w:firstLine="441"/>
        <w:spacing w:after="0" w:line="308" w:lineRule="auto"/>
        <w:rPr>
          <w:sz w:val="20"/>
          <w:szCs w:val="20"/>
          <w:color w:val="auto"/>
        </w:rPr>
      </w:pPr>
      <w:r>
        <w:rPr>
          <w:rFonts w:ascii="Arial" w:cs="Arial" w:eastAsia="Arial" w:hAnsi="Arial"/>
          <w:sz w:val="17"/>
          <w:szCs w:val="17"/>
          <w:color w:val="auto"/>
        </w:rPr>
        <w:t>In January 2020, two directors elected to take restricted stock grants in lieu of cash retainers for 2020. A total of 32,693 shares of restricted stock valued at approximately $93,500 was amortized to expense on a straight-line basis until January 9, 2021 when the stock vested in full.</w:t>
      </w:r>
    </w:p>
    <w:p>
      <w:pPr>
        <w:spacing w:after="0" w:line="146" w:lineRule="exact"/>
        <w:rPr>
          <w:sz w:val="20"/>
          <w:szCs w:val="20"/>
          <w:color w:val="auto"/>
        </w:rPr>
      </w:pPr>
    </w:p>
    <w:p>
      <w:pPr>
        <w:ind w:right="480" w:firstLine="441"/>
        <w:spacing w:after="0" w:line="342" w:lineRule="auto"/>
        <w:rPr>
          <w:sz w:val="20"/>
          <w:szCs w:val="20"/>
          <w:color w:val="auto"/>
        </w:rPr>
      </w:pPr>
      <w:r>
        <w:rPr>
          <w:rFonts w:ascii="Arial" w:cs="Arial" w:eastAsia="Arial" w:hAnsi="Arial"/>
          <w:sz w:val="16"/>
          <w:szCs w:val="16"/>
          <w:color w:val="auto"/>
        </w:rPr>
        <w:t>In March 2021, one director elected to take a restricted stock grant in lieu of cash retainers for 2021. A total of 16,588 shares of restricted stock valued at approximately $35,000 is being amortized to expense on a straight-line basis until December 31, 2021 when the stock vests in full.</w:t>
      </w:r>
    </w:p>
    <w:p>
      <w:pPr>
        <w:spacing w:after="0" w:line="124"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In September 2020, the Company entered into an employment agreement with its new Chief Executive Officer whereby 20% of his base salary and performance bonuses will be paid in cash, and 80% will be paid in the form of deferred stock units (“</w:t>
      </w:r>
      <w:r>
        <w:rPr>
          <w:rFonts w:ascii="Arial" w:cs="Arial" w:eastAsia="Arial" w:hAnsi="Arial"/>
          <w:sz w:val="16"/>
          <w:szCs w:val="16"/>
          <w:u w:val="single" w:color="auto"/>
          <w:color w:val="auto"/>
        </w:rPr>
        <w:t>DSUs</w:t>
      </w:r>
      <w:r>
        <w:rPr>
          <w:rFonts w:ascii="Arial" w:cs="Arial" w:eastAsia="Arial" w:hAnsi="Arial"/>
          <w:sz w:val="16"/>
          <w:szCs w:val="16"/>
          <w:color w:val="auto"/>
        </w:rPr>
        <w:t>”) in accordance with the terms and subject to the provisions set forth in the DSU Agreement. DSUs credited to Mr. Lewis as of any date shall be fully vested and nonforfeitable at all times. The Company shall issue the shares underlying the outstanding whole number of DSUs credited to Mr. Lewis as follows: twenty five percent shall be issued on March 1, 2023, twenty five percent shall be issued on September 1, 2023 and fifty percent shall be issued on March 1, 2024. For the nine months ended September 30, 2021, $300,000 of his compensation was recorded as stock compensation expense representing 104,378 shares of common stock to be issued under the DSU agreement with a weighted average grant date fair value of $2.87 per share. Also, Mr. Lewis’ bonus for the year ended December 31, 2020 of $60,000 (which was included in accrued compensation at December 31, 2020) was approved in March 2021 and represents 27,027 shares of common stock to be issued under the DSU agreement with a grant date fair value of $2.22 per share. The $60,000 was reclassified from accrued compensation to additional paid in capital in March 2021. There is no unrecognized compensation expense related to the DSUs.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 Warrants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common stock warrant activity from December 31, 2020 through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8680" w:type="dxa"/>
            <w:vAlign w:val="bottom"/>
          </w:tcPr>
          <w:p>
            <w:pPr>
              <w:spacing w:after="0"/>
              <w:rPr>
                <w:sz w:val="20"/>
                <w:szCs w:val="20"/>
                <w:color w:val="auto"/>
              </w:rPr>
            </w:pPr>
          </w:p>
        </w:tc>
        <w:tc>
          <w:tcPr>
            <w:tcW w:w="134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11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12,538,204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(1,180,240)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Forfeited/cancelled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30, 2021</w:t>
            </w:r>
          </w:p>
        </w:tc>
        <w:tc>
          <w:tcPr>
            <w:tcW w:w="11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11,357,964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expiration of the warrants outstanding as of September 30, 2021 is 3.0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229"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December 31, 2020.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51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9600" w:type="dxa"/>
            <w:vAlign w:val="bottom"/>
            <w:gridSpan w:val="7"/>
          </w:tcPr>
          <w:p>
            <w:pPr>
              <w:jc w:val="right"/>
              <w:ind w:right="170"/>
              <w:spacing w:after="0"/>
              <w:rPr>
                <w:sz w:val="20"/>
                <w:szCs w:val="20"/>
                <w:color w:val="auto"/>
              </w:rPr>
            </w:pPr>
            <w:r>
              <w:rPr>
                <w:rFonts w:ascii="Arial" w:cs="Arial" w:eastAsia="Arial" w:hAnsi="Arial"/>
                <w:sz w:val="18"/>
                <w:szCs w:val="18"/>
                <w:color w:val="auto"/>
                <w:w w:val="90"/>
              </w:rPr>
              <w:t>Assets and liabilities measured and recorded at fair value on a recurring basis at the end of September 30, 2021 were as follows: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Liability – Contingent Interest April Note</w:t>
            </w:r>
          </w:p>
        </w:tc>
        <w:tc>
          <w:tcPr>
            <w:tcW w:w="17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776,000</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Derivative Liability – Contingent Interest September Note</w:t>
            </w:r>
          </w:p>
        </w:tc>
        <w:tc>
          <w:tcPr>
            <w:tcW w:w="178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415,000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415,000</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April Note derivative liability – contingent interest was valued using a Monte Carlo Geometric Brownian Stock Path Model. The key assumptions used in the model at inception, and at September 30,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41"/>
        </w:trPr>
        <w:tc>
          <w:tcPr>
            <w:tcW w:w="8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Inception</w:t>
            </w:r>
          </w:p>
        </w:tc>
        <w:tc>
          <w:tcPr>
            <w:tcW w:w="2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Conversion Price of conversion feature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 years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3.54 years</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0.59%</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0.76%</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Credit Adjusted Discount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Volatility</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440"/>
              <w:spacing w:after="0"/>
              <w:rPr>
                <w:sz w:val="20"/>
                <w:szCs w:val="20"/>
                <w:color w:val="auto"/>
              </w:rPr>
            </w:pPr>
            <w:r>
              <w:rPr>
                <w:rFonts w:ascii="Arial" w:cs="Arial" w:eastAsia="Arial" w:hAnsi="Arial"/>
                <w:sz w:val="18"/>
                <w:szCs w:val="18"/>
                <w:color w:val="auto"/>
              </w:rPr>
              <w:t>The roll forward of the April Note derivative liability – contingent interest is as follows: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Issuance of April convertible note payable – related party</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420,000</w:t>
            </w:r>
          </w:p>
        </w:tc>
      </w:tr>
      <w:tr>
        <w:trPr>
          <w:trHeight w:val="223"/>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Adjustment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Balance – September 30, 2021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776,000</w:t>
            </w:r>
          </w:p>
        </w:tc>
      </w:tr>
    </w:tbl>
    <w:p>
      <w:pPr>
        <w:spacing w:after="0" w:line="18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September Note derivative liability – contingent interest was valued using a Monte Carlo Geometric Brownian Stock Path Model. The key assumptions used in the model at inception, and at September 30,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5"/>
          </w:tcPr>
          <w:p>
            <w:pPr>
              <w:ind w:left="120"/>
              <w:spacing w:after="0"/>
              <w:rPr>
                <w:sz w:val="20"/>
                <w:szCs w:val="20"/>
                <w:color w:val="auto"/>
              </w:rPr>
            </w:pPr>
            <w:r>
              <w:rPr>
                <w:rFonts w:ascii="Arial" w:cs="Arial" w:eastAsia="Arial" w:hAnsi="Arial"/>
                <w:sz w:val="18"/>
                <w:szCs w:val="18"/>
                <w:b w:val="1"/>
                <w:bCs w:val="1"/>
                <w:color w:val="auto"/>
              </w:rPr>
              <w:t>September 30,</w:t>
            </w:r>
          </w:p>
        </w:tc>
      </w:tr>
      <w:tr>
        <w:trPr>
          <w:trHeight w:val="241"/>
        </w:trPr>
        <w:tc>
          <w:tcPr>
            <w:tcW w:w="8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Inception</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Conversion Price of conversion feature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8.64</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 years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3.97 years</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0.76%</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Credit Adjusted Discount Rate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7.94%</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Volatility</w:t>
            </w: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91%</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432"/>
        </w:trPr>
        <w:tc>
          <w:tcPr>
            <w:tcW w:w="8440" w:type="dxa"/>
            <w:vAlign w:val="bottom"/>
          </w:tcPr>
          <w:p>
            <w:pPr>
              <w:ind w:left="440"/>
              <w:spacing w:after="0"/>
              <w:rPr>
                <w:sz w:val="20"/>
                <w:szCs w:val="20"/>
                <w:color w:val="auto"/>
              </w:rPr>
            </w:pPr>
            <w:r>
              <w:rPr>
                <w:rFonts w:ascii="Arial" w:cs="Arial" w:eastAsia="Arial" w:hAnsi="Arial"/>
                <w:sz w:val="18"/>
                <w:szCs w:val="18"/>
                <w:color w:val="auto"/>
              </w:rPr>
              <w:t>The roll forward of the September Note derivative liability – contingent interest is as follows: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Issuance of September convertible note payable – related party</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433,000</w:t>
            </w:r>
          </w:p>
        </w:tc>
      </w:tr>
      <w:tr>
        <w:trPr>
          <w:trHeight w:val="22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Adjustment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(18,000)</w:t>
            </w:r>
          </w:p>
        </w:tc>
      </w:tr>
      <w:tr>
        <w:trPr>
          <w:trHeight w:val="230"/>
        </w:trPr>
        <w:tc>
          <w:tcPr>
            <w:tcW w:w="8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 September 30, 2021</w:t>
            </w:r>
          </w:p>
        </w:tc>
        <w:tc>
          <w:tcPr>
            <w:tcW w:w="260" w:type="dxa"/>
            <w:vAlign w:val="bottom"/>
            <w:tcBorders>
              <w:top w:val="single" w:sz="8" w:color="CCEEFF"/>
            </w:tcBorders>
          </w:tcPr>
          <w:p>
            <w:pPr>
              <w:spacing w:after="0"/>
              <w:rPr>
                <w:sz w:val="20"/>
                <w:szCs w:val="20"/>
                <w:color w:val="auto"/>
              </w:rPr>
            </w:pPr>
          </w:p>
        </w:tc>
        <w:tc>
          <w:tcPr>
            <w:tcW w:w="96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415,000</w:t>
            </w:r>
          </w:p>
        </w:tc>
        <w:tc>
          <w:tcPr>
            <w:tcW w:w="100" w:type="dxa"/>
            <w:vAlign w:val="bottom"/>
            <w:tcBorders>
              <w:top w:val="single" w:sz="8" w:color="CCEEFF"/>
            </w:tcBorders>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Loss Per Share</w:t>
      </w:r>
    </w:p>
    <w:p>
      <w:pPr>
        <w:spacing w:after="0" w:line="229" w:lineRule="exact"/>
        <w:rPr>
          <w:sz w:val="20"/>
          <w:szCs w:val="20"/>
          <w:color w:val="auto"/>
        </w:rPr>
      </w:pPr>
    </w:p>
    <w:p>
      <w:pPr>
        <w:ind w:right="20" w:firstLine="441"/>
        <w:spacing w:after="0" w:line="296"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 2021</w:t>
            </w: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 2020</w:t>
            </w:r>
          </w:p>
        </w:tc>
      </w:tr>
      <w:tr>
        <w:trPr>
          <w:trHeight w:val="241"/>
        </w:trPr>
        <w:tc>
          <w:tcPr>
            <w:tcW w:w="792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w:t>
            </w:r>
          </w:p>
        </w:tc>
        <w:tc>
          <w:tcPr>
            <w:tcW w:w="12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(shares)</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11,357,964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12,538,204</w:t>
            </w: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4,660,561</w:t>
            </w:r>
          </w:p>
        </w:tc>
        <w:tc>
          <w:tcPr>
            <w:tcW w:w="100" w:type="dxa"/>
            <w:vAlign w:val="bottom"/>
          </w:tcPr>
          <w:p>
            <w:pPr>
              <w:spacing w:after="0"/>
              <w:rPr>
                <w:sz w:val="18"/>
                <w:szCs w:val="18"/>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3,987,575</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convertible notes payable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3,271,876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510,424</w:t>
            </w:r>
          </w:p>
        </w:tc>
        <w:tc>
          <w:tcPr>
            <w:tcW w:w="100" w:type="dxa"/>
            <w:vAlign w:val="bottom"/>
          </w:tcPr>
          <w:p>
            <w:pPr>
              <w:spacing w:after="0"/>
              <w:rPr>
                <w:sz w:val="19"/>
                <w:szCs w:val="19"/>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510,424</w:t>
            </w:r>
          </w:p>
        </w:tc>
      </w:tr>
      <w:tr>
        <w:trPr>
          <w:trHeight w:val="256"/>
        </w:trPr>
        <w:tc>
          <w:tcPr>
            <w:tcW w:w="79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19,800,825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17,036,203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2020 At Market Issuance of Common Stock</w:t>
      </w:r>
    </w:p>
    <w:p>
      <w:pPr>
        <w:spacing w:after="0" w:line="225"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During the nine months ended September 30, 2021, the Company issued 845,214 shares of common stock under the 2020 At Market Agreement for net proceeds of $3,864,000.</w:t>
      </w:r>
    </w:p>
    <w:p>
      <w:pPr>
        <w:spacing w:after="0" w:line="164"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For the nine months ended September 30, 2021 and 2020, the Company issued a total of 57,162 and 59,716 shares of common stock, respectively, for dividends on Series A and Series C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225"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and Research Commitments</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 Company has entered into agreements with contractors for research and development activities to further its product candidates. The contracts generally may be canceled at any time by providing thirty days’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The Company has one operating lease for its office space which was amended effective January 1, 2019 for a term of 38 months with no residual value guarantees or material restrictive covenants. The amended lease provided for free rent for the first two months of the lease and continues the security deposit of $6,000. In addition to base rental payments included in the contractual obligations table above, the Company is responsible for our pro-rata share of the operating expenses for the building. Our lease cost for the nine-month periods ended September 30, 2021 and 2020 was $33,000 for each period and is included in general and administrative expenses. As of September 30, 2021, the right to use lease asset consisted of $18,000 and is included in other assets. Also, as of September 30, 2021, current lease liability of $19,000 is included in accrued expenses.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440"/>
              <w:spacing w:after="0"/>
              <w:rPr>
                <w:sz w:val="20"/>
                <w:szCs w:val="20"/>
                <w:color w:val="auto"/>
              </w:rPr>
            </w:pPr>
            <w:r>
              <w:rPr>
                <w:rFonts w:ascii="Arial" w:cs="Arial" w:eastAsia="Arial" w:hAnsi="Arial"/>
                <w:sz w:val="18"/>
                <w:szCs w:val="18"/>
                <w:color w:val="auto"/>
              </w:rPr>
              <w:t>Maturity of operating lease as of September 30, 2021 in thousands:</w:t>
            </w: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liability</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discount rate used in calculating the present value of the lease payments was 11.04%</w:t>
      </w:r>
    </w:p>
    <w:p>
      <w:pPr>
        <w:spacing w:after="0" w:line="200" w:lineRule="exact"/>
        <w:rPr>
          <w:sz w:val="20"/>
          <w:szCs w:val="20"/>
          <w:color w:val="auto"/>
        </w:rPr>
      </w:pPr>
    </w:p>
    <w:p>
      <w:pPr>
        <w:spacing w:after="0" w:line="210" w:lineRule="exact"/>
        <w:rPr>
          <w:sz w:val="20"/>
          <w:szCs w:val="20"/>
          <w:color w:val="auto"/>
        </w:rPr>
      </w:pPr>
    </w:p>
    <w:p>
      <w:pPr>
        <w:jc w:val="center"/>
        <w:ind w:left="42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ind w:left="4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Galectin Sciences LLC</w:t>
      </w:r>
    </w:p>
    <w:p>
      <w:pPr>
        <w:spacing w:after="0" w:line="229"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each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Since then, the Company has contributed a total of $2,585,000, including $56,000 for the three months ended September 30, 2021, for expenses of the LLC. Since the end of 2014, SBH has contributed $158,000 for expenses in the LLC. As of September 30, 2021, the Company’s ownership percentage in the LLC was 84.2%. The Company accounts for the interest in the LLC as a consolidated, less than wholly owned subsidiary. Because the LLC’s equity is immaterial, the value of the non-controlling interest is also deemed to be immaterial.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September 30, 2022;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17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225" w:lineRule="exact"/>
        <w:rPr>
          <w:rFonts w:ascii="Arial" w:cs="Arial" w:eastAsia="Arial" w:hAnsi="Arial"/>
          <w:sz w:val="18"/>
          <w:szCs w:val="18"/>
          <w:color w:val="auto"/>
        </w:rPr>
      </w:pPr>
    </w:p>
    <w:p>
      <w:pPr>
        <w:ind w:left="980" w:right="38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225"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170" w:lineRule="exact"/>
        <w:rPr>
          <w:rFonts w:ascii="Arial" w:cs="Arial" w:eastAsia="Arial" w:hAnsi="Arial"/>
          <w:sz w:val="18"/>
          <w:szCs w:val="18"/>
          <w:color w:val="auto"/>
        </w:rPr>
      </w:pPr>
    </w:p>
    <w:p>
      <w:pPr>
        <w:ind w:left="980" w:right="4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resulting from the outbreak of COVID-19, which has delayed and may continue to delay our clinical trial and development efforts, as well as the impact that COVID-19 has on the volatility of the capital market and our ability to access the capital market and,</w:t>
      </w:r>
    </w:p>
    <w:p>
      <w:pPr>
        <w:spacing w:after="0" w:line="146" w:lineRule="exact"/>
        <w:rPr>
          <w:rFonts w:ascii="Arial" w:cs="Arial" w:eastAsia="Arial" w:hAnsi="Arial"/>
          <w:sz w:val="17"/>
          <w:szCs w:val="17"/>
          <w:color w:val="auto"/>
        </w:rPr>
      </w:pPr>
    </w:p>
    <w:p>
      <w:pPr>
        <w:ind w:left="980" w:right="2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herein and from time to time in our SEC reports, including our Annual Report on Form 10-K filed with the SEC for the fiscal year ended December 31, 2020, and our subsequent SEC filings.</w:t>
      </w:r>
    </w:p>
    <w:p>
      <w:pPr>
        <w:spacing w:after="0" w:line="170"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 Furthermore, in this Quarterly Report on Form 10-Q, we refer to other sources of information, such as the information posted on our website or peer reviewed publications. The information from these sources are not incorporated by reference to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ectPr>
          <w:pgSz w:w="11900" w:h="16838" w:orient="portrait"/>
          <w:cols w:equalWidth="0" w:num="1">
            <w:col w:w="11220"/>
          </w:cols>
          <w:pgMar w:left="320" w:top="122" w:right="359" w:bottom="1440" w:gutter="0" w:footer="0" w:header="0"/>
        </w:sect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Our lead galectin-3 inhibitor is belapectin (GR-MD-02), which has been demonstrated in preclinical models to reverse liver fibrosis and cirrhosis.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gene responsible for galectin-3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well compensated cirrhosis (NASH-CX) meaning the liver is scarred but still able to perform most of its basic functions.</w:t>
      </w:r>
    </w:p>
    <w:p>
      <w:pPr>
        <w:spacing w:after="0" w:line="192" w:lineRule="exact"/>
        <w:rPr>
          <w:sz w:val="20"/>
          <w:szCs w:val="20"/>
          <w:color w:val="auto"/>
        </w:rPr>
      </w:pPr>
    </w:p>
    <w:p>
      <w:pPr>
        <w:ind w:right="160" w:firstLine="441"/>
        <w:spacing w:after="0" w:line="275" w:lineRule="auto"/>
        <w:rPr>
          <w:sz w:val="20"/>
          <w:szCs w:val="20"/>
          <w:color w:val="auto"/>
        </w:rPr>
      </w:pPr>
      <w:r>
        <w:rPr>
          <w:rFonts w:ascii="Arial" w:cs="Arial" w:eastAsia="Arial" w:hAnsi="Arial"/>
          <w:sz w:val="17"/>
          <w:szCs w:val="17"/>
          <w:color w:val="auto"/>
        </w:rPr>
        <w:t xml:space="preserve">We are now engaged in a Phase 2b/3 clinical trial. Our study protocol was filed with the FDA on April 30, 2020 for a seamless adaptively-designed Phase 2b/3 clinical study, the NAVIGATE trial (formerly called NASH-RX), evaluating the safety and efficacy of its galectin-3 inhibitor, belapectin (GR-MD-02), for the prevention of esophageal varices in patients with non-alcoholic steatohepatitis (NASH) cirrhosis (Further details are available at </w:t>
      </w:r>
      <w:r>
        <w:rPr>
          <w:rFonts w:ascii="Arial" w:cs="Arial" w:eastAsia="Arial" w:hAnsi="Arial"/>
          <w:sz w:val="17"/>
          <w:szCs w:val="17"/>
          <w:u w:val="single" w:color="auto"/>
          <w:color w:val="auto"/>
        </w:rPr>
        <w:t>www.clinicaltrials.gov</w:t>
      </w:r>
      <w:r>
        <w:rPr>
          <w:rFonts w:ascii="Arial" w:cs="Arial" w:eastAsia="Arial" w:hAnsi="Arial"/>
          <w:sz w:val="17"/>
          <w:szCs w:val="17"/>
          <w:color w:val="auto"/>
        </w:rPr>
        <w:t xml:space="preserve"> under study NCT04365868); this study began enrolling patients in Q2-2020. In September 2020, the Company received a letter from the FDA providing comments, asking questions and providing guidance on various aspects of the ongoing NAVIGATE trial.</w:t>
      </w:r>
    </w:p>
    <w:p>
      <w:pPr>
        <w:spacing w:after="0" w:line="176"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 xml:space="preserve">Additionally, a study protocol entitled “A Single-dose, Open-label, Pharmacokinetic Study of </w:t>
      </w:r>
      <w:r>
        <w:rPr>
          <w:rFonts w:ascii="Arial" w:cs="Arial" w:eastAsia="Arial" w:hAnsi="Arial"/>
          <w:sz w:val="18"/>
          <w:szCs w:val="18"/>
          <w:u w:val="single" w:color="auto"/>
          <w:color w:val="auto"/>
        </w:rPr>
        <w:t>Belapectin</w:t>
      </w:r>
      <w:r>
        <w:rPr>
          <w:rFonts w:ascii="Arial" w:cs="Arial" w:eastAsia="Arial" w:hAnsi="Arial"/>
          <w:sz w:val="18"/>
          <w:szCs w:val="18"/>
          <w:color w:val="auto"/>
        </w:rPr>
        <w:t xml:space="preserve">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this study is enrolling patients.</w:t>
      </w:r>
    </w:p>
    <w:p>
      <w:pPr>
        <w:spacing w:after="0" w:line="187" w:lineRule="exact"/>
        <w:rPr>
          <w:sz w:val="20"/>
          <w:szCs w:val="20"/>
          <w:color w:val="auto"/>
        </w:rPr>
      </w:pPr>
    </w:p>
    <w:p>
      <w:pPr>
        <w:ind w:right="100" w:firstLine="441"/>
        <w:spacing w:after="0" w:line="254" w:lineRule="auto"/>
        <w:rPr>
          <w:sz w:val="20"/>
          <w:szCs w:val="20"/>
          <w:color w:val="auto"/>
        </w:rPr>
      </w:pPr>
      <w:r>
        <w:rPr>
          <w:rFonts w:ascii="Arial" w:cs="Arial" w:eastAsia="Arial" w:hAnsi="Arial"/>
          <w:sz w:val="18"/>
          <w:szCs w:val="18"/>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through our majority-owned joint venture subsidiary,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Three series of composition of matter patents covering discoveries at Galectin Sciences have been filed.</w:t>
      </w:r>
    </w:p>
    <w:p>
      <w:pPr>
        <w:spacing w:after="0" w:line="195"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We are also pursuing a development pathway to clinical enhancement and commercialization for our lead compounds in immuno-oncology for cancer therapy in collaboration with Providence Portland Cancer Center. However, our clinical development efforts are primarily focused on liver fibrosis and NASH. All of our proposed products are presently in development, including pre-clinical and clinical trials.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229"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substantiating the importance of galectin-3 in the fibrotic process arises from gene knockout experiments in animal studies. Mice genetically altered to eliminate the galectin-3 gene, and thus unable to produce galectin-3, are incapable of developing liver fibrosis in response to toxic insult to the liver and in fatty liver disease as well as development of fibrosis in other tissues.</w:t>
      </w:r>
    </w:p>
    <w:p>
      <w:pPr>
        <w:spacing w:after="0" w:line="166"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We have one new proprietary chemical entity (NCE) in development, belapectin, which has shown promise in preclinical and early clinical studies in treatment of fibrosis, severe skin disease, and in cancer therapy. Currently we are focusing on development of belapectin intended to be used in the treatment of liver fibrosis associated with fatty liver disease (NASH) and more specifically in NASH cirrhosis. We have also leveraged our relationships with well-known investigators to demonstrate clinical effects of belapectin in treating moderate to severe plaque psoriasis, severe atopic dermatitis, and in cancer therapy in combination with immune-system modifying agent(s). Belapectin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GM-CT-01 compound has been explored in limited other preclinical studies.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720" w:type="dxa"/>
            <w:vAlign w:val="bottom"/>
          </w:tcPr>
          <w:p>
            <w:pPr>
              <w:spacing w:after="0"/>
              <w:rPr>
                <w:sz w:val="14"/>
                <w:szCs w:val="14"/>
                <w:color w:val="auto"/>
              </w:rPr>
            </w:pPr>
          </w:p>
        </w:tc>
        <w:tc>
          <w:tcPr>
            <w:tcW w:w="6240" w:type="dxa"/>
            <w:vAlign w:val="bottom"/>
          </w:tcPr>
          <w:p>
            <w:pPr>
              <w:spacing w:after="0"/>
              <w:rPr>
                <w:sz w:val="14"/>
                <w:szCs w:val="14"/>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w w:val="95"/>
              </w:rPr>
              <w:t>Our product pipeline is shown below:</w:t>
            </w:r>
          </w:p>
        </w:tc>
        <w:tc>
          <w:tcPr>
            <w:tcW w:w="1720" w:type="dxa"/>
            <w:vAlign w:val="bottom"/>
          </w:tcPr>
          <w:p>
            <w:pPr>
              <w:spacing w:after="0"/>
              <w:rPr>
                <w:sz w:val="24"/>
                <w:szCs w:val="24"/>
                <w:color w:val="auto"/>
              </w:rPr>
            </w:pPr>
          </w:p>
        </w:tc>
        <w:tc>
          <w:tcPr>
            <w:tcW w:w="6240" w:type="dxa"/>
            <w:vAlign w:val="bottom"/>
          </w:tcPr>
          <w:p>
            <w:pPr>
              <w:spacing w:after="0"/>
              <w:rPr>
                <w:sz w:val="24"/>
                <w:szCs w:val="24"/>
                <w:color w:val="auto"/>
              </w:rPr>
            </w:pPr>
          </w:p>
        </w:tc>
      </w:tr>
      <w:tr>
        <w:trPr>
          <w:trHeight w:val="41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Indication</w:t>
            </w:r>
          </w:p>
        </w:tc>
        <w:tc>
          <w:tcPr>
            <w:tcW w:w="1720" w:type="dxa"/>
            <w:vAlign w:val="bottom"/>
          </w:tcPr>
          <w:p>
            <w:pPr>
              <w:spacing w:after="0"/>
              <w:rPr>
                <w:sz w:val="24"/>
                <w:szCs w:val="24"/>
                <w:color w:val="auto"/>
              </w:rPr>
            </w:pPr>
          </w:p>
        </w:tc>
        <w:tc>
          <w:tcPr>
            <w:tcW w:w="6240" w:type="dxa"/>
            <w:vAlign w:val="bottom"/>
          </w:tcPr>
          <w:p>
            <w:pPr>
              <w:spacing w:after="0"/>
              <w:rPr>
                <w:sz w:val="24"/>
                <w:szCs w:val="24"/>
                <w:color w:val="auto"/>
              </w:rPr>
            </w:pPr>
          </w:p>
        </w:tc>
      </w:t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Fibrosis</w:t>
            </w:r>
          </w:p>
        </w:tc>
        <w:tc>
          <w:tcPr>
            <w:tcW w:w="1720" w:type="dxa"/>
            <w:vAlign w:val="bottom"/>
          </w:tcPr>
          <w:p>
            <w:pPr>
              <w:ind w:left="920"/>
              <w:spacing w:after="0"/>
              <w:rPr>
                <w:sz w:val="20"/>
                <w:szCs w:val="20"/>
                <w:color w:val="auto"/>
              </w:rPr>
            </w:pPr>
            <w:r>
              <w:rPr>
                <w:rFonts w:ascii="Arial" w:cs="Arial" w:eastAsia="Arial" w:hAnsi="Arial"/>
                <w:sz w:val="18"/>
                <w:szCs w:val="18"/>
                <w:b w:val="1"/>
                <w:bCs w:val="1"/>
                <w:color w:val="auto"/>
              </w:rPr>
              <w:t>Drug</w:t>
            </w:r>
          </w:p>
        </w:tc>
        <w:tc>
          <w:tcPr>
            <w:tcW w:w="6240" w:type="dxa"/>
            <w:vAlign w:val="bottom"/>
          </w:tcPr>
          <w:p>
            <w:pPr>
              <w:ind w:left="3080"/>
              <w:spacing w:after="0"/>
              <w:rPr>
                <w:sz w:val="20"/>
                <w:szCs w:val="20"/>
                <w:color w:val="auto"/>
              </w:rPr>
            </w:pPr>
            <w:r>
              <w:rPr>
                <w:rFonts w:ascii="Arial" w:cs="Arial" w:eastAsia="Arial" w:hAnsi="Arial"/>
                <w:sz w:val="18"/>
                <w:szCs w:val="18"/>
                <w:b w:val="1"/>
                <w:bCs w:val="1"/>
                <w:color w:val="auto"/>
              </w:rPr>
              <w:t>Status</w:t>
            </w: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color w:val="auto"/>
              </w:rPr>
              <w:t>NASH with Advanced Fibrosis:</w:t>
            </w:r>
          </w:p>
        </w:tc>
        <w:tc>
          <w:tcPr>
            <w:tcW w:w="1720" w:type="dxa"/>
            <w:vAlign w:val="bottom"/>
          </w:tcPr>
          <w:p>
            <w:pPr>
              <w:ind w:left="100"/>
              <w:spacing w:after="0"/>
              <w:rPr>
                <w:sz w:val="20"/>
                <w:szCs w:val="20"/>
                <w:color w:val="auto"/>
              </w:rPr>
            </w:pPr>
            <w:r>
              <w:rPr>
                <w:rFonts w:ascii="Arial" w:cs="Arial" w:eastAsia="Arial" w:hAnsi="Arial"/>
                <w:sz w:val="18"/>
                <w:szCs w:val="18"/>
                <w:color w:val="auto"/>
              </w:rPr>
              <w:t>belapectin</w:t>
            </w:r>
          </w:p>
        </w:tc>
        <w:tc>
          <w:tcPr>
            <w:tcW w:w="6240" w:type="dxa"/>
            <w:vAlign w:val="bottom"/>
          </w:tcPr>
          <w:p>
            <w:pPr>
              <w:ind w:left="400"/>
              <w:spacing w:after="0"/>
              <w:rPr>
                <w:sz w:val="20"/>
                <w:szCs w:val="20"/>
                <w:color w:val="auto"/>
              </w:rPr>
            </w:pPr>
            <w:r>
              <w:rPr>
                <w:rFonts w:ascii="Arial" w:cs="Arial" w:eastAsia="Arial" w:hAnsi="Arial"/>
                <w:sz w:val="18"/>
                <w:szCs w:val="18"/>
                <w:color w:val="auto"/>
              </w:rPr>
              <w:t>IND submitted January 2013. Results from the Phase 1 clinical trial were</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NASH-CX trial and</w:t>
            </w: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reported in 2014, with final results reported in January 2015.</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NASH-FX trial</w:t>
            </w: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5"/>
              </w:rPr>
              <w:t>The Phase 2 NASH FX trial was designed for patients with advanced fibrosis</w:t>
            </w:r>
          </w:p>
        </w:tc>
      </w:tr>
      <w:tr>
        <w:trPr>
          <w:trHeight w:val="216"/>
        </w:trPr>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but not cirrhosis. Its principal purpose was to evaluate various imaging</w:t>
            </w:r>
          </w:p>
        </w:tc>
      </w:tr>
      <w:tr>
        <w:trPr>
          <w:trHeight w:val="230"/>
        </w:trPr>
        <w:tc>
          <w:tcPr>
            <w:tcW w:w="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5"/>
              </w:rPr>
              <w:t>modalities. The NASH FX trial top line data was reported in September 2016</w:t>
            </w:r>
          </w:p>
        </w:tc>
      </w:tr>
      <w:tr>
        <w:trPr>
          <w:trHeight w:val="418"/>
        </w:trPr>
        <w:tc>
          <w:tcPr>
            <w:tcW w:w="3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3"/>
              </w:rPr>
              <w:t>The Phase 2 NASH CX trial, was designed for patients with well compensated</w:t>
            </w:r>
          </w:p>
        </w:tc>
      </w:tr>
      <w:tr>
        <w:trPr>
          <w:trHeight w:val="216"/>
        </w:trPr>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2"/>
              </w:rPr>
              <w:t>cirrhosis. The NASH CX trial top line data was reported in December 2017 and</w:t>
            </w:r>
          </w:p>
        </w:tc>
      </w:tr>
      <w:tr>
        <w:trPr>
          <w:trHeight w:val="230"/>
        </w:trPr>
        <w:tc>
          <w:tcPr>
            <w:tcW w:w="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 xml:space="preserve">was published in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in 2020.</w:t>
            </w: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color w:val="auto"/>
              </w:rPr>
              <w:t>NASH NAVIGATE</w:t>
            </w:r>
          </w:p>
        </w:tc>
        <w:tc>
          <w:tcPr>
            <w:tcW w:w="1720" w:type="dxa"/>
            <w:vAlign w:val="bottom"/>
          </w:tcPr>
          <w:p>
            <w:pPr>
              <w:spacing w:after="0"/>
              <w:rPr>
                <w:sz w:val="24"/>
                <w:szCs w:val="24"/>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2"/>
              </w:rPr>
              <w:t>Based on FDA feedback, the NAVIGATE trial is an adaptive Phase 2b/3 trial for</w:t>
            </w:r>
          </w:p>
        </w:tc>
      </w:tr>
      <w:tr>
        <w:trPr>
          <w:trHeight w:val="216"/>
        </w:trPr>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9"/>
              </w:rPr>
              <w:t>the prevention of esophageal varices in NASH patients with compensated</w:t>
            </w:r>
          </w:p>
        </w:tc>
      </w:tr>
      <w:tr>
        <w:trPr>
          <w:trHeight w:val="216"/>
        </w:trPr>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5"/>
              </w:rPr>
              <w:t>cirrhosis. A Phase 2b interim efficacy analysis will be incorporated to confirm</w:t>
            </w:r>
          </w:p>
        </w:tc>
      </w:tr>
      <w:tr>
        <w:trPr>
          <w:trHeight w:val="216"/>
        </w:trPr>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5"/>
              </w:rPr>
              <w:t>previous Phase 2 data, select an optimal dose and reaffirm the risk/benefit of</w:t>
            </w:r>
          </w:p>
        </w:tc>
      </w:tr>
      <w:tr>
        <w:trPr>
          <w:trHeight w:val="216"/>
        </w:trPr>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2"/>
              </w:rPr>
              <w:t>belapectin. The Phase 3 end of study analysis will evaluate the development of</w:t>
            </w:r>
          </w:p>
        </w:tc>
      </w:tr>
      <w:tr>
        <w:trPr>
          <w:trHeight w:val="216"/>
        </w:trPr>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2"/>
              </w:rPr>
              <w:t>esophageal varices as the primary outcome of efficacy and a composite clinical</w:t>
            </w:r>
          </w:p>
        </w:tc>
      </w:tr>
      <w:tr>
        <w:trPr>
          <w:trHeight w:val="216"/>
        </w:trPr>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0"/>
              </w:rPr>
              <w:t>endpoint including progression to varices requiring treatment as a key secondary</w:t>
            </w:r>
          </w:p>
        </w:tc>
      </w:tr>
      <w:tr>
        <w:trPr>
          <w:trHeight w:val="216"/>
        </w:trPr>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2"/>
              </w:rPr>
              <w:t>outcome of efficacy. See www.clinicaltrials.gov NCT04365868. The first patient</w:t>
            </w:r>
          </w:p>
        </w:tc>
      </w:tr>
      <w:tr>
        <w:trPr>
          <w:trHeight w:val="230"/>
        </w:trPr>
        <w:tc>
          <w:tcPr>
            <w:tcW w:w="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was randomized in the third quarter of 2020.</w:t>
            </w:r>
          </w:p>
        </w:tc>
      </w:tr>
      <w:tr>
        <w:trPr>
          <w:trHeight w:val="418"/>
        </w:trPr>
        <w:tc>
          <w:tcPr>
            <w:tcW w:w="3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A hepatic impairment is being conducted in subjects with normal hepatic</w:t>
            </w:r>
          </w:p>
        </w:tc>
      </w:tr>
      <w:tr>
        <w:trPr>
          <w:trHeight w:val="216"/>
        </w:trPr>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function and subjects with varying degrees of hepatic impairment (CF:</w:t>
            </w:r>
          </w:p>
        </w:tc>
      </w:tr>
      <w:tr>
        <w:trPr>
          <w:trHeight w:val="216"/>
        </w:trPr>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www.clinicaltrials.gov NCT04332432) and began enrolling patients in the</w:t>
            </w:r>
          </w:p>
        </w:tc>
      </w:tr>
      <w:tr>
        <w:trPr>
          <w:trHeight w:val="230"/>
        </w:trPr>
        <w:tc>
          <w:tcPr>
            <w:tcW w:w="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second quarter of 2020.</w:t>
            </w: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Lung Fibrosis</w:t>
            </w:r>
          </w:p>
        </w:tc>
        <w:tc>
          <w:tcPr>
            <w:tcW w:w="1720" w:type="dxa"/>
            <w:vAlign w:val="bottom"/>
          </w:tcPr>
          <w:p>
            <w:pPr>
              <w:ind w:left="100"/>
              <w:spacing w:after="0"/>
              <w:rPr>
                <w:sz w:val="20"/>
                <w:szCs w:val="20"/>
                <w:color w:val="auto"/>
              </w:rPr>
            </w:pPr>
            <w:r>
              <w:rPr>
                <w:rFonts w:ascii="Arial" w:cs="Arial" w:eastAsia="Arial" w:hAnsi="Arial"/>
                <w:sz w:val="18"/>
                <w:szCs w:val="18"/>
                <w:color w:val="auto"/>
              </w:rPr>
              <w:t>belapectin</w:t>
            </w:r>
          </w:p>
        </w:tc>
        <w:tc>
          <w:tcPr>
            <w:tcW w:w="6240" w:type="dxa"/>
            <w:vAlign w:val="bottom"/>
          </w:tcPr>
          <w:p>
            <w:pPr>
              <w:ind w:left="400"/>
              <w:spacing w:after="0"/>
              <w:rPr>
                <w:sz w:val="20"/>
                <w:szCs w:val="20"/>
                <w:color w:val="auto"/>
              </w:rPr>
            </w:pPr>
            <w:r>
              <w:rPr>
                <w:rFonts w:ascii="Arial" w:cs="Arial" w:eastAsia="Arial" w:hAnsi="Arial"/>
                <w:sz w:val="18"/>
                <w:szCs w:val="18"/>
                <w:color w:val="auto"/>
              </w:rPr>
              <w:t>In pre-clinical development</w:t>
            </w: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Kidney Fibrosis</w:t>
            </w:r>
          </w:p>
        </w:tc>
        <w:tc>
          <w:tcPr>
            <w:tcW w:w="1720" w:type="dxa"/>
            <w:vAlign w:val="bottom"/>
          </w:tcPr>
          <w:p>
            <w:pPr>
              <w:ind w:left="100"/>
              <w:spacing w:after="0"/>
              <w:rPr>
                <w:sz w:val="20"/>
                <w:szCs w:val="20"/>
                <w:color w:val="auto"/>
              </w:rPr>
            </w:pPr>
            <w:r>
              <w:rPr>
                <w:rFonts w:ascii="Arial" w:cs="Arial" w:eastAsia="Arial" w:hAnsi="Arial"/>
                <w:sz w:val="18"/>
                <w:szCs w:val="18"/>
                <w:color w:val="auto"/>
              </w:rPr>
              <w:t>belapectin</w:t>
            </w:r>
          </w:p>
        </w:tc>
        <w:tc>
          <w:tcPr>
            <w:tcW w:w="6240" w:type="dxa"/>
            <w:vAlign w:val="bottom"/>
          </w:tcPr>
          <w:p>
            <w:pPr>
              <w:ind w:left="400"/>
              <w:spacing w:after="0"/>
              <w:rPr>
                <w:sz w:val="20"/>
                <w:szCs w:val="20"/>
                <w:color w:val="auto"/>
              </w:rPr>
            </w:pPr>
            <w:r>
              <w:rPr>
                <w:rFonts w:ascii="Arial" w:cs="Arial" w:eastAsia="Arial" w:hAnsi="Arial"/>
                <w:sz w:val="18"/>
                <w:szCs w:val="18"/>
                <w:color w:val="auto"/>
              </w:rPr>
              <w:t>In pre-clinical development</w:t>
            </w: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Indication</w:t>
            </w:r>
          </w:p>
        </w:tc>
        <w:tc>
          <w:tcPr>
            <w:tcW w:w="1720" w:type="dxa"/>
            <w:vAlign w:val="bottom"/>
          </w:tcPr>
          <w:p>
            <w:pPr>
              <w:ind w:left="920"/>
              <w:spacing w:after="0"/>
              <w:rPr>
                <w:sz w:val="20"/>
                <w:szCs w:val="20"/>
                <w:color w:val="auto"/>
              </w:rPr>
            </w:pPr>
            <w:r>
              <w:rPr>
                <w:rFonts w:ascii="Arial" w:cs="Arial" w:eastAsia="Arial" w:hAnsi="Arial"/>
                <w:sz w:val="18"/>
                <w:szCs w:val="18"/>
                <w:b w:val="1"/>
                <w:bCs w:val="1"/>
                <w:color w:val="auto"/>
              </w:rPr>
              <w:t>Drug</w:t>
            </w:r>
          </w:p>
        </w:tc>
        <w:tc>
          <w:tcPr>
            <w:tcW w:w="6240" w:type="dxa"/>
            <w:vAlign w:val="bottom"/>
          </w:tcPr>
          <w:p>
            <w:pPr>
              <w:ind w:left="3080"/>
              <w:spacing w:after="0"/>
              <w:rPr>
                <w:sz w:val="20"/>
                <w:szCs w:val="20"/>
                <w:color w:val="auto"/>
              </w:rPr>
            </w:pPr>
            <w:r>
              <w:rPr>
                <w:rFonts w:ascii="Arial" w:cs="Arial" w:eastAsia="Arial" w:hAnsi="Arial"/>
                <w:sz w:val="18"/>
                <w:szCs w:val="18"/>
                <w:b w:val="1"/>
                <w:bCs w:val="1"/>
                <w:color w:val="auto"/>
              </w:rPr>
              <w:t>Status</w:t>
            </w: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color w:val="auto"/>
              </w:rPr>
              <w:t>Cardiac and Vascular Fibrosis</w:t>
            </w:r>
          </w:p>
        </w:tc>
        <w:tc>
          <w:tcPr>
            <w:tcW w:w="1720" w:type="dxa"/>
            <w:vAlign w:val="bottom"/>
          </w:tcPr>
          <w:p>
            <w:pPr>
              <w:ind w:left="100"/>
              <w:spacing w:after="0"/>
              <w:rPr>
                <w:sz w:val="20"/>
                <w:szCs w:val="20"/>
                <w:color w:val="auto"/>
              </w:rPr>
            </w:pPr>
            <w:r>
              <w:rPr>
                <w:rFonts w:ascii="Arial" w:cs="Arial" w:eastAsia="Arial" w:hAnsi="Arial"/>
                <w:sz w:val="18"/>
                <w:szCs w:val="18"/>
                <w:color w:val="auto"/>
              </w:rPr>
              <w:t>belapectin and</w:t>
            </w:r>
          </w:p>
        </w:tc>
        <w:tc>
          <w:tcPr>
            <w:tcW w:w="6240" w:type="dxa"/>
            <w:vAlign w:val="bottom"/>
          </w:tcPr>
          <w:p>
            <w:pPr>
              <w:ind w:left="400"/>
              <w:spacing w:after="0"/>
              <w:rPr>
                <w:sz w:val="20"/>
                <w:szCs w:val="20"/>
                <w:color w:val="auto"/>
              </w:rPr>
            </w:pPr>
            <w:r>
              <w:rPr>
                <w:rFonts w:ascii="Arial" w:cs="Arial" w:eastAsia="Arial" w:hAnsi="Arial"/>
                <w:sz w:val="18"/>
                <w:szCs w:val="18"/>
                <w:color w:val="auto"/>
              </w:rPr>
              <w:t>In pre-clinical development</w:t>
            </w:r>
          </w:p>
        </w:tc>
      </w:tr>
      <w:tr>
        <w:trPr>
          <w:trHeight w:val="230"/>
        </w:trPr>
        <w:tc>
          <w:tcPr>
            <w:tcW w:w="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720" w:type="dxa"/>
            <w:vAlign w:val="bottom"/>
          </w:tcPr>
          <w:p>
            <w:pPr>
              <w:ind w:left="100"/>
              <w:spacing w:after="0"/>
              <w:rPr>
                <w:sz w:val="20"/>
                <w:szCs w:val="20"/>
                <w:color w:val="auto"/>
              </w:rPr>
            </w:pPr>
            <w:r>
              <w:rPr>
                <w:rFonts w:ascii="Arial" w:cs="Arial" w:eastAsia="Arial" w:hAnsi="Arial"/>
                <w:sz w:val="18"/>
                <w:szCs w:val="18"/>
                <w:color w:val="auto"/>
              </w:rPr>
              <w:t>GM-CT-01</w:t>
            </w:r>
          </w:p>
        </w:tc>
        <w:tc>
          <w:tcPr>
            <w:tcW w:w="6240" w:type="dxa"/>
            <w:vAlign w:val="bottom"/>
          </w:tcPr>
          <w:p>
            <w:pPr>
              <w:spacing w:after="0"/>
              <w:rPr>
                <w:sz w:val="20"/>
                <w:szCs w:val="20"/>
                <w:color w:val="auto"/>
              </w:rPr>
            </w:pP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Cancer Immunotherapy</w:t>
            </w:r>
          </w:p>
        </w:tc>
        <w:tc>
          <w:tcPr>
            <w:tcW w:w="1720" w:type="dxa"/>
            <w:vAlign w:val="bottom"/>
          </w:tcPr>
          <w:p>
            <w:pPr>
              <w:spacing w:after="0"/>
              <w:rPr>
                <w:sz w:val="24"/>
                <w:szCs w:val="24"/>
                <w:color w:val="auto"/>
              </w:rPr>
            </w:pPr>
          </w:p>
        </w:tc>
        <w:tc>
          <w:tcPr>
            <w:tcW w:w="6240" w:type="dxa"/>
            <w:vAlign w:val="bottom"/>
          </w:tcPr>
          <w:p>
            <w:pPr>
              <w:spacing w:after="0"/>
              <w:rPr>
                <w:sz w:val="24"/>
                <w:szCs w:val="24"/>
                <w:color w:val="auto"/>
              </w:rPr>
            </w:pP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color w:val="auto"/>
              </w:rPr>
              <w:t>Melanoma, Head, Neck Squamous Cell</w:t>
            </w:r>
          </w:p>
        </w:tc>
        <w:tc>
          <w:tcPr>
            <w:tcW w:w="1720" w:type="dxa"/>
            <w:vAlign w:val="bottom"/>
          </w:tcPr>
          <w:p>
            <w:pPr>
              <w:ind w:left="100"/>
              <w:spacing w:after="0"/>
              <w:rPr>
                <w:sz w:val="20"/>
                <w:szCs w:val="20"/>
                <w:color w:val="auto"/>
              </w:rPr>
            </w:pPr>
            <w:r>
              <w:rPr>
                <w:rFonts w:ascii="Arial" w:cs="Arial" w:eastAsia="Arial" w:hAnsi="Arial"/>
                <w:sz w:val="18"/>
                <w:szCs w:val="18"/>
                <w:color w:val="auto"/>
              </w:rPr>
              <w:t>belapectin</w:t>
            </w:r>
          </w:p>
        </w:tc>
        <w:tc>
          <w:tcPr>
            <w:tcW w:w="6240" w:type="dxa"/>
            <w:vAlign w:val="bottom"/>
          </w:tcPr>
          <w:p>
            <w:pPr>
              <w:ind w:left="400"/>
              <w:spacing w:after="0"/>
              <w:rPr>
                <w:sz w:val="20"/>
                <w:szCs w:val="20"/>
                <w:color w:val="auto"/>
              </w:rPr>
            </w:pPr>
            <w:r>
              <w:rPr>
                <w:rFonts w:ascii="Arial" w:cs="Arial" w:eastAsia="Arial" w:hAnsi="Arial"/>
                <w:sz w:val="18"/>
                <w:szCs w:val="18"/>
                <w:color w:val="auto"/>
                <w:w w:val="93"/>
              </w:rPr>
              <w:t>Investigator IND study in process. A Phase 1B study began in Q-1 2016. Early</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Carcinoma (HNSCC)</w:t>
            </w: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data was reported in February 2017 and additional data were reported in</w:t>
            </w:r>
          </w:p>
        </w:tc>
      </w:tr>
      <w:tr>
        <w:trPr>
          <w:trHeight w:val="216"/>
        </w:trPr>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6"/>
              </w:rPr>
              <w:t>September 2018. A further expansion cohort of patients with melanoma and</w:t>
            </w:r>
          </w:p>
        </w:tc>
      </w:tr>
      <w:tr>
        <w:trPr>
          <w:trHeight w:val="230"/>
        </w:trPr>
        <w:tc>
          <w:tcPr>
            <w:tcW w:w="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HNSCC was reported in July 2021.</w:t>
            </w: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Psoriasis</w:t>
            </w:r>
          </w:p>
        </w:tc>
        <w:tc>
          <w:tcPr>
            <w:tcW w:w="1720" w:type="dxa"/>
            <w:vAlign w:val="bottom"/>
          </w:tcPr>
          <w:p>
            <w:pPr>
              <w:spacing w:after="0"/>
              <w:rPr>
                <w:sz w:val="24"/>
                <w:szCs w:val="24"/>
                <w:color w:val="auto"/>
              </w:rPr>
            </w:pPr>
          </w:p>
        </w:tc>
        <w:tc>
          <w:tcPr>
            <w:tcW w:w="6240" w:type="dxa"/>
            <w:vAlign w:val="bottom"/>
          </w:tcPr>
          <w:p>
            <w:pPr>
              <w:spacing w:after="0"/>
              <w:rPr>
                <w:sz w:val="24"/>
                <w:szCs w:val="24"/>
                <w:color w:val="auto"/>
              </w:rPr>
            </w:pP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color w:val="auto"/>
              </w:rPr>
              <w:t>Moderate to Severe Plaque Psoriasis</w:t>
            </w:r>
          </w:p>
        </w:tc>
        <w:tc>
          <w:tcPr>
            <w:tcW w:w="1720" w:type="dxa"/>
            <w:vAlign w:val="bottom"/>
          </w:tcPr>
          <w:p>
            <w:pPr>
              <w:ind w:left="100"/>
              <w:spacing w:after="0"/>
              <w:rPr>
                <w:sz w:val="20"/>
                <w:szCs w:val="20"/>
                <w:color w:val="auto"/>
              </w:rPr>
            </w:pPr>
            <w:r>
              <w:rPr>
                <w:rFonts w:ascii="Arial" w:cs="Arial" w:eastAsia="Arial" w:hAnsi="Arial"/>
                <w:sz w:val="18"/>
                <w:szCs w:val="18"/>
                <w:color w:val="auto"/>
              </w:rPr>
              <w:t>belapectin</w:t>
            </w:r>
          </w:p>
        </w:tc>
        <w:tc>
          <w:tcPr>
            <w:tcW w:w="6240" w:type="dxa"/>
            <w:vAlign w:val="bottom"/>
          </w:tcPr>
          <w:p>
            <w:pPr>
              <w:ind w:left="400"/>
              <w:spacing w:after="0"/>
              <w:rPr>
                <w:sz w:val="20"/>
                <w:szCs w:val="20"/>
                <w:color w:val="auto"/>
              </w:rPr>
            </w:pPr>
            <w:r>
              <w:rPr>
                <w:rFonts w:ascii="Arial" w:cs="Arial" w:eastAsia="Arial" w:hAnsi="Arial"/>
                <w:sz w:val="18"/>
                <w:szCs w:val="18"/>
                <w:color w:val="auto"/>
                <w:w w:val="98"/>
              </w:rPr>
              <w:t>IND submitted March 2015. A Phase 2a trial in moderate to severe plaque</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Severe Atopic Dermatitis</w:t>
            </w: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3"/>
              </w:rPr>
              <w:t>psoriasis patients began in January 2016. Interim data on the first four patients</w:t>
            </w:r>
          </w:p>
        </w:tc>
      </w:tr>
      <w:tr>
        <w:trPr>
          <w:trHeight w:val="216"/>
        </w:trPr>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0"/>
              </w:rPr>
              <w:t>were positive and were reported in May 2016. Further positive data was reported</w:t>
            </w:r>
          </w:p>
        </w:tc>
      </w:tr>
      <w:tr>
        <w:trPr>
          <w:trHeight w:val="216"/>
        </w:trPr>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4"/>
              </w:rPr>
              <w:t>in September 2016. Investigator initiated IND submitted for treatment of three</w:t>
            </w:r>
          </w:p>
        </w:tc>
      </w:tr>
      <w:tr>
        <w:trPr>
          <w:trHeight w:val="216"/>
        </w:trPr>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3"/>
              </w:rPr>
              <w:t>patients with severe atopic dermatitis, with positive preliminary data presented</w:t>
            </w:r>
          </w:p>
        </w:tc>
      </w:tr>
      <w:tr>
        <w:trPr>
          <w:trHeight w:val="216"/>
        </w:trPr>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w w:val="93"/>
              </w:rPr>
              <w:t>in February 2017. Further studies are dependent on finding a suitable strategic</w:t>
            </w:r>
          </w:p>
        </w:tc>
      </w:tr>
      <w:tr>
        <w:trPr>
          <w:trHeight w:val="230"/>
        </w:trPr>
        <w:tc>
          <w:tcPr>
            <w:tcW w:w="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partner which is unlikely.</w:t>
            </w:r>
          </w:p>
        </w:tc>
      </w:tr>
      <w:tr>
        <w:trPr>
          <w:trHeight w:val="569"/>
        </w:trPr>
        <w:tc>
          <w:tcPr>
            <w:tcW w:w="3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240" w:type="dxa"/>
            <w:vAlign w:val="bottom"/>
          </w:tcPr>
          <w:p>
            <w:pPr>
              <w:ind w:left="560"/>
              <w:spacing w:after="0"/>
              <w:rPr>
                <w:sz w:val="20"/>
                <w:szCs w:val="20"/>
                <w:color w:val="auto"/>
              </w:rPr>
            </w:pPr>
            <w:r>
              <w:rPr>
                <w:rFonts w:ascii="Arial" w:cs="Arial" w:eastAsia="Arial" w:hAnsi="Arial"/>
                <w:sz w:val="14"/>
                <w:szCs w:val="14"/>
                <w:color w:val="auto"/>
              </w:rPr>
              <w:t>18</w:t>
            </w:r>
          </w:p>
        </w:tc>
      </w:tr>
      <w:tr>
        <w:trPr>
          <w:trHeight w:val="46"/>
        </w:trPr>
        <w:tc>
          <w:tcPr>
            <w:tcW w:w="32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i w:val="1"/>
          <w:iCs w:val="1"/>
          <w:color w:val="auto"/>
        </w:rPr>
        <w:t xml:space="preserve">Fibrosis. </w:t>
      </w:r>
      <w:r>
        <w:rPr>
          <w:rFonts w:ascii="Arial" w:cs="Arial" w:eastAsia="Arial" w:hAnsi="Arial"/>
          <w:sz w:val="16"/>
          <w:szCs w:val="16"/>
          <w:color w:val="auto"/>
        </w:rPr>
        <w:t>Belapectin is our lead product candidate for treatment of fibrotic disease. Our preclinical data show that belapectin has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effect on liver fibrosis as shown in several relevant animal models. In addition, in NASH animal models, belapectin has been shown to reduce liver fat, inflammation, and ballooning degeneration (death of liver cells). Therefore, we chose 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human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16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Additionally, an open label drug-drug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87" w:lineRule="exact"/>
        <w:rPr>
          <w:sz w:val="20"/>
          <w:szCs w:val="20"/>
          <w:color w:val="auto"/>
        </w:rPr>
      </w:pPr>
    </w:p>
    <w:p>
      <w:pPr>
        <w:ind w:firstLine="441"/>
        <w:spacing w:after="0" w:line="275" w:lineRule="auto"/>
        <w:rPr>
          <w:sz w:val="20"/>
          <w:szCs w:val="20"/>
          <w:color w:val="auto"/>
        </w:rPr>
      </w:pPr>
      <w:r>
        <w:rPr>
          <w:rFonts w:ascii="Arial" w:cs="Arial" w:eastAsia="Arial" w:hAnsi="Arial"/>
          <w:sz w:val="17"/>
          <w:szCs w:val="17"/>
          <w:color w:val="auto"/>
        </w:rPr>
        <w:t>Our Phase 2 program in fibrotic disease consisted of two separate human clinical trials. The primary clinical trial was the Phase 2b NASH-CX study for one year for patients with NASH with compensated cirrhosis, which began enrolling in June 2015. This study was the primary focus of our program and was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pacing w:after="0" w:line="172" w:lineRule="exact"/>
        <w:rPr>
          <w:sz w:val="20"/>
          <w:szCs w:val="20"/>
          <w:color w:val="auto"/>
        </w:rPr>
      </w:pPr>
    </w:p>
    <w:p>
      <w:pPr>
        <w:ind w:right="180" w:firstLine="441"/>
        <w:spacing w:after="0" w:line="230" w:lineRule="auto"/>
        <w:rPr>
          <w:sz w:val="20"/>
          <w:szCs w:val="20"/>
          <w:color w:val="auto"/>
        </w:rPr>
      </w:pPr>
      <w:r>
        <w:rPr>
          <w:rFonts w:ascii="Arial" w:cs="Arial" w:eastAsia="Arial" w:hAnsi="Arial"/>
          <w:sz w:val="17"/>
          <w:szCs w:val="17"/>
          <w:b w:val="1"/>
          <w:bCs w:val="1"/>
          <w:color w:val="auto"/>
        </w:rPr>
        <w:t xml:space="preserve">NASH-FX Trial: </w:t>
      </w:r>
      <w:r>
        <w:rPr>
          <w:rFonts w:ascii="Arial" w:cs="Arial" w:eastAsia="Arial" w:hAnsi="Arial"/>
          <w:sz w:val="17"/>
          <w:szCs w:val="17"/>
          <w:color w:val="auto"/>
        </w:rPr>
        <w:t>The NASH-FX trial was a Phase 2a pilot trial for patients with NASH and advanced fibrosis that explored use of three non-invasive imaging technologies. It was a short, single site, four-month trial in 30 NASH patients with advanced fibrosis (F3), but not cirrhosis (F4), randomized 1:1 to either 9 bi-weekly doses of 8 mg/kg LBM of belapectin or placebo. The trial did not meet its primary biomarker endpoint as measured using multi-parametric magnetic resonance imaging (LiverMultiScan</w:t>
      </w:r>
      <w:r>
        <w:rPr>
          <w:rFonts w:ascii="Arial" w:cs="Arial" w:eastAsia="Arial" w:hAnsi="Arial"/>
          <w:sz w:val="28"/>
          <w:szCs w:val="28"/>
          <w:color w:val="auto"/>
          <w:vertAlign w:val="superscript"/>
        </w:rPr>
        <w:t>(R)</w:t>
      </w:r>
      <w:r>
        <w:rPr>
          <w:rFonts w:ascii="Arial" w:cs="Arial" w:eastAsia="Arial" w:hAnsi="Arial"/>
          <w:sz w:val="17"/>
          <w:szCs w:val="17"/>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score. We, and many experts in the field, now believe that a four-month treatment period was not sufficient to show efficacy results in established advanced liver fibrosis. This small study was also not adequately powered for the secondary endpoints. In the trial, belapectin was found to be safe and well tolerated with no serious adverse events and evidence of a pharmacodynamic effect. These results provided support for further development in NASH.</w:t>
      </w:r>
    </w:p>
    <w:p>
      <w:pPr>
        <w:spacing w:after="0" w:line="203" w:lineRule="exact"/>
        <w:rPr>
          <w:sz w:val="20"/>
          <w:szCs w:val="20"/>
          <w:color w:val="auto"/>
        </w:rPr>
      </w:pPr>
    </w:p>
    <w:p>
      <w:pPr>
        <w:ind w:firstLine="441"/>
        <w:spacing w:after="0" w:line="268" w:lineRule="auto"/>
        <w:rPr>
          <w:sz w:val="20"/>
          <w:szCs w:val="20"/>
          <w:color w:val="auto"/>
        </w:rPr>
      </w:pPr>
      <w:r>
        <w:rPr>
          <w:rFonts w:ascii="Arial" w:cs="Arial" w:eastAsia="Arial" w:hAnsi="Arial"/>
          <w:sz w:val="16"/>
          <w:szCs w:val="16"/>
          <w:b w:val="1"/>
          <w:bCs w:val="1"/>
          <w:color w:val="auto"/>
        </w:rPr>
        <w:t xml:space="preserve">NASH-CX Trial: </w:t>
      </w:r>
      <w:r>
        <w:rPr>
          <w:rFonts w:ascii="Arial" w:cs="Arial" w:eastAsia="Arial" w:hAnsi="Arial"/>
          <w:sz w:val="16"/>
          <w:szCs w:val="16"/>
          <w:color w:val="auto"/>
        </w:rPr>
        <w:t>The NASH-CX trial was a larger multi-center clinical trial that explored the use of belapectin for the treatment of liver fibrosis and</w:t>
      </w:r>
      <w:r>
        <w:rPr>
          <w:rFonts w:ascii="Arial" w:cs="Arial" w:eastAsia="Arial" w:hAnsi="Arial"/>
          <w:sz w:val="16"/>
          <w:szCs w:val="16"/>
          <w:b w:val="1"/>
          <w:bCs w:val="1"/>
          <w:color w:val="auto"/>
        </w:rPr>
        <w:t xml:space="preserve"> </w:t>
      </w:r>
      <w:r>
        <w:rPr>
          <w:rFonts w:ascii="Arial" w:cs="Arial" w:eastAsia="Arial" w:hAnsi="Arial"/>
          <w:sz w:val="16"/>
          <w:szCs w:val="16"/>
          <w:color w:val="auto"/>
        </w:rPr>
        <w:t>resultant portal hypertension in patients with well-compensated NASH cirrhosis. Enrollment in this trial was completed in September 2016, and a total of 162 patients at 36 sites in the United States were randomized to receive either 2 mg/kg LBM of belapectin, 8 mg/kg LBM of belapectin or placebo, with 54 patients in each group. Approximately 50% of patients at baseline had esophageal varices (a complication of portal hypertension). The primary endpoint was a reduction in hepatic venous pressure gradient (HVPG). Patients received an infusion of belapectin or placebo every other week for one year, a total of 26 infusions, and were evaluated to determine the change in HVPG as compared with placebo. Secondary or exploratory endpoints included fibrosis on liver biopsy, measurement of liver stiffness (FibroScan</w:t>
      </w:r>
      <w:r>
        <w:rPr>
          <w:rFonts w:ascii="Arial" w:cs="Arial" w:eastAsia="Arial" w:hAnsi="Arial"/>
          <w:sz w:val="26"/>
          <w:szCs w:val="26"/>
          <w:color w:val="auto"/>
          <w:vertAlign w:val="superscript"/>
        </w:rPr>
        <w:t>(R)</w:t>
      </w:r>
      <w:r>
        <w:rPr>
          <w:rFonts w:ascii="Arial" w:cs="Arial" w:eastAsia="Arial" w:hAnsi="Arial"/>
          <w:sz w:val="16"/>
          <w:szCs w:val="16"/>
          <w:color w:val="auto"/>
        </w:rPr>
        <w:t>) and assessment of liver metabolism (</w:t>
      </w:r>
      <w:r>
        <w:rPr>
          <w:rFonts w:ascii="Arial" w:cs="Arial" w:eastAsia="Arial" w:hAnsi="Arial"/>
          <w:sz w:val="26"/>
          <w:szCs w:val="26"/>
          <w:color w:val="auto"/>
          <w:vertAlign w:val="superscript"/>
        </w:rPr>
        <w:t>13</w:t>
      </w:r>
      <w:r>
        <w:rPr>
          <w:rFonts w:ascii="Arial" w:cs="Arial" w:eastAsia="Arial" w:hAnsi="Arial"/>
          <w:sz w:val="16"/>
          <w:szCs w:val="16"/>
          <w:color w:val="auto"/>
        </w:rPr>
        <w:t>C-methacetin breath test, Exalenz). Top line data readout was reported in December 2017. The study demonstrated a favorable safety profile and clinically meaningful efficacy results in patients without esophageal varices at baseline demonstrated by a prevention of development of varices when compared to placebo.</w:t>
      </w:r>
    </w:p>
    <w:p>
      <w:pPr>
        <w:spacing w:after="0" w:line="187"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84" w:lineRule="exact"/>
        <w:rPr>
          <w:sz w:val="20"/>
          <w:szCs w:val="20"/>
          <w:color w:val="auto"/>
        </w:rPr>
      </w:pPr>
    </w:p>
    <w:p>
      <w:pPr>
        <w:ind w:right="40" w:firstLine="441"/>
        <w:spacing w:after="0" w:line="263" w:lineRule="auto"/>
        <w:rPr>
          <w:sz w:val="20"/>
          <w:szCs w:val="20"/>
          <w:color w:val="auto"/>
        </w:rPr>
      </w:pPr>
      <w:r>
        <w:rPr>
          <w:rFonts w:ascii="Arial" w:cs="Arial" w:eastAsia="Arial" w:hAnsi="Arial"/>
          <w:sz w:val="18"/>
          <w:szCs w:val="18"/>
          <w:color w:val="auto"/>
        </w:rPr>
        <w:t>In those NASH cirrhosis patients without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84"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Also because of the clinical relevance of this population, a responder analysis was performed on those patients without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87" w:lineRule="exact"/>
        <w:rPr>
          <w:sz w:val="20"/>
          <w:szCs w:val="20"/>
          <w:color w:val="auto"/>
        </w:rPr>
      </w:pPr>
    </w:p>
    <w:p>
      <w:pPr>
        <w:ind w:right="300" w:firstLine="441"/>
        <w:spacing w:after="0" w:line="259" w:lineRule="auto"/>
        <w:rPr>
          <w:sz w:val="20"/>
          <w:szCs w:val="20"/>
          <w:color w:val="auto"/>
        </w:rPr>
      </w:pPr>
      <w:r>
        <w:rPr>
          <w:rFonts w:ascii="Arial" w:cs="Arial" w:eastAsia="Arial" w:hAnsi="Arial"/>
          <w:sz w:val="18"/>
          <w:szCs w:val="18"/>
          <w:color w:val="auto"/>
        </w:rPr>
        <w:t>Over the 54-week treatment period, in patients without varices there were statistically significantly fewer new varices that developed in the belapectin treatment groups (0% and 4% in the 2 mg/kg LBM and the 8 mg/kg LBM, respectively) vs placebo (18%). As esophageal varices can lead to hemorrhagic complication, which can be fatal, we believe the prevention of esophageal varices may represent a clinically relevant measure of clinical efficacy in patients with NASH cirrhosis.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0" w:firstLine="441"/>
        <w:spacing w:after="0" w:line="253" w:lineRule="auto"/>
        <w:rPr>
          <w:sz w:val="20"/>
          <w:szCs w:val="20"/>
          <w:color w:val="auto"/>
        </w:rPr>
      </w:pPr>
      <w:r>
        <w:rPr>
          <w:rFonts w:ascii="Arial" w:cs="Arial" w:eastAsia="Arial" w:hAnsi="Arial"/>
          <w:sz w:val="18"/>
          <w:szCs w:val="18"/>
          <w:color w:val="auto"/>
        </w:rPr>
        <w:t>The major conclusions from the NASH-CX trial results were that: i) belapectin had a statistically significant and clinically meaningful effect in improving HVPG vs placebo in patients with NASH cirrhosis who did not have esophageal varices at baseline. This effect was seen regardless of the patient’s baseline portal hypertension. ii) There was an important drug effect of belapectin in the total patient population on liver biopsy with a statistically significant improvement in hepatocyte ballooning (ie cell death), (iii) There was a statistically significant reduction (p=0.02) in the development of new esophageal varices in drug-treated patients compared to placebo. We believe that this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We believe this is the first large, randomized clinical trial to demonstrate a clinically meaningful improvement in portal hypertension or liver biopsy in patients with compensated NASH cirrhosis who have not yet developed esophageal varices.</w:t>
      </w:r>
    </w:p>
    <w:p>
      <w:pPr>
        <w:spacing w:after="0" w:line="194"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Further information and details on the NASH-CX results summarized above is available in public presentations posted to our website and filed with the SEC and in a peer reviewed publication in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(Gastroenterology 2020;158:1334–1345).</w:t>
      </w:r>
    </w:p>
    <w:p>
      <w:pPr>
        <w:spacing w:after="0" w:line="166"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b w:val="1"/>
          <w:bCs w:val="1"/>
          <w:color w:val="auto"/>
        </w:rPr>
        <w:t xml:space="preserve">NASH NAVIGATE Trial: </w:t>
      </w:r>
      <w:r>
        <w:rPr>
          <w:rFonts w:ascii="Arial" w:cs="Arial" w:eastAsia="Arial" w:hAnsi="Arial"/>
          <w:sz w:val="17"/>
          <w:szCs w:val="17"/>
          <w:color w:val="auto"/>
        </w:rPr>
        <w:t>Building on the experience of the NASH-CX trial, the NAVIGATE Trial is a seamless adaptively-designed Phase 2b/3</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study evaluating the safety and efficacy of our galectin-3 inhibitor, belapectin (GR-MD-02), for the prevention of esophageal varices in patient with non-alcoholic steatohepatitis (NASH) cirrhosis. The major features of this innovative Phase 2b/3 study design are: i) In patients with NASH cirrhosis and clinical signs of portal hypertension but without esophageal varices at baseline, this trial will assess the effect of belapectin on the incidence of new varices (the primary endpoint) – as well as assessing effect on the incidence of long-term, clinically significant cirrhosis-related outcomes (a key secondary efficacy endpoint), (ii) The study targets NASH patients with a clearly identified unmet medical need: patients with compensated cirrhosis who are at risk of developing esophageal varices, a potentially life-threatening complication of cirrhosis (bleeding varices are a cause of death in about one-third of cirrhotic patients). There is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 Then, at the interim analysis (IA), one belapectin dose will be selected based on efficacy and safety, for continued evaluation (Phase 3). The belapectin dose selected for the phase 2b/3 are based on the analysis of the NASH-CX trial, including a dose response pharmacokinetic analysis of the hepatic venous gradient pressure (HVPG, a reflection of portal hypertension). Prior belapectin clinical studies have also indicated the good tolerance and safety profile of belapectin with doses of up to 8 mg/kg LBM for 52 weeks (Phase 2b Study NASH-CX), an important feature of the future risk benefit analysis in patients with NASH cirrhosis.</w:t>
      </w:r>
    </w:p>
    <w:p>
      <w:pPr>
        <w:spacing w:after="0" w:line="186"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The study design provides for a pre-specified interim analysis (IA). The IA of efficacy and safety data will be conducted after all planned subjects in Phase 2b component have completed at least 78 weeks (18 months) of treatment and an esophago-gastro-duodeno endoscopic assessment. The purpose of the IA is to allow potential seamless adaptive modifications of the study, including: (1) the selection of the optimal dose of belapectin for Phase 3, (2) the re-estimation of the study sample size for the Phase 3 portion of the trial, (3) the re-evaluation of the randomization ratio for the Phase 3 portion of the trial,</w:t>
      </w:r>
    </w:p>
    <w:p>
      <w:pPr>
        <w:spacing w:after="0" w:line="1" w:lineRule="exact"/>
        <w:rPr>
          <w:sz w:val="20"/>
          <w:szCs w:val="20"/>
          <w:color w:val="auto"/>
        </w:rPr>
      </w:pPr>
    </w:p>
    <w:p>
      <w:pPr>
        <w:ind w:right="240" w:firstLine="8"/>
        <w:spacing w:after="0" w:line="260"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refinement of the inclusion and exclusion criteria for the Phase 3 portion of the trial, including the cirrhosis status and, (5) possible termination of the study for overwhelming efficacy or for futility.</w:t>
      </w:r>
    </w:p>
    <w:p>
      <w:pPr>
        <w:spacing w:after="0" w:line="185" w:lineRule="exact"/>
        <w:rPr>
          <w:sz w:val="20"/>
          <w:szCs w:val="20"/>
          <w:color w:val="auto"/>
        </w:rPr>
      </w:pPr>
    </w:p>
    <w:p>
      <w:pPr>
        <w:jc w:val="both"/>
        <w:ind w:right="220" w:firstLine="441"/>
        <w:spacing w:after="0" w:line="254" w:lineRule="auto"/>
        <w:rPr>
          <w:sz w:val="20"/>
          <w:szCs w:val="20"/>
          <w:color w:val="auto"/>
        </w:rPr>
      </w:pPr>
      <w:r>
        <w:rPr>
          <w:rFonts w:ascii="Arial" w:cs="Arial" w:eastAsia="Arial" w:hAnsi="Arial"/>
          <w:sz w:val="18"/>
          <w:szCs w:val="18"/>
          <w:color w:val="auto"/>
        </w:rPr>
        <w:t>The trial design also includes a blinded sample size re-estimation (“SSR”) during the Phase 2b, prior to the IA, to allow for potential sample size readjustment. The SSR will be conducted when 50% of the patients have completed 18 months of therapy. This will allow us to confirm the underlying assumption regarding the rate of varices development, currently estimated from our prior Phase 2b trial (NASH-CX). The study design also minimizes invasive testing requirements, such as the measurement of HVPG or repeated liver biopsies, which we believe will facilitate enrollment and retention of patients. It also provides for a seamless transition of patients from the Phase 2b component into the phase 3 stage, including the potential addition of new patients. The trial design preserves the surrogate end-point concepts (development of new varices versus variceal hemorrhage) previously discussed with FDA.</w:t>
      </w:r>
    </w:p>
    <w:p>
      <w:pPr>
        <w:spacing w:after="0" w:line="195" w:lineRule="exact"/>
        <w:rPr>
          <w:sz w:val="20"/>
          <w:szCs w:val="20"/>
          <w:color w:val="auto"/>
        </w:rPr>
      </w:pPr>
    </w:p>
    <w:p>
      <w:pPr>
        <w:ind w:right="100" w:firstLine="441"/>
        <w:spacing w:after="0" w:line="311" w:lineRule="auto"/>
        <w:rPr>
          <w:sz w:val="20"/>
          <w:szCs w:val="20"/>
          <w:color w:val="auto"/>
        </w:rPr>
      </w:pPr>
      <w:r>
        <w:rPr>
          <w:rFonts w:ascii="Arial" w:cs="Arial" w:eastAsia="Arial" w:hAnsi="Arial"/>
          <w:sz w:val="16"/>
          <w:szCs w:val="16"/>
          <w:color w:val="auto"/>
        </w:rPr>
        <w:t>We believe that these adaptations taken together are innovative and optimize conduct of the NAVIGATE trial with a clinically relevant primary outcome giving belapectin the best opportunity to show a positive therapeutic effect to address an unmet medical need. If the IA results of the NAVIGATE trial are compelling, there could be the potential for accelerated FDA approval and/or partnership opportunity with a pharmaceutical company.</w:t>
      </w:r>
    </w:p>
    <w:p>
      <w:pPr>
        <w:spacing w:after="0" w:line="149"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In the Phase 3 component of this trial, as proposed in the protocol, the primary endpoint remain the development of varices.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will be based on clinical signs of portal hypertension, including, a low platelet count, an increased spleen size and/or evidence of collaterals circulation.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focus and goal of the therapeutic program is to stop the progression of and/or reverse portal hypertension and thereby prevent the development of varices, potentially one of the most immediately life-threatening complication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w:t>
      </w:r>
    </w:p>
    <w:p>
      <w:pPr>
        <w:spacing w:after="0" w:line="187"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The COVID-19 pandemic has delayed and may continue to delay our recruitment of sites and enrollment of patients for our Phase 2b/3 NAVIGATE trial. While there has been a large decline in cases and hospitalizations in the United States because of vaccinations, the decline in the rate of vaccinations and the emergence of variants has extended the pandemic within the United States and has caused continued concern particularly in medical and hospital settings. While many cities in the United States and Europe had loosened restrictions, many of those restrictions are being re-imposed. In some countries, shutdown orders have also affected the regulatory process to authorize study starts. Governments and medical facilities continue to focus their resources for battling the COVID-19 pandemic. For several reasons, the pandemic makes enrolling patients for the NAVIGATE trial more challenging, including because patients eligible for the NAVIGATE trial have liver cirrhosis and, as such, are at a greater health risk of complications from COVID-19. Even with vaccinations being more readily available, we continue to be impacted by COVID-19. We have experienced increases in the rate of enrollment in the United States but not in Europe, Latin America, and South Korea. We believe that as more people get vaccinated for COVID-19 in the United States and in other countries, site recruitment and patient enrollment will accelerate. At this time, we estimate that enrollment completion will occur around June 30, 2022.</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identified more than 130 clinical trial sites in 11 countries for the NAVIGATE trial.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Further details on the NAVIGATE trial can be found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xml:space="preserve"> under study NCT04365868.</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The Company also has commenced a Hepatic Impairment Study, which will run in parallel with the phase 2b/3 trial as part of the development program. The Hepatic Impairment Study is being conducted at three sites and will involve approximately 40 patients (divided amongst normal healthy volunteers, and patients with hepatic impairment categorized as Child-Turcotte-Pugh (CTP) classes A (mild), B (moderate), and C (severe)). Each subject will receive a single infusion of belapectin (4 mg/kg LBM) and their serum belapectin levels will be monitored for up to approximately two weeks to define the effects of various stages of cirrhosis on serum belapectin levels. The tolerance and safety of belapectin will be evaluated. Based on the results from this hepatic impairment study, the Company may consider including patients with more advanced cirrhosis in the Phase 3 portion of its NAVIGATE trial. Until dosing and safety profile is further informed in CTP Class B and/or Class C patients, the NAVIGATE trial will enroll only CTP Class A patients. Further details on this hepatic impairment study can be found on </w:t>
      </w:r>
      <w:r>
        <w:rPr>
          <w:rFonts w:ascii="Arial" w:cs="Arial" w:eastAsia="Arial" w:hAnsi="Arial"/>
          <w:sz w:val="17"/>
          <w:szCs w:val="17"/>
          <w:u w:val="single" w:color="auto"/>
          <w:color w:val="auto"/>
        </w:rPr>
        <w:t>www.clinicaltrials.gov</w:t>
      </w:r>
      <w:r>
        <w:rPr>
          <w:rFonts w:ascii="Arial" w:cs="Arial" w:eastAsia="Arial" w:hAnsi="Arial"/>
          <w:sz w:val="17"/>
          <w:szCs w:val="17"/>
          <w:color w:val="auto"/>
        </w:rPr>
        <w:t xml:space="preserve"> study NCT04332432.</w:t>
      </w:r>
    </w:p>
    <w:p>
      <w:pPr>
        <w:spacing w:after="0" w:line="178" w:lineRule="exact"/>
        <w:rPr>
          <w:sz w:val="20"/>
          <w:szCs w:val="20"/>
          <w:color w:val="auto"/>
        </w:rPr>
      </w:pPr>
    </w:p>
    <w:p>
      <w:pPr>
        <w:ind w:right="120" w:firstLine="441"/>
        <w:spacing w:after="0" w:line="254"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burgeoning area of cancer immunotherapy. For</w:t>
      </w:r>
      <w:r>
        <w:rPr>
          <w:rFonts w:ascii="Arial" w:cs="Arial" w:eastAsia="Arial" w:hAnsi="Arial"/>
          <w:sz w:val="17"/>
          <w:szCs w:val="17"/>
          <w:i w:val="1"/>
          <w:iCs w:val="1"/>
          <w:color w:val="auto"/>
        </w:rPr>
        <w:t xml:space="preserve"> </w:t>
      </w:r>
      <w:r>
        <w:rPr>
          <w:rFonts w:ascii="Arial" w:cs="Arial" w:eastAsia="Arial" w:hAnsi="Arial"/>
          <w:sz w:val="17"/>
          <w:szCs w:val="17"/>
          <w:color w:val="auto"/>
        </w:rPr>
        <w:t>example, there have been several recent approvals of drugs that enhance a patient’s immune system to fight cancer. It is our goal to use a galectin inhibitor to further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studies of belapectin in combination with Yervoy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82" w:lineRule="exact"/>
        <w:rPr>
          <w:sz w:val="20"/>
          <w:szCs w:val="20"/>
          <w:color w:val="auto"/>
        </w:rPr>
      </w:pPr>
    </w:p>
    <w:p>
      <w:pPr>
        <w:ind w:right="20" w:firstLine="441"/>
        <w:spacing w:after="0" w:line="257" w:lineRule="auto"/>
        <w:rPr>
          <w:sz w:val="20"/>
          <w:szCs w:val="20"/>
          <w:color w:val="auto"/>
        </w:rPr>
      </w:pPr>
      <w:r>
        <w:rPr>
          <w:rFonts w:ascii="Arial" w:cs="Arial" w:eastAsia="Arial" w:hAnsi="Arial"/>
          <w:sz w:val="17"/>
          <w:szCs w:val="17"/>
          <w:color w:val="auto"/>
        </w:rPr>
        <w:t>Promising results were reported in the Phase 1b trial combining belapectin with pembrolizumab (KEYTRUDA</w:t>
      </w:r>
      <w:r>
        <w:rPr>
          <w:rFonts w:ascii="Arial" w:cs="Arial" w:eastAsia="Arial" w:hAnsi="Arial"/>
          <w:sz w:val="28"/>
          <w:szCs w:val="28"/>
          <w:color w:val="auto"/>
          <w:vertAlign w:val="superscript"/>
        </w:rPr>
        <w:t>®</w:t>
      </w:r>
      <w:r>
        <w:rPr>
          <w:rFonts w:ascii="Arial" w:cs="Arial" w:eastAsia="Arial" w:hAnsi="Arial"/>
          <w:sz w:val="17"/>
          <w:szCs w:val="17"/>
          <w:color w:val="auto"/>
        </w:rPr>
        <w:t>). Cohort 1 was completed (n=6, 5 with melanoma, one with head and neck cancer) with one partial response and one mixed response in the melanoma patients. There was a rapid and marked tumor response after 3 doses of combined belapectin and pembrolizumab in the one partial response patient who had failed high-dose IL-2 and oncolytic virus + ipilimumab. The study is ongoing and progression to further development will be based on response rate as compared to historical response rates to pembrolizumab alone. In September 2018 we announced additional preliminary clinical data from cohort 3 of this investigator-initiated trial. When aggregated with cohorts previously reported, the data shows a 50% objective response rate in advanced melanoma with belapectin in combination with KEYTRUDA, and a significant decrease in the frequency of suppressive myeloid-derived suppressor cells following treatment in the responding patients (on day 85 post-treatment). Fourteen advanced melanoma patients across three dose cohorts now have Objective Response Rate (ORR) and Disease Control Rate (DCR) data. Six patients completed in cohort 3 (8 mg/kg LBM) have now been added to the three patients completed in cohort 2 (4 mg/kg LBM) and five patients completed in cohort 1 (2 mg/kg LBM). Cohorts 1 and 3 each had two patients with an objective response. All three patients in cohort 2 had an objective response. In addition to the fourteen advanced melanoma patients, six patients with head and neck cancer were enrolled in this trial with a 33% ORR and 67% DCR. These data, taken together with the observed favorable safety and tolerability of the combination, in the view of the principal investigator, provide compelling rationale to move forward. Given that all three melanoma patients were responders at the 4 mg/kg dose, the investigators continued the trial with the expansion of the 4 mg/Kg cohort to include additional advanced melanoma patients and additional head and neck cancer patients.</w:t>
      </w:r>
    </w:p>
    <w:p>
      <w:pPr>
        <w:sectPr>
          <w:pgSz w:w="11900" w:h="16838" w:orient="portrait"/>
          <w:cols w:equalWidth="0" w:num="1">
            <w:col w:w="11240"/>
          </w:cols>
          <w:pgMar w:left="320" w:top="121" w:right="33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The expansion cohort enrolled nine melanoma patients and five head and neck squamous cell carcinoma cancer patients. Compared to the initial phase 1b patients, reported earlier, the cohort in this extension study was heavily pretreated with systemic therapy, including chemotherapy, immunotherapy with checkpoint inhibitors and cytokines, melanoma mutation-directed therapies (BRAF inhibitors and MEK inhibitors), as well as surgery and radiation therapies (external and radio-labeled). Patients also had a high burden of metastasis, with the lungs, soft tissues, and the liver being the most frequently involved organs. Four of the nine melanoma patients had a choroidal (ocular) tumor as a primary site of their cancer and had also developed liver metastasis. The treatment consisted of Belapectin 4 mg/Kg of lean body mass administered every three weeks by infusion, after the infusion of pembrolizumab. Pembrolizumab was administered according to its label. Patients’ response was evaluated at day 85, according to the Response Evaluation Criteria in Solid Tumors (RECIST) criteria. The median number of treatment cycles was four (range 3-15) for melanoma patients and five (range 4-8) for head and neck cancer patients. Melanoma patient results included one partial response, four stable disease, and four progressive disease, providing a disease control rate of 56% (five out of nine patients). Head and neck cancer patients observed included two stable disease and three progressive disease, providing a disease control rate of 40% (two out of five patients). The combination of Belapectin and pembrolizumab was well tolerated and appeared safe. The most frequent adverse event related to pembrolizumab, in six patients, was grade 1 (mild) pruritus (itching), a known and labeled side-effect of pembrolizumab. The second most frequent adverse event related to pembrolizumab was grade 2 fatigue in three patients. All other adverse events were mild (grade 1). There were no grade 3 or above adverse events. Similar to the initial phase 1 study results, the frequency and severity of toxicities related to pembrolizumab, notably immune-mediated adverse events, was less than anticipated. No adverse event was deemed related to belapectin.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Discussions are ongoing about the planning and feasibility of a multicenter Phase 2 study.</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2021 Compared to Three and Nine Months Ended September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5"/>
          </w:tcPr>
          <w:p>
            <w:pPr>
              <w:ind w:left="10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2040" w:type="dxa"/>
            <w:vAlign w:val="bottom"/>
            <w:gridSpan w:val="5"/>
          </w:tcPr>
          <w:p>
            <w:pPr>
              <w:ind w:left="100"/>
              <w:spacing w:after="0"/>
              <w:rPr>
                <w:sz w:val="20"/>
                <w:szCs w:val="20"/>
                <w:color w:val="auto"/>
              </w:rPr>
            </w:pPr>
            <w:r>
              <w:rPr>
                <w:rFonts w:ascii="Arial" w:cs="Arial" w:eastAsia="Arial" w:hAnsi="Arial"/>
                <w:sz w:val="18"/>
                <w:szCs w:val="18"/>
                <w:color w:val="auto"/>
              </w:rPr>
              <w:t>Nine Months Ended</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60"/>
              <w:spacing w:after="0"/>
              <w:rPr>
                <w:sz w:val="20"/>
                <w:szCs w:val="20"/>
                <w:color w:val="auto"/>
              </w:rPr>
            </w:pPr>
            <w:r>
              <w:rPr>
                <w:rFonts w:ascii="Arial" w:cs="Arial" w:eastAsia="Arial" w:hAnsi="Arial"/>
                <w:sz w:val="18"/>
                <w:szCs w:val="18"/>
                <w:color w:val="auto"/>
                <w:w w:val="99"/>
              </w:rPr>
              <w:t>2021 as Compared to 2020</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4"/>
          </w:tcPr>
          <w:p>
            <w:pPr>
              <w:ind w:left="340"/>
              <w:spacing w:after="0"/>
              <w:rPr>
                <w:sz w:val="20"/>
                <w:szCs w:val="20"/>
                <w:color w:val="auto"/>
              </w:rPr>
            </w:pPr>
            <w:r>
              <w:rPr>
                <w:rFonts w:ascii="Arial" w:cs="Arial" w:eastAsia="Arial" w:hAnsi="Arial"/>
                <w:sz w:val="18"/>
                <w:szCs w:val="18"/>
                <w:color w:val="auto"/>
              </w:rPr>
              <w:t>September 30,</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4"/>
          </w:tcPr>
          <w:p>
            <w:pPr>
              <w:ind w:left="300"/>
              <w:spacing w:after="0"/>
              <w:rPr>
                <w:sz w:val="20"/>
                <w:szCs w:val="20"/>
                <w:color w:val="auto"/>
              </w:rPr>
            </w:pPr>
            <w:r>
              <w:rPr>
                <w:rFonts w:ascii="Arial" w:cs="Arial" w:eastAsia="Arial" w:hAnsi="Arial"/>
                <w:sz w:val="18"/>
                <w:szCs w:val="18"/>
                <w:color w:val="auto"/>
              </w:rPr>
              <w:t>September 30,</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color w:val="auto"/>
              </w:rPr>
              <w:t>Three Months</w:t>
            </w:r>
          </w:p>
        </w:tc>
        <w:tc>
          <w:tcPr>
            <w:tcW w:w="1900" w:type="dxa"/>
            <w:vAlign w:val="bottom"/>
            <w:tcBorders>
              <w:top w:val="single" w:sz="8" w:color="auto"/>
            </w:tcBorders>
            <w:gridSpan w:val="3"/>
          </w:tcPr>
          <w:p>
            <w:pPr>
              <w:ind w:left="420"/>
              <w:spacing w:after="0"/>
              <w:rPr>
                <w:sz w:val="20"/>
                <w:szCs w:val="20"/>
                <w:color w:val="auto"/>
              </w:rPr>
            </w:pPr>
            <w:r>
              <w:rPr>
                <w:rFonts w:ascii="Arial" w:cs="Arial" w:eastAsia="Arial" w:hAnsi="Arial"/>
                <w:sz w:val="18"/>
                <w:szCs w:val="18"/>
                <w:color w:val="auto"/>
              </w:rPr>
              <w:t>Nine Months</w:t>
            </w:r>
          </w:p>
        </w:tc>
        <w:tc>
          <w:tcPr>
            <w:tcW w:w="160" w:type="dxa"/>
            <w:vAlign w:val="bottom"/>
          </w:tcPr>
          <w:p>
            <w:pPr>
              <w:spacing w:after="0"/>
              <w:rPr>
                <w:sz w:val="19"/>
                <w:szCs w:val="19"/>
                <w:color w:val="auto"/>
              </w:rPr>
            </w:pPr>
          </w:p>
        </w:tc>
      </w:tr>
      <w:tr>
        <w:trPr>
          <w:trHeight w:val="223"/>
        </w:trPr>
        <w:tc>
          <w:tcPr>
            <w:tcW w:w="2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7"/>
              </w:rPr>
              <w:t>$ Change</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2"/>
              </w:rPr>
              <w:t>% Change</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 Change</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5"/>
              </w:rPr>
              <w:t>% Change</w:t>
            </w:r>
          </w:p>
        </w:tc>
        <w:tc>
          <w:tcPr>
            <w:tcW w:w="160" w:type="dxa"/>
            <w:vAlign w:val="bottom"/>
          </w:tcPr>
          <w:p>
            <w:pPr>
              <w:spacing w:after="0"/>
              <w:rPr>
                <w:sz w:val="19"/>
                <w:szCs w:val="19"/>
                <w:color w:val="auto"/>
              </w:rPr>
            </w:pP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ind w:left="20"/>
              <w:spacing w:after="0"/>
              <w:rPr>
                <w:sz w:val="20"/>
                <w:szCs w:val="20"/>
                <w:color w:val="auto"/>
              </w:rPr>
            </w:pPr>
            <w:r>
              <w:rPr>
                <w:rFonts w:ascii="Arial" w:cs="Arial" w:eastAsia="Arial" w:hAnsi="Arial"/>
                <w:sz w:val="18"/>
                <w:szCs w:val="18"/>
                <w:color w:val="auto"/>
              </w:rPr>
              <w:t>(In thousands, except %)</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6,613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1,833</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bl>
    <w:p>
      <w:pPr>
        <w:spacing w:after="0" w:line="202" w:lineRule="exact"/>
        <w:rPr>
          <w:sz w:val="20"/>
          <w:szCs w:val="20"/>
          <w:color w:val="auto"/>
        </w:rPr>
      </w:pPr>
    </w:p>
    <w:p>
      <w:pPr>
        <w:ind w:right="120" w:firstLine="441"/>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Our research and development expenses were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2160" w:type="dxa"/>
            <w:vAlign w:val="bottom"/>
            <w:gridSpan w:val="5"/>
          </w:tcPr>
          <w:p>
            <w:pPr>
              <w:jc w:val="center"/>
              <w:ind w:right="48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color w:val="auto"/>
              </w:rPr>
              <w:t>September 30,</w:t>
            </w:r>
          </w:p>
        </w:tc>
        <w:tc>
          <w:tcPr>
            <w:tcW w:w="380" w:type="dxa"/>
            <w:vAlign w:val="bottom"/>
          </w:tcPr>
          <w:p>
            <w:pPr>
              <w:spacing w:after="0"/>
              <w:rPr>
                <w:sz w:val="20"/>
                <w:szCs w:val="20"/>
                <w:color w:val="auto"/>
              </w:rPr>
            </w:pPr>
          </w:p>
        </w:tc>
        <w:tc>
          <w:tcPr>
            <w:tcW w:w="2160" w:type="dxa"/>
            <w:vAlign w:val="bottom"/>
            <w:gridSpan w:val="5"/>
          </w:tcPr>
          <w:p>
            <w:pPr>
              <w:jc w:val="center"/>
              <w:ind w:right="48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Direct external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Clinical programs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5,768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8,566</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Pre-clinical activities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research and development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6,613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4,780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17,962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11,605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Clinical programs expenses increased primarily due to costs related to our NAVIGATE trial during the three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right="80" w:firstLine="441"/>
        <w:spacing w:after="0" w:line="253" w:lineRule="auto"/>
        <w:rPr>
          <w:sz w:val="20"/>
          <w:szCs w:val="20"/>
          <w:color w:val="auto"/>
        </w:rPr>
      </w:pPr>
      <w:r>
        <w:rPr>
          <w:rFonts w:ascii="Arial" w:cs="Arial" w:eastAsia="Arial" w:hAnsi="Arial"/>
          <w:sz w:val="18"/>
          <w:szCs w:val="18"/>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color w:val="auto"/>
                <w:w w:val="99"/>
              </w:rPr>
              <w:t>2021 as Compared to 2020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5"/>
          </w:tcPr>
          <w:p>
            <w:pPr>
              <w:ind w:left="320"/>
              <w:spacing w:after="0" w:line="201" w:lineRule="exact"/>
              <w:rPr>
                <w:sz w:val="20"/>
                <w:szCs w:val="20"/>
                <w:color w:val="auto"/>
              </w:rPr>
            </w:pPr>
            <w:r>
              <w:rPr>
                <w:rFonts w:ascii="Arial" w:cs="Arial" w:eastAsia="Arial" w:hAnsi="Arial"/>
                <w:sz w:val="18"/>
                <w:szCs w:val="18"/>
                <w:color w:val="auto"/>
              </w:rPr>
              <w:t>Three Months</w:t>
            </w:r>
          </w:p>
        </w:tc>
        <w:tc>
          <w:tcPr>
            <w:tcW w:w="180" w:type="dxa"/>
            <w:vAlign w:val="bottom"/>
          </w:tcPr>
          <w:p>
            <w:pPr>
              <w:spacing w:after="0"/>
              <w:rPr>
                <w:sz w:val="17"/>
                <w:szCs w:val="17"/>
                <w:color w:val="auto"/>
              </w:rPr>
            </w:pPr>
          </w:p>
        </w:tc>
        <w:tc>
          <w:tcPr>
            <w:tcW w:w="2040" w:type="dxa"/>
            <w:vAlign w:val="bottom"/>
            <w:gridSpan w:val="5"/>
          </w:tcPr>
          <w:p>
            <w:pPr>
              <w:jc w:val="center"/>
              <w:ind w:right="420"/>
              <w:spacing w:after="0" w:line="201" w:lineRule="exact"/>
              <w:rPr>
                <w:sz w:val="20"/>
                <w:szCs w:val="20"/>
                <w:color w:val="auto"/>
              </w:rPr>
            </w:pPr>
            <w:r>
              <w:rPr>
                <w:rFonts w:ascii="Arial" w:cs="Arial" w:eastAsia="Arial" w:hAnsi="Arial"/>
                <w:sz w:val="18"/>
                <w:szCs w:val="18"/>
                <w:color w:val="auto"/>
                <w:w w:val="92"/>
              </w:rPr>
              <w:t>Nine Months</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w w:val="95"/>
              </w:rPr>
              <w:t>Ended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5"/>
          </w:tcPr>
          <w:p>
            <w:pPr>
              <w:ind w:left="30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0"/>
                <w:szCs w:val="20"/>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20"/>
                <w:szCs w:val="20"/>
                <w:color w:val="auto"/>
              </w:rPr>
            </w:pPr>
          </w:p>
        </w:tc>
        <w:tc>
          <w:tcPr>
            <w:tcW w:w="2280" w:type="dxa"/>
            <w:vAlign w:val="bottom"/>
            <w:gridSpan w:val="5"/>
          </w:tcPr>
          <w:p>
            <w:pPr>
              <w:jc w:val="right"/>
              <w:ind w:right="860"/>
              <w:spacing w:after="0"/>
              <w:rPr>
                <w:sz w:val="20"/>
                <w:szCs w:val="20"/>
                <w:color w:val="auto"/>
              </w:rPr>
            </w:pPr>
            <w:r>
              <w:rPr>
                <w:rFonts w:ascii="Arial" w:cs="Arial" w:eastAsia="Arial" w:hAnsi="Arial"/>
                <w:sz w:val="18"/>
                <w:szCs w:val="18"/>
                <w:color w:val="auto"/>
              </w:rPr>
              <w:t>Three Months</w:t>
            </w:r>
          </w:p>
        </w:tc>
        <w:tc>
          <w:tcPr>
            <w:tcW w:w="2060" w:type="dxa"/>
            <w:vAlign w:val="bottom"/>
            <w:gridSpan w:val="4"/>
          </w:tcPr>
          <w:p>
            <w:pPr>
              <w:jc w:val="right"/>
              <w:ind w:right="680"/>
              <w:spacing w:after="0"/>
              <w:rPr>
                <w:sz w:val="20"/>
                <w:szCs w:val="20"/>
                <w:color w:val="auto"/>
              </w:rPr>
            </w:pPr>
            <w:r>
              <w:rPr>
                <w:rFonts w:ascii="Arial" w:cs="Arial" w:eastAsia="Arial" w:hAnsi="Arial"/>
                <w:sz w:val="18"/>
                <w:szCs w:val="18"/>
                <w:color w:val="auto"/>
              </w:rPr>
              <w:t>Nine Months</w:t>
            </w:r>
          </w:p>
        </w:tc>
      </w:tr>
      <w:tr>
        <w:trPr>
          <w:trHeight w:val="223"/>
        </w:trPr>
        <w:tc>
          <w:tcPr>
            <w:tcW w:w="2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 Change</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2"/>
              </w:rPr>
              <w:t>% Change</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 Change</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Change</w:t>
            </w:r>
          </w:p>
        </w:tc>
        <w:tc>
          <w:tcPr>
            <w:tcW w:w="160" w:type="dxa"/>
            <w:vAlign w:val="bottom"/>
          </w:tcPr>
          <w:p>
            <w:pPr>
              <w:spacing w:after="0"/>
              <w:rPr>
                <w:sz w:val="19"/>
                <w:szCs w:val="19"/>
                <w:color w:val="auto"/>
              </w:rPr>
            </w:pP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right"/>
              <w:ind w:right="300"/>
              <w:spacing w:after="0"/>
              <w:rPr>
                <w:sz w:val="20"/>
                <w:szCs w:val="20"/>
                <w:color w:val="auto"/>
              </w:rPr>
            </w:pPr>
            <w:r>
              <w:rPr>
                <w:rFonts w:ascii="Arial" w:cs="Arial" w:eastAsia="Arial" w:hAnsi="Arial"/>
                <w:sz w:val="18"/>
                <w:szCs w:val="18"/>
                <w:color w:val="auto"/>
                <w:w w:val="88"/>
              </w:rPr>
              <w:t>(In thousands, except %)</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1,631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increase in general and administrative expenses for the three months ended September 30, 2021 as compared to the same period in 2020 are due to increases in insurance expense of $131,000, and non-cash stock-based compensation expense of $226,000. The primary reasons for the increase in general and administrative expenses for the nine months ended September 30, 2021 as compared to the same period in 2020 are due to increases in insurance expense of $385,000, investor relations/business development expense of $103,000 and non-cash stock-based compensation expense of $322,000, partially offset by decrease in legal fees expense of $206,000.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Since our inception on July 10, 2000, we have financed our operations from proceeds of public and private offerings of debt and equity. As of September 30, 2021, we raised a net total of $214.5 million from these offerings. We have operated at a loss since our inception and have had no significant revenues. We anticipate that losses will continue for the foreseeable future. At September 30, 2021, the Company had $36,600,000 of unrestricted cash and cash equivalents available to fund future operations. The Company believes there is sufficient cash, including a $10,000,000 convertible note payable that will close in December 2021 (see Note 4), to fund currently planned operations at least through March 31, 2023. We will require more cash to fund our operations after March 31, 2023 and believe we will be able to obtain additional financing. The currently planned operations include costs related to our adaptively designed NAVIGATE Phase 2b/3 clinical trial. Currently, we expect to require an additional approximately $30-$35 million to cover costs of the trial to reach the planned interim analysis estimated to occur around the end of the first quarter of 2024 along with drug manufacturing and other scientific support activities and general and administrative costs. However, there can be no assurance that we will be successful in obtaining such new financing or, if available, that such financing will be on terms favorable to us. If we are unsuccessful in raising additional capital to fund operations before March 31, 2023, we may be required to cease operations. Accordingly, based on the forecasts and estimates underlying our current operating plan, the financial statements do not currently include any adjustments that might be necessary if we are unable to continue as a going concern.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60" w:firstLine="441"/>
        <w:spacing w:after="0" w:line="263" w:lineRule="auto"/>
        <w:rPr>
          <w:sz w:val="20"/>
          <w:szCs w:val="20"/>
          <w:color w:val="auto"/>
        </w:rPr>
      </w:pPr>
      <w:r>
        <w:rPr>
          <w:rFonts w:ascii="Arial" w:cs="Arial" w:eastAsia="Arial" w:hAnsi="Arial"/>
          <w:sz w:val="18"/>
          <w:szCs w:val="18"/>
          <w:color w:val="auto"/>
        </w:rPr>
        <w:t>Net cash used in operations increased by $2,170,000 to $17,357,000 for the nine months ended September 30, 2021, as compared to $15,187,000 for the nine months ended September 30, 2020. Cash operating expenses increased principally due to the preparations and expenses related to our NAVIGATE clinical trial with belapectin.</w:t>
      </w:r>
    </w:p>
    <w:p>
      <w:pPr>
        <w:spacing w:after="0" w:line="184" w:lineRule="exact"/>
        <w:rPr>
          <w:sz w:val="20"/>
          <w:szCs w:val="20"/>
          <w:color w:val="auto"/>
        </w:rPr>
      </w:pPr>
    </w:p>
    <w:p>
      <w:pPr>
        <w:ind w:right="200" w:firstLine="441"/>
        <w:spacing w:after="0" w:line="301" w:lineRule="auto"/>
        <w:rPr>
          <w:sz w:val="20"/>
          <w:szCs w:val="20"/>
          <w:color w:val="auto"/>
        </w:rPr>
      </w:pPr>
      <w:r>
        <w:rPr>
          <w:rFonts w:ascii="Arial" w:cs="Arial" w:eastAsia="Arial" w:hAnsi="Arial"/>
          <w:sz w:val="16"/>
          <w:szCs w:val="16"/>
          <w:color w:val="auto"/>
        </w:rPr>
        <w:t>Net cash provided by financing activities for the nine months ended September 30, 2021, of $26,815,000 represents proceeds of $20,000,000 from two convertible notes payable, $2,951,000 from the exercise of common stock warrants and $3,864,000 in net proceeds from issuance of common shares under our ATM. Net cash provided by financing activities for the nine months ended September 30, 2020, of $263,000 represents proceeds of $219,000 from the exercise of common stock options and $44,000 in net proceeds from issuance of common shares under our ATM.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180" w:firstLine="441"/>
        <w:spacing w:after="0" w:line="311"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229" w:lineRule="exact"/>
        <w:rPr>
          <w:sz w:val="20"/>
          <w:szCs w:val="20"/>
          <w:color w:val="auto"/>
        </w:rPr>
      </w:pPr>
    </w:p>
    <w:p>
      <w:pPr>
        <w:jc w:val="both"/>
        <w:ind w:right="400" w:firstLine="441"/>
        <w:spacing w:after="0" w:line="296"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61" w:lineRule="exact"/>
        <w:rPr>
          <w:sz w:val="20"/>
          <w:szCs w:val="20"/>
          <w:color w:val="auto"/>
        </w:rPr>
      </w:pPr>
    </w:p>
    <w:p>
      <w:pPr>
        <w:ind w:right="260" w:firstLine="441"/>
        <w:spacing w:after="0" w:line="311" w:lineRule="auto"/>
        <w:rPr>
          <w:sz w:val="20"/>
          <w:szCs w:val="20"/>
          <w:color w:val="auto"/>
        </w:rPr>
      </w:pPr>
      <w:r>
        <w:rPr>
          <w:rFonts w:ascii="Arial" w:cs="Arial" w:eastAsia="Arial" w:hAnsi="Arial"/>
          <w:sz w:val="16"/>
          <w:szCs w:val="16"/>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derivatives and income taxes. For a more detailed discussion of our critical accounting policies, please refer to our 2020 Annual Report on Form 10-K.</w:t>
      </w:r>
    </w:p>
    <w:p>
      <w:pPr>
        <w:spacing w:after="0" w:line="14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60" w:firstLine="441"/>
        <w:spacing w:after="0" w:line="263" w:lineRule="auto"/>
        <w:rPr>
          <w:sz w:val="20"/>
          <w:szCs w:val="20"/>
          <w:color w:val="auto"/>
        </w:rPr>
      </w:pPr>
      <w:r>
        <w:rPr>
          <w:rFonts w:ascii="Arial" w:cs="Arial" w:eastAsia="Arial" w:hAnsi="Arial"/>
          <w:sz w:val="18"/>
          <w:szCs w:val="18"/>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September 30, 2021, our disclosure controls and procedures were effective.</w:t>
      </w:r>
    </w:p>
    <w:p>
      <w:pPr>
        <w:spacing w:after="0" w:line="184" w:lineRule="exact"/>
        <w:rPr>
          <w:sz w:val="20"/>
          <w:szCs w:val="20"/>
          <w:color w:val="auto"/>
        </w:rPr>
      </w:pPr>
    </w:p>
    <w:p>
      <w:pPr>
        <w:ind w:right="140" w:firstLine="441"/>
        <w:spacing w:after="0" w:line="29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During the quarter ended September 30, 2021, no change in our internal control over financial reporting has materially affected, or is reasonably likely to materially affect, our internal control over financial reporting.</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The information set forth in this report should be read in conjunction with the risk factors set forth in Item 1A, “Risk Factors,” of Part I of our Annual Report on Form 10-K for the year ended December 31, 2020, which could materially impact our business, financial condition or future results.</w:t>
      </w:r>
    </w:p>
    <w:p>
      <w:pPr>
        <w:spacing w:after="0" w:line="1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1000" w:type="dxa"/>
            <w:vAlign w:val="bottom"/>
            <w:gridSpan w:val="6"/>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7"/>
        </w:trPr>
        <w:tc>
          <w:tcPr>
            <w:tcW w:w="240" w:type="dxa"/>
            <w:vAlign w:val="bottom"/>
          </w:tcPr>
          <w:p>
            <w:pPr>
              <w:spacing w:after="0"/>
              <w:rPr>
                <w:sz w:val="24"/>
                <w:szCs w:val="24"/>
                <w:color w:val="auto"/>
              </w:rPr>
            </w:pPr>
          </w:p>
        </w:tc>
        <w:tc>
          <w:tcPr>
            <w:tcW w:w="7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3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Note</w:t>
            </w:r>
          </w:p>
        </w:tc>
      </w:tr>
      <w:tr>
        <w:trPr>
          <w:trHeight w:val="194"/>
        </w:trPr>
        <w:tc>
          <w:tcPr>
            <w:tcW w:w="1000" w:type="dxa"/>
            <w:vAlign w:val="bottom"/>
            <w:gridSpan w:val="6"/>
          </w:tcPr>
          <w:p>
            <w:pPr>
              <w:jc w:val="center"/>
              <w:ind w:left="32"/>
              <w:spacing w:after="0" w:line="194" w:lineRule="exact"/>
              <w:rPr>
                <w:sz w:val="20"/>
                <w:szCs w:val="20"/>
                <w:color w:val="auto"/>
              </w:rPr>
            </w:pPr>
            <w:r>
              <w:rPr>
                <w:rFonts w:ascii="Arial" w:cs="Arial" w:eastAsia="Arial" w:hAnsi="Arial"/>
                <w:sz w:val="18"/>
                <w:szCs w:val="18"/>
                <w:b w:val="1"/>
                <w:bCs w:val="1"/>
                <w:color w:val="auto"/>
                <w:w w:val="94"/>
              </w:rPr>
              <w:t>Number</w:t>
            </w:r>
          </w:p>
        </w:tc>
        <w:tc>
          <w:tcPr>
            <w:tcW w:w="3780" w:type="dxa"/>
            <w:vAlign w:val="bottom"/>
          </w:tcPr>
          <w:p>
            <w:pPr>
              <w:spacing w:after="0"/>
              <w:rPr>
                <w:sz w:val="16"/>
                <w:szCs w:val="16"/>
                <w:color w:val="auto"/>
              </w:rPr>
            </w:pPr>
          </w:p>
        </w:tc>
        <w:tc>
          <w:tcPr>
            <w:tcW w:w="22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 of Document</w:t>
            </w:r>
          </w:p>
        </w:tc>
        <w:tc>
          <w:tcPr>
            <w:tcW w:w="3360" w:type="dxa"/>
            <w:vAlign w:val="bottom"/>
          </w:tcPr>
          <w:p>
            <w:pPr>
              <w:spacing w:after="0"/>
              <w:rPr>
                <w:sz w:val="16"/>
                <w:szCs w:val="16"/>
                <w:color w:val="auto"/>
              </w:rPr>
            </w:pPr>
          </w:p>
        </w:tc>
        <w:tc>
          <w:tcPr>
            <w:tcW w:w="840" w:type="dxa"/>
            <w:vAlign w:val="bottom"/>
            <w:gridSpan w:val="2"/>
          </w:tcPr>
          <w:p>
            <w:pPr>
              <w:jc w:val="center"/>
              <w:ind w:right="80"/>
              <w:spacing w:after="0" w:line="194" w:lineRule="exact"/>
              <w:rPr>
                <w:sz w:val="20"/>
                <w:szCs w:val="20"/>
                <w:color w:val="auto"/>
              </w:rPr>
            </w:pPr>
            <w:r>
              <w:rPr>
                <w:rFonts w:ascii="Arial" w:cs="Arial" w:eastAsia="Arial" w:hAnsi="Arial"/>
                <w:sz w:val="18"/>
                <w:szCs w:val="18"/>
                <w:b w:val="1"/>
                <w:bCs w:val="1"/>
                <w:color w:val="auto"/>
                <w:w w:val="87"/>
              </w:rPr>
              <w:t>Reference</w:t>
            </w:r>
          </w:p>
        </w:tc>
      </w:tr>
      <w:tr>
        <w:trPr>
          <w:trHeight w:val="237"/>
        </w:trPr>
        <w:tc>
          <w:tcPr>
            <w:tcW w:w="2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6"/>
        </w:trPr>
        <w:tc>
          <w:tcPr>
            <w:tcW w:w="500" w:type="dxa"/>
            <w:vAlign w:val="bottom"/>
            <w:gridSpan w:val="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3"/>
              </w:rPr>
              <w:t>Certification Pursuant to Rule 13a-14(a) of the Securities Exchange Act of 1934</w:t>
            </w:r>
          </w:p>
        </w:tc>
        <w:tc>
          <w:tcPr>
            <w:tcW w:w="3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3"/>
              </w:rPr>
              <w:t>Certification Pursuant to Rule 13a-14(a) of the Securities Exchange Act of 1934</w:t>
            </w:r>
          </w:p>
        </w:tc>
        <w:tc>
          <w:tcPr>
            <w:tcW w:w="3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gridSpan w:val="2"/>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880" w:type="dxa"/>
            <w:vAlign w:val="bottom"/>
            <w:gridSpan w:val="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20" w:type="dxa"/>
            <w:vAlign w:val="bottom"/>
            <w:shd w:val="clear" w:color="auto" w:fill="CCEEFF"/>
          </w:tcPr>
          <w:p>
            <w:pPr>
              <w:spacing w:after="0"/>
              <w:rPr>
                <w:sz w:val="17"/>
                <w:szCs w:val="17"/>
                <w:color w:val="auto"/>
              </w:rPr>
            </w:pPr>
          </w:p>
        </w:tc>
        <w:tc>
          <w:tcPr>
            <w:tcW w:w="10240" w:type="dxa"/>
            <w:vAlign w:val="bottom"/>
            <w:gridSpan w:val="6"/>
            <w:shd w:val="clear" w:color="auto" w:fill="CCEEFF"/>
          </w:tcPr>
          <w:p>
            <w:pPr>
              <w:ind w:left="120"/>
              <w:spacing w:after="0" w:line="176" w:lineRule="exact"/>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880" w:type="dxa"/>
            <w:vAlign w:val="bottom"/>
            <w:gridSpan w:val="5"/>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20" w:type="dxa"/>
            <w:vAlign w:val="bottom"/>
            <w:shd w:val="clear" w:color="auto" w:fill="CCEEFF"/>
          </w:tcPr>
          <w:p>
            <w:pPr>
              <w:spacing w:after="0"/>
              <w:rPr>
                <w:sz w:val="15"/>
                <w:szCs w:val="15"/>
                <w:color w:val="auto"/>
              </w:rPr>
            </w:pPr>
          </w:p>
        </w:tc>
        <w:tc>
          <w:tcPr>
            <w:tcW w:w="60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0"/>
              </w:rPr>
              <w:t>Certification Pursuant to 18 U.S.C. Section 1350, as Adopted Pursuant to Section</w:t>
            </w:r>
          </w:p>
        </w:tc>
        <w:tc>
          <w:tcPr>
            <w:tcW w:w="420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906 of the Sarbanes-Oxley Act of 2002</w:t>
            </w:r>
          </w:p>
        </w:tc>
      </w:tr>
      <w:tr>
        <w:trPr>
          <w:trHeight w:val="438"/>
        </w:trPr>
        <w:tc>
          <w:tcPr>
            <w:tcW w:w="240" w:type="dxa"/>
            <w:vAlign w:val="bottom"/>
            <w:tcBorders>
              <w:top w:val="single" w:sz="8" w:color="0000EE"/>
            </w:tcBorders>
            <w:shd w:val="clear" w:color="auto" w:fill="CCEEFF"/>
          </w:tcPr>
          <w:p>
            <w:pPr>
              <w:spacing w:after="0"/>
              <w:rPr>
                <w:sz w:val="24"/>
                <w:szCs w:val="24"/>
                <w:color w:val="auto"/>
              </w:rPr>
            </w:pPr>
          </w:p>
        </w:tc>
        <w:tc>
          <w:tcPr>
            <w:tcW w:w="80" w:type="dxa"/>
            <w:vAlign w:val="bottom"/>
            <w:tcBorders>
              <w:top w:val="single" w:sz="8" w:color="0000EE"/>
            </w:tcBorders>
            <w:shd w:val="clear" w:color="auto" w:fill="CCEEFF"/>
          </w:tcPr>
          <w:p>
            <w:pPr>
              <w:spacing w:after="0"/>
              <w:rPr>
                <w:sz w:val="24"/>
                <w:szCs w:val="24"/>
                <w:color w:val="auto"/>
              </w:rPr>
            </w:pPr>
          </w:p>
        </w:tc>
        <w:tc>
          <w:tcPr>
            <w:tcW w:w="100" w:type="dxa"/>
            <w:vAlign w:val="bottom"/>
            <w:tcBorders>
              <w:top w:val="single" w:sz="8" w:color="0000EE"/>
            </w:tcBorders>
            <w:shd w:val="clear" w:color="auto" w:fill="CCEEFF"/>
          </w:tcPr>
          <w:p>
            <w:pPr>
              <w:spacing w:after="0"/>
              <w:rPr>
                <w:sz w:val="24"/>
                <w:szCs w:val="24"/>
                <w:color w:val="auto"/>
              </w:rPr>
            </w:pPr>
          </w:p>
        </w:tc>
        <w:tc>
          <w:tcPr>
            <w:tcW w:w="80" w:type="dxa"/>
            <w:vAlign w:val="bottom"/>
            <w:tcBorders>
              <w:top w:val="single" w:sz="8" w:color="0000EE"/>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240" w:type="dxa"/>
            <w:vAlign w:val="bottom"/>
            <w:tcBorders>
              <w:top w:val="single" w:sz="8" w:color="CCEEFF"/>
            </w:tcBorders>
            <w:gridSpan w:val="6"/>
            <w:shd w:val="clear" w:color="auto" w:fill="CCEEFF"/>
          </w:tcPr>
          <w:p>
            <w:pPr>
              <w:ind w:left="120"/>
              <w:spacing w:after="0"/>
              <w:rPr>
                <w:sz w:val="20"/>
                <w:szCs w:val="20"/>
                <w:color w:val="auto"/>
              </w:rPr>
            </w:pPr>
            <w:r>
              <w:rPr>
                <w:rFonts w:ascii="Arial" w:cs="Arial" w:eastAsia="Arial" w:hAnsi="Arial"/>
                <w:sz w:val="18"/>
                <w:szCs w:val="18"/>
                <w:color w:val="auto"/>
              </w:rPr>
              <w:t>The following financial statements and footnotes from the Registrant’s Quarterly Report on Form 10-Q for the fiscal quarter</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4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ended September 30, 2021 formatted in Inline Extensible Business Reporting Language (Inline XBRL):</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101.INS</w:t>
            </w: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Inline XBRL Instance Document**</w:t>
            </w:r>
          </w:p>
        </w:tc>
        <w:tc>
          <w:tcPr>
            <w:tcW w:w="3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101.SCH</w:t>
            </w: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Inline XBRL Taxonomy Extension Schema Document*</w:t>
            </w:r>
          </w:p>
        </w:tc>
        <w:tc>
          <w:tcPr>
            <w:tcW w:w="3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101.CAL</w:t>
            </w: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Inline XBRL Taxonomy Calculation Linkbase Document*</w:t>
            </w:r>
          </w:p>
        </w:tc>
        <w:tc>
          <w:tcPr>
            <w:tcW w:w="3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101.DEF</w:t>
            </w: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Inline XBRL Taxonomy Extension Definition Linkbase Document*</w:t>
            </w:r>
          </w:p>
        </w:tc>
        <w:tc>
          <w:tcPr>
            <w:tcW w:w="3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101.LAB</w:t>
            </w: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Inline XBRL Taxonomy Label Linkbase Document*</w:t>
            </w:r>
          </w:p>
        </w:tc>
        <w:tc>
          <w:tcPr>
            <w:tcW w:w="3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101.PRE</w:t>
            </w: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Inline XBRL Taxonomy Presentation Linkbase Document*</w:t>
            </w:r>
          </w:p>
        </w:tc>
        <w:tc>
          <w:tcPr>
            <w:tcW w:w="3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300" w:firstLine="8"/>
        <w:spacing w:after="0" w:line="559"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 Page Interactive Data File (the cover page XBRL tags are embedded in the Inline XBRL document and included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10712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15, 2021.</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5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Lewis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Joel Lewis</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53"/>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Jack W. Callicutt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Certification Pursuant to Rule 13a-14(a) of the Securities Exchange Act of 1934</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Joel Lewis, certify that:</w:t>
      </w:r>
    </w:p>
    <w:p>
      <w:pPr>
        <w:spacing w:after="0" w:line="240"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252"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10" w:lineRule="exact"/>
        <w:rPr>
          <w:rFonts w:ascii="Arial" w:cs="Arial" w:eastAsia="Arial" w:hAnsi="Arial"/>
          <w:sz w:val="18"/>
          <w:szCs w:val="18"/>
          <w:color w:val="auto"/>
        </w:rPr>
      </w:pPr>
    </w:p>
    <w:p>
      <w:pPr>
        <w:ind w:left="980" w:right="60" w:hanging="486"/>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right="540" w:hanging="486"/>
        <w:spacing w:after="0" w:line="342" w:lineRule="auto"/>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486"/>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486"/>
        <w:spacing w:after="0" w:line="342" w:lineRule="auto"/>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980" w:right="460" w:hanging="486"/>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720" w:type="dxa"/>
            <w:vAlign w:val="bottom"/>
          </w:tcPr>
          <w:p>
            <w:pPr>
              <w:spacing w:after="0"/>
              <w:rPr>
                <w:sz w:val="20"/>
                <w:szCs w:val="20"/>
                <w:color w:val="auto"/>
              </w:rPr>
            </w:pPr>
            <w:r>
              <w:rPr>
                <w:rFonts w:ascii="Arial" w:cs="Arial" w:eastAsia="Arial" w:hAnsi="Arial"/>
                <w:sz w:val="18"/>
                <w:szCs w:val="18"/>
                <w:color w:val="auto"/>
              </w:rPr>
              <w:t>Date: November 15, 2021</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Lewis</w:t>
            </w:r>
          </w:p>
        </w:tc>
      </w:tr>
      <w:tr>
        <w:trPr>
          <w:trHeight w:val="202"/>
        </w:trPr>
        <w:tc>
          <w:tcPr>
            <w:tcW w:w="5720" w:type="dxa"/>
            <w:vAlign w:val="bottom"/>
          </w:tcPr>
          <w:p>
            <w:pPr>
              <w:ind w:left="5060"/>
              <w:spacing w:after="0" w:line="201" w:lineRule="exact"/>
              <w:rPr>
                <w:sz w:val="20"/>
                <w:szCs w:val="20"/>
                <w:color w:val="auto"/>
              </w:rPr>
            </w:pPr>
            <w:r>
              <w:rPr>
                <w:rFonts w:ascii="Arial" w:cs="Arial" w:eastAsia="Arial" w:hAnsi="Arial"/>
                <w:sz w:val="18"/>
                <w:szCs w:val="18"/>
                <w:color w:val="auto"/>
              </w:rPr>
              <w:t>Name:</w:t>
            </w:r>
          </w:p>
        </w:tc>
        <w:tc>
          <w:tcPr>
            <w:tcW w:w="5520" w:type="dxa"/>
            <w:vAlign w:val="bottom"/>
          </w:tcPr>
          <w:p>
            <w:pPr>
              <w:spacing w:after="0" w:line="201" w:lineRule="exact"/>
              <w:rPr>
                <w:sz w:val="20"/>
                <w:szCs w:val="20"/>
                <w:color w:val="auto"/>
              </w:rPr>
            </w:pPr>
            <w:r>
              <w:rPr>
                <w:rFonts w:ascii="Arial" w:cs="Arial" w:eastAsia="Arial" w:hAnsi="Arial"/>
                <w:sz w:val="18"/>
                <w:szCs w:val="18"/>
                <w:color w:val="auto"/>
              </w:rPr>
              <w:t>Joel Lewis</w:t>
            </w:r>
          </w:p>
        </w:tc>
      </w:tr>
      <w:tr>
        <w:trPr>
          <w:trHeight w:val="216"/>
        </w:trPr>
        <w:tc>
          <w:tcPr>
            <w:tcW w:w="5720" w:type="dxa"/>
            <w:vAlign w:val="bottom"/>
          </w:tcPr>
          <w:p>
            <w:pPr>
              <w:ind w:left="5060"/>
              <w:spacing w:after="0"/>
              <w:rPr>
                <w:sz w:val="20"/>
                <w:szCs w:val="20"/>
                <w:color w:val="auto"/>
              </w:rPr>
            </w:pPr>
            <w:r>
              <w:rPr>
                <w:rFonts w:ascii="Arial" w:cs="Arial" w:eastAsia="Arial" w:hAnsi="Arial"/>
                <w:sz w:val="18"/>
                <w:szCs w:val="18"/>
                <w:color w:val="auto"/>
              </w:rPr>
              <w:t>Title:</w:t>
            </w:r>
          </w:p>
        </w:tc>
        <w:tc>
          <w:tcPr>
            <w:tcW w:w="55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7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01"/>
        </w:trPr>
        <w:tc>
          <w:tcPr>
            <w:tcW w:w="57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Certification Pursuant to Rule 13a-14(a) of the Securities Exchange Act of 1934</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Jack W. Callicutt, certify that:</w:t>
      </w:r>
    </w:p>
    <w:p>
      <w:pPr>
        <w:spacing w:after="0" w:line="240"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252"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10" w:lineRule="exact"/>
        <w:rPr>
          <w:rFonts w:ascii="Arial" w:cs="Arial" w:eastAsia="Arial" w:hAnsi="Arial"/>
          <w:sz w:val="18"/>
          <w:szCs w:val="18"/>
          <w:color w:val="auto"/>
        </w:rPr>
      </w:pPr>
    </w:p>
    <w:p>
      <w:pPr>
        <w:ind w:left="980" w:right="60" w:hanging="486"/>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right="540" w:hanging="486"/>
        <w:spacing w:after="0" w:line="342"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486"/>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486"/>
        <w:spacing w:after="0" w:line="342"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980" w:right="460" w:hanging="486"/>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780" w:type="dxa"/>
            <w:vAlign w:val="bottom"/>
          </w:tcPr>
          <w:p>
            <w:pPr>
              <w:spacing w:after="0"/>
              <w:rPr>
                <w:sz w:val="20"/>
                <w:szCs w:val="20"/>
                <w:color w:val="auto"/>
              </w:rPr>
            </w:pPr>
            <w:r>
              <w:rPr>
                <w:rFonts w:ascii="Arial" w:cs="Arial" w:eastAsia="Arial" w:hAnsi="Arial"/>
                <w:sz w:val="18"/>
                <w:szCs w:val="18"/>
                <w:color w:val="auto"/>
              </w:rPr>
              <w:t>Date: November 15, 2021</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2"/>
        </w:trPr>
        <w:tc>
          <w:tcPr>
            <w:tcW w:w="5780" w:type="dxa"/>
            <w:vAlign w:val="bottom"/>
          </w:tcPr>
          <w:p>
            <w:pPr>
              <w:ind w:left="5080"/>
              <w:spacing w:after="0" w:line="201" w:lineRule="exact"/>
              <w:rPr>
                <w:sz w:val="20"/>
                <w:szCs w:val="20"/>
                <w:color w:val="auto"/>
              </w:rPr>
            </w:pPr>
            <w:r>
              <w:rPr>
                <w:rFonts w:ascii="Arial" w:cs="Arial" w:eastAsia="Arial" w:hAnsi="Arial"/>
                <w:sz w:val="18"/>
                <w:szCs w:val="18"/>
                <w:color w:val="auto"/>
              </w:rPr>
              <w:t>Name:</w:t>
            </w:r>
          </w:p>
        </w:tc>
        <w:tc>
          <w:tcPr>
            <w:tcW w:w="5460" w:type="dxa"/>
            <w:vAlign w:val="bottom"/>
          </w:tcPr>
          <w:p>
            <w:pPr>
              <w:spacing w:after="0" w:line="201" w:lineRule="exact"/>
              <w:rPr>
                <w:sz w:val="20"/>
                <w:szCs w:val="20"/>
                <w:color w:val="auto"/>
              </w:rPr>
            </w:pPr>
            <w:r>
              <w:rPr>
                <w:rFonts w:ascii="Arial" w:cs="Arial" w:eastAsia="Arial" w:hAnsi="Arial"/>
                <w:sz w:val="18"/>
                <w:szCs w:val="18"/>
                <w:color w:val="auto"/>
              </w:rPr>
              <w:t>Jack W. Callicutt</w:t>
            </w:r>
          </w:p>
        </w:tc>
      </w:tr>
      <w:tr>
        <w:trPr>
          <w:trHeight w:val="216"/>
        </w:trPr>
        <w:tc>
          <w:tcPr>
            <w:tcW w:w="5780" w:type="dxa"/>
            <w:vAlign w:val="bottom"/>
          </w:tcPr>
          <w:p>
            <w:pPr>
              <w:ind w:left="5080"/>
              <w:spacing w:after="0"/>
              <w:rPr>
                <w:sz w:val="20"/>
                <w:szCs w:val="20"/>
                <w:color w:val="auto"/>
              </w:rPr>
            </w:pPr>
            <w:r>
              <w:rPr>
                <w:rFonts w:ascii="Arial" w:cs="Arial" w:eastAsia="Arial" w:hAnsi="Arial"/>
                <w:sz w:val="18"/>
                <w:szCs w:val="18"/>
                <w:color w:val="auto"/>
              </w:rPr>
              <w:t>Title:</w:t>
            </w:r>
          </w:p>
        </w:tc>
        <w:tc>
          <w:tcPr>
            <w:tcW w:w="5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7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01"/>
        </w:trPr>
        <w:tc>
          <w:tcPr>
            <w:tcW w:w="578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uto"/>
        </w:rPr>
        <w:t>CERTIFICATION PURSUANT TO 18 U.S.C. SECTION 1350, AS ADOPTED</w:t>
      </w:r>
    </w:p>
    <w:p>
      <w:pPr>
        <w:spacing w:after="0" w:line="14" w:lineRule="exact"/>
        <w:rPr>
          <w:sz w:val="20"/>
          <w:szCs w:val="20"/>
          <w:color w:val="auto"/>
        </w:rPr>
      </w:pPr>
    </w:p>
    <w:p>
      <w:pPr>
        <w:ind w:left="2020"/>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215" w:lineRule="exact"/>
        <w:rPr>
          <w:sz w:val="20"/>
          <w:szCs w:val="20"/>
          <w:color w:val="auto"/>
        </w:rPr>
      </w:pPr>
    </w:p>
    <w:p>
      <w:pPr>
        <w:jc w:val="both"/>
        <w:ind w:right="20" w:firstLine="486"/>
        <w:spacing w:after="0" w:line="238" w:lineRule="auto"/>
        <w:rPr>
          <w:sz w:val="20"/>
          <w:szCs w:val="20"/>
          <w:color w:val="auto"/>
        </w:rPr>
      </w:pPr>
      <w:r>
        <w:rPr>
          <w:rFonts w:ascii="Arial" w:cs="Arial" w:eastAsia="Arial" w:hAnsi="Arial"/>
          <w:sz w:val="22"/>
          <w:szCs w:val="22"/>
          <w:color w:val="auto"/>
        </w:rPr>
        <w:t>In connection with the Quarterly Report of Galectin Therapeutics Inc. (the “Company”) on Form 10-Q for the period ended September 30, 2021 as filed with the Securities and Exchange Commission on the date hereof (the “Report”), I, Joel Lewis, Chief Executive Officer of the Company, certify, pursuant to 18 U.S.C. § 1350, as adopted pursuant to § 906 of the Sarbanes-Oxley Act of 2002, that, to my knowledge:</w:t>
      </w:r>
    </w:p>
    <w:p>
      <w:pPr>
        <w:spacing w:after="0" w:line="219"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60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760" w:type="dxa"/>
            <w:vAlign w:val="bottom"/>
          </w:tcPr>
          <w:p>
            <w:pPr>
              <w:spacing w:after="0"/>
              <w:rPr>
                <w:sz w:val="20"/>
                <w:szCs w:val="20"/>
                <w:color w:val="auto"/>
              </w:rPr>
            </w:pPr>
            <w:r>
              <w:rPr>
                <w:rFonts w:ascii="Arial" w:cs="Arial" w:eastAsia="Arial" w:hAnsi="Arial"/>
                <w:sz w:val="18"/>
                <w:szCs w:val="18"/>
                <w:color w:val="auto"/>
              </w:rPr>
              <w:t>Date: November 15, 2021</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Lewis</w:t>
            </w:r>
          </w:p>
        </w:tc>
      </w:tr>
      <w:tr>
        <w:trPr>
          <w:trHeight w:val="202"/>
        </w:trPr>
        <w:tc>
          <w:tcPr>
            <w:tcW w:w="5760" w:type="dxa"/>
            <w:vAlign w:val="bottom"/>
          </w:tcPr>
          <w:p>
            <w:pPr>
              <w:ind w:left="5080"/>
              <w:spacing w:after="0" w:line="201"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line="201" w:lineRule="exact"/>
              <w:rPr>
                <w:sz w:val="20"/>
                <w:szCs w:val="20"/>
                <w:color w:val="auto"/>
              </w:rPr>
            </w:pPr>
            <w:r>
              <w:rPr>
                <w:rFonts w:ascii="Arial" w:cs="Arial" w:eastAsia="Arial" w:hAnsi="Arial"/>
                <w:sz w:val="18"/>
                <w:szCs w:val="18"/>
                <w:color w:val="auto"/>
              </w:rPr>
              <w:t>Joel Lewis</w:t>
            </w:r>
          </w:p>
        </w:tc>
      </w:tr>
      <w:tr>
        <w:trPr>
          <w:trHeight w:val="216"/>
        </w:trPr>
        <w:tc>
          <w:tcPr>
            <w:tcW w:w="5760" w:type="dxa"/>
            <w:vAlign w:val="bottom"/>
          </w:tcPr>
          <w:p>
            <w:pPr>
              <w:ind w:left="5080"/>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76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22" w:lineRule="exact"/>
        <w:rPr>
          <w:sz w:val="20"/>
          <w:szCs w:val="20"/>
          <w:color w:val="auto"/>
        </w:rPr>
      </w:pPr>
    </w:p>
    <w:p>
      <w:pPr>
        <w:ind w:right="140" w:firstLine="486"/>
        <w:spacing w:after="0" w:line="238" w:lineRule="auto"/>
        <w:rPr>
          <w:sz w:val="20"/>
          <w:szCs w:val="20"/>
          <w:color w:val="auto"/>
        </w:rPr>
      </w:pPr>
      <w:r>
        <w:rPr>
          <w:rFonts w:ascii="Arial" w:cs="Arial" w:eastAsia="Arial" w:hAnsi="Arial"/>
          <w:sz w:val="22"/>
          <w:szCs w:val="2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uto"/>
        </w:rPr>
        <w:t>CERTIFICATION PURSUANT TO 18 U.S.C. SECTION 1350, AS ADOPTED</w:t>
      </w:r>
    </w:p>
    <w:p>
      <w:pPr>
        <w:spacing w:after="0" w:line="14" w:lineRule="exact"/>
        <w:rPr>
          <w:sz w:val="20"/>
          <w:szCs w:val="20"/>
          <w:color w:val="auto"/>
        </w:rPr>
      </w:pPr>
    </w:p>
    <w:p>
      <w:pPr>
        <w:ind w:left="2020"/>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215" w:lineRule="exact"/>
        <w:rPr>
          <w:sz w:val="20"/>
          <w:szCs w:val="20"/>
          <w:color w:val="auto"/>
        </w:rPr>
      </w:pPr>
    </w:p>
    <w:p>
      <w:pPr>
        <w:ind w:right="20" w:firstLine="486"/>
        <w:spacing w:after="0" w:line="238" w:lineRule="auto"/>
        <w:rPr>
          <w:sz w:val="20"/>
          <w:szCs w:val="20"/>
          <w:color w:val="auto"/>
        </w:rPr>
      </w:pPr>
      <w:r>
        <w:rPr>
          <w:rFonts w:ascii="Arial" w:cs="Arial" w:eastAsia="Arial" w:hAnsi="Arial"/>
          <w:sz w:val="22"/>
          <w:szCs w:val="22"/>
          <w:color w:val="auto"/>
        </w:rPr>
        <w:t>In connection with the Quarterly Report of Galectin Therapeutics Inc. (the “Company”) on Form 10-Q for the period ended September 30, 2021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219"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60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760" w:type="dxa"/>
            <w:vAlign w:val="bottom"/>
          </w:tcPr>
          <w:p>
            <w:pPr>
              <w:spacing w:after="0"/>
              <w:rPr>
                <w:sz w:val="20"/>
                <w:szCs w:val="20"/>
                <w:color w:val="auto"/>
              </w:rPr>
            </w:pPr>
            <w:r>
              <w:rPr>
                <w:rFonts w:ascii="Arial" w:cs="Arial" w:eastAsia="Arial" w:hAnsi="Arial"/>
                <w:sz w:val="18"/>
                <w:szCs w:val="18"/>
                <w:color w:val="auto"/>
              </w:rPr>
              <w:t>Date: November 15, 2021</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2"/>
        </w:trPr>
        <w:tc>
          <w:tcPr>
            <w:tcW w:w="5760" w:type="dxa"/>
            <w:vAlign w:val="bottom"/>
          </w:tcPr>
          <w:p>
            <w:pPr>
              <w:ind w:left="5080"/>
              <w:spacing w:after="0" w:line="201"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line="201" w:lineRule="exact"/>
              <w:rPr>
                <w:sz w:val="20"/>
                <w:szCs w:val="20"/>
                <w:color w:val="auto"/>
              </w:rPr>
            </w:pPr>
            <w:r>
              <w:rPr>
                <w:rFonts w:ascii="Arial" w:cs="Arial" w:eastAsia="Arial" w:hAnsi="Arial"/>
                <w:sz w:val="18"/>
                <w:szCs w:val="18"/>
                <w:color w:val="auto"/>
              </w:rPr>
              <w:t>Jack W. Callicutt</w:t>
            </w:r>
          </w:p>
        </w:tc>
      </w:tr>
      <w:tr>
        <w:trPr>
          <w:trHeight w:val="216"/>
        </w:trPr>
        <w:tc>
          <w:tcPr>
            <w:tcW w:w="5760" w:type="dxa"/>
            <w:vAlign w:val="bottom"/>
          </w:tcPr>
          <w:p>
            <w:pPr>
              <w:ind w:left="5080"/>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76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22" w:lineRule="exact"/>
        <w:rPr>
          <w:sz w:val="20"/>
          <w:szCs w:val="20"/>
          <w:color w:val="auto"/>
        </w:rPr>
      </w:pPr>
    </w:p>
    <w:p>
      <w:pPr>
        <w:ind w:right="140" w:firstLine="486"/>
        <w:spacing w:after="0" w:line="238" w:lineRule="auto"/>
        <w:rPr>
          <w:sz w:val="20"/>
          <w:szCs w:val="20"/>
          <w:color w:val="auto"/>
        </w:rPr>
      </w:pPr>
      <w:r>
        <w:rPr>
          <w:rFonts w:ascii="Arial" w:cs="Arial" w:eastAsia="Arial" w:hAnsi="Arial"/>
          <w:sz w:val="22"/>
          <w:szCs w:val="2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104"/>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2021-11-15T07:33:33Z</dcterms:created>
  <dcterms:modified xsi:type="dcterms:W3CDTF">2021-11-15T07:33:33Z</dcterms:modified>
</cp:coreProperties>
</file>