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0978x2_def14a_100-regcov_pg1"/>
        <w:bookmarkStart w:id="1" w:name="ny20080978x2_def14a.htm"/>
        <w:bookmarkStart w:id="2" w:name="ksny20080978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1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tbl>
      <w:tblPr>
        <w:tblW w:w="6185" w:type="dxa"/>
        <w:jc w:val="left"/>
        <w:tblInd w:w="0" w:type="dxa"/>
        <w:tblLayout w:type="fixed"/>
        <w:tblCellMar>
          <w:top w:w="0" w:type="dxa"/>
          <w:left w:w="0" w:type="dxa"/>
          <w:bottom w:w="0" w:type="dxa"/>
          <w:right w:w="0" w:type="dxa"/>
        </w:tblCellMar>
      </w:tblPr>
      <w:tblGrid>
        <w:gridCol w:w="2150"/>
        <w:gridCol w:w="170"/>
        <w:gridCol w:w="170"/>
        <w:gridCol w:w="3695"/>
      </w:tblGrid>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20" w:type="dxa"/>
        <w:jc w:val="left"/>
        <w:tblInd w:w="0" w:type="dxa"/>
        <w:tblLayout w:type="fixed"/>
        <w:tblCellMar>
          <w:top w:w="0" w:type="dxa"/>
          <w:left w:w="0" w:type="dxa"/>
          <w:bottom w:w="0" w:type="dxa"/>
          <w:right w:w="0" w:type="dxa"/>
        </w:tblCellMar>
      </w:tblPr>
      <w:tblGrid>
        <w:gridCol w:w="305"/>
        <w:gridCol w:w="3215"/>
      </w:tblGrid>
      <w:tr>
        <w:trPr/>
        <w:tc>
          <w:tcPr>
            <w:tcW w:w="305" w:type="dxa"/>
            <w:tcBorders/>
            <w:vAlign w:val="center"/>
          </w:tcPr>
          <w:p>
            <w:pPr>
              <w:pStyle w:val="TableContents"/>
              <w:bidi w:val="0"/>
              <w:spacing w:before="0" w:after="0"/>
              <w:jc w:val="left"/>
              <w:rPr>
                <w:color w:val="000000"/>
              </w:rPr>
            </w:pPr>
            <w:r>
              <w:rPr>
                <w:color w:val="000000"/>
              </w:rPr>
              <w:t> ☐</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GALECTIN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pStyle w:val="HorizontalLine"/>
        <w:bidi w:val="0"/>
        <w:spacing w:before="200" w:after="200"/>
        <w:jc w:val="left"/>
        <w:rPr/>
      </w:pPr>
      <w:r>
        <w:rPr/>
      </w:r>
    </w:p>
    <w:p>
      <w:pPr>
        <w:pStyle w:val="TextBody"/>
        <w:bidi w:val="0"/>
        <w:jc w:val="left"/>
        <w:rPr/>
      </w:pPr>
      <w:hyperlink w:anchor="TOC">
        <w:bookmarkStart w:id="3" w:name="ny20080978x2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8288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right"/>
        <w:rPr>
          <w:rFonts w:ascii="Times New Roman;Times;serif" w:hAnsi="Times New Roman;Times;serif"/>
          <w:color w:val="000000"/>
          <w:sz w:val="20"/>
        </w:rPr>
      </w:pPr>
      <w:r>
        <w:rPr>
          <w:rFonts w:ascii="Times New Roman;Times;serif" w:hAnsi="Times New Roman;Times;serif"/>
          <w:color w:val="000000"/>
          <w:sz w:val="20"/>
        </w:rPr>
        <w:t xml:space="preserve">October 13,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firstLine="400"/>
        <w:jc w:val="left"/>
        <w:rPr/>
      </w:pPr>
      <w:r>
        <w:rPr>
          <w:rFonts w:ascii="Times New Roman;Times;serif" w:hAnsi="Times New Roman;Times;serif"/>
          <w:color w:val="000000"/>
          <w:sz w:val="20"/>
        </w:rPr>
        <w:t xml:space="preserve">You are cordially invited to attend the 2026 annual meeting of stockholders (the “2026 Annual Meeting”) of Galectin Therapeutics Inc. The meeting will be held on Thursday, December 3, 2026 at 11:00 a.m., Eastern Standard Time. Due to cost savings and other efficiencies resulting from conducting a virtual meeting, Galectin Therapeutics is conducting the 2026 Annual Meeting via an online-only format. Stockholders will be able to listen, vote, and submit questions from their home or any remote location with internet connectivity. The 2026 Annual Meeting has been designed to provide the same rights to participate as you would have at an in-person meeting. Information on how to participate in this year’s virtual meeting can be found on page </w:t>
      </w:r>
      <w:hyperlink w:anchor="tHTA">
        <w:r>
          <w:rPr>
            <w:rStyle w:val="InternetLink"/>
            <w:rFonts w:ascii="Times New Roman;Times;serif" w:hAnsi="Times New Roman;Times;serif"/>
            <w:color w:val="000080"/>
            <w:sz w:val="20"/>
          </w:rPr>
          <w:t>42</w:t>
        </w:r>
      </w:hyperlink>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meeting will be held for the following purposes: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eleven (11) nominees for director named in the accompanying proxy statement to hold office until the 2027 annual meeting of our stockholders.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adopt and approve an amendment to our Restated Articles of Incorporation increasing the number of authorized common voting shares (“common stock”) from 150,000,000 to 250,000,000.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2019 Omnibus Equity Incentive Plan to reserve an additional 3,000,000 shares for issuance under the plan.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Committee of the Board of Directors of Cherry Bekaert LLP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meeting or any adjournments of the 2026 Annual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holders of the Company’s Common Stock or Series A 12% Convertible Preferred Stock of record as of October 6, 2026 are entitled to notice of and to vote at the 2026 Annual Meeting. These items of business are more fully described in the proxy statement accompanying this letter.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pleased to save costs and help protect the environment by using the “Notice and Access” method of delivery for its proxy materials. Instead of receiving paper copies of our proxy materials, including the Company’s Annual Report on Form 10-K for the year ended December 31, 2025 (the “Annual Report”), in the mail, stockholders will receive a Notice Regarding the Availability of Proxy Materials, which provides an internet website address where stockholders can access electronic copies of the proxy materials. </w:t>
      </w:r>
    </w:p>
    <w:p>
      <w:pPr>
        <w:pStyle w:val="TextBody"/>
        <w:bidi w:val="0"/>
        <w:spacing w:before="120" w:after="283"/>
        <w:ind w:left="0" w:right="0" w:firstLine="400"/>
        <w:jc w:val="left"/>
        <w:rPr/>
      </w:pPr>
      <w:r>
        <w:rPr>
          <w:rFonts w:ascii="Times New Roman;Times;serif" w:hAnsi="Times New Roman;Times;serif"/>
          <w:color w:val="000000"/>
          <w:sz w:val="20"/>
        </w:rPr>
        <w:t xml:space="preserve">Your vote is very important. Regardless of whether you plan to virtually attend the 2026 Annual Meeting, please promptly vote your shares. You may vote your shares over the internet. If you received a paper copy of a proxy or voting instruction card by mail, you may submit your proxy or voting instruction card for the 2026 Annual Meeting by completing, signing, dating and returning your proxy or voting instruction card in the pre-addressed envelope provided. For specific instructions on how to vote your shares, please refer to the section entitled Questions and Answers About the Annual Meeting and Voting Rights on page </w:t>
      </w:r>
      <w:hyperlink w:anchor="tQAA">
        <w:r>
          <w:rPr>
            <w:rStyle w:val="InternetLink"/>
            <w:rFonts w:ascii="Times New Roman;Times;serif" w:hAnsi="Times New Roman;Times;serif"/>
            <w:color w:val="000080"/>
            <w:sz w:val="20"/>
          </w:rPr>
          <w:t>2</w:t>
        </w:r>
      </w:hyperlink>
      <w:r>
        <w:rPr>
          <w:rFonts w:ascii="Times New Roman;Times;serif" w:hAnsi="Times New Roman;Times;serif"/>
          <w:color w:val="000000"/>
          <w:sz w:val="20"/>
        </w:rPr>
        <w:t xml:space="preserve"> of the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 </w:t>
      </w:r>
    </w:p>
    <w:tbl>
      <w:tblPr>
        <w:tblW w:w="3680" w:type="dxa"/>
        <w:jc w:val="left"/>
        <w:tblInd w:w="0" w:type="dxa"/>
        <w:tblLayout w:type="fixed"/>
        <w:tblCellMar>
          <w:top w:w="0" w:type="dxa"/>
          <w:left w:w="0" w:type="dxa"/>
          <w:bottom w:w="0" w:type="dxa"/>
          <w:right w:w="0" w:type="dxa"/>
        </w:tblCellMar>
      </w:tblPr>
      <w:tblGrid>
        <w:gridCol w:w="185"/>
        <w:gridCol w:w="170"/>
        <w:gridCol w:w="170"/>
        <w:gridCol w:w="315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yours,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21920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 cy="4667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Joel Lewis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HorizontalLine"/>
        <w:bidi w:val="0"/>
        <w:spacing w:before="200" w:after="200"/>
        <w:jc w:val="left"/>
        <w:rPr/>
      </w:pPr>
      <w:r>
        <w:rPr/>
      </w:r>
    </w:p>
    <w:p>
      <w:pPr>
        <w:pStyle w:val="TextBody"/>
        <w:bidi w:val="0"/>
        <w:jc w:val="left"/>
        <w:rPr/>
      </w:pPr>
      <w:hyperlink w:anchor="TOC">
        <w:bookmarkStart w:id="4" w:name="ny20080978x2_def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GALECTIN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4960 Peachtree Industrial Blvd., Suite 240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Norcross, Georgia 30071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THE 2026 ANNUAL MEETING OF STOCKHOLDERS </w:t>
      </w:r>
    </w:p>
    <w:tbl>
      <w:tblPr>
        <w:tblW w:w="10205" w:type="dxa"/>
        <w:jc w:val="left"/>
        <w:tblInd w:w="0" w:type="dxa"/>
        <w:tblLayout w:type="fixed"/>
        <w:tblCellMar>
          <w:top w:w="0" w:type="dxa"/>
          <w:left w:w="0" w:type="dxa"/>
          <w:bottom w:w="0" w:type="dxa"/>
          <w:right w:w="0" w:type="dxa"/>
        </w:tblCellMar>
      </w:tblPr>
      <w:tblGrid>
        <w:gridCol w:w="1116"/>
        <w:gridCol w:w="170"/>
        <w:gridCol w:w="170"/>
        <w:gridCol w:w="213"/>
        <w:gridCol w:w="181"/>
        <w:gridCol w:w="181"/>
        <w:gridCol w:w="8174"/>
      </w:tblGrid>
      <w:tr>
        <w:trPr/>
        <w:tc>
          <w:tcPr>
            <w:tcW w:w="11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pPr>
            <w:r>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Time: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11:00 a.m. Eastern Standard Time on Thursday, December 3, 2026; Online access begins at 10:45 a.m. on December 3, 2026.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Place: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virtually via the internet, at www.virtualshareholdermeeting.com/GALT2026.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Items of Business: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81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elect the eleven (11) nominees for director named in the accompanying proxy statement to hold office until the 2027 annual meeting of our stockholders.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81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adopt and approve an amendment to our Restated Articles of Incorporation increasing the number of authorized common voting shares (“common stock”) from 150,000,000 to 250,000,000.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81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2019 Omnibus Equity Incentive Plan to reserve an additional 3,000,000 shares for issuance under the plan.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81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Committee of the Board of Directors of Cherry Bekaert LLP as our independent registered public accounting firm for the fiscal year ending December 31, 2026.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81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meeting or any adjournments of the 2026 Annual Meeting.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Who Can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can vote if you were a stockholder of record of our Common Stock or our Series A 12% Convertible Preferred Stock, as of the close of business on October 6, 2026.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Proxy Materials: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You may access our Annual Report and this Notice and proxy statement at www.proxyvote.com and on our website at www.galectintherapeutics.com. Instructions on how to obtain paper copies of the proxy materials are on page </w:t>
            </w:r>
            <w:hyperlink w:anchor="tWIH">
              <w:r>
                <w:rPr>
                  <w:rStyle w:val="InternetLink"/>
                  <w:rFonts w:ascii="Times New Roman;Times;serif" w:hAnsi="Times New Roman;Times;serif"/>
                  <w:color w:val="000080"/>
                  <w:sz w:val="20"/>
                </w:rPr>
                <w:t>5</w:t>
              </w:r>
            </w:hyperlink>
            <w:r>
              <w:rPr>
                <w:rFonts w:ascii="Times New Roman;Times;serif" w:hAnsi="Times New Roman;Times;serif"/>
                <w:color w:val="000000"/>
                <w:sz w:val="20"/>
              </w:rPr>
              <w:t xml:space="preserve"> of this notice.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Date of Mailing: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Notice, the proxy statement and the form of proxy are first being made available to stockholders on or about October 13, 2026.</w:t>
            </w:r>
          </w:p>
        </w:tc>
      </w:tr>
      <w:tr>
        <w:trPr/>
        <w:tc>
          <w:tcPr>
            <w:tcW w:w="11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WHETHER OR NOT YOU EXPECT TO ATTEND THE ANNUAL MEETING, PLEASE SUBMIT PROMPTLY VOTE YOUR SHARES BY FOLLOWING THE INSTRUCTIONS ON THE NOTICE CARD OR PROXY CARD. </w:t>
      </w:r>
    </w:p>
    <w:p>
      <w:pPr>
        <w:pStyle w:val="TextBody"/>
        <w:bidi w:val="0"/>
        <w:spacing w:before="17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 xml:space="preserve">Important Notice Regarding the Availability of Proxy Materials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for the Annual Meeting to be Held December 3, 2026.</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Letter to Stockholders, Notice of Meeting, Proxy Statement, and Annual Report on Form 10-K, are available at: www.proxyvote.com </w:t>
      </w:r>
    </w:p>
    <w:tbl>
      <w:tblPr>
        <w:tblW w:w="3440" w:type="dxa"/>
        <w:jc w:val="left"/>
        <w:tblInd w:w="0" w:type="dxa"/>
        <w:tblLayout w:type="fixed"/>
        <w:tblCellMar>
          <w:top w:w="0" w:type="dxa"/>
          <w:left w:w="0" w:type="dxa"/>
          <w:bottom w:w="0" w:type="dxa"/>
          <w:right w:w="0" w:type="dxa"/>
        </w:tblCellMar>
      </w:tblPr>
      <w:tblGrid>
        <w:gridCol w:w="185"/>
        <w:gridCol w:w="170"/>
        <w:gridCol w:w="170"/>
        <w:gridCol w:w="29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285875"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5875" cy="4095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Jack W. Callicutt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80978x2_def14a_103-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389"/>
        <w:gridCol w:w="170"/>
        <w:gridCol w:w="170"/>
        <w:gridCol w:w="476"/>
      </w:tblGrid>
      <w:tr>
        <w:trPr/>
        <w:tc>
          <w:tcPr>
            <w:tcW w:w="93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0"/>
              <w:jc w:val="left"/>
              <w:rPr/>
            </w:pPr>
            <w:r>
              <w:rPr/>
              <w:t> </w:t>
            </w:r>
          </w:p>
        </w:tc>
      </w:tr>
      <w:tr>
        <w:trPr/>
        <w:tc>
          <w:tcPr>
            <w:tcW w:w="938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89" w:type="dxa"/>
            <w:tcBorders/>
            <w:shd w:fill="CCEEFF" w:val="clear"/>
            <w:vAlign w:val="center"/>
          </w:tcPr>
          <w:p>
            <w:pPr>
              <w:pStyle w:val="TableContents"/>
              <w:bidi w:val="0"/>
              <w:spacing w:before="0" w:after="283"/>
              <w:ind w:left="0" w:right="0" w:hanging="0"/>
              <w:jc w:val="left"/>
              <w:rPr/>
            </w:pPr>
            <w:hyperlink w:anchor="tPSF">
              <w:r>
                <w:rPr>
                  <w:rStyle w:val="InternetLink"/>
                  <w:rFonts w:ascii="Times New Roman;Times;serif" w:hAnsi="Times New Roman;Times;serif"/>
                  <w:color w:val="000000"/>
                  <w:sz w:val="20"/>
                </w:rPr>
                <w:t>PROXY STATEMENT FOR 2026 ANNUAL MEETING OF STOCKHOLDERS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PSF">
              <w:r>
                <w:rPr>
                  <w:rStyle w:val="InternetLink"/>
                  <w:rFonts w:ascii="Times New Roman;Times;serif" w:hAnsi="Times New Roman;Times;serif"/>
                  <w:color w:val="000000"/>
                  <w:sz w:val="20"/>
                </w:rPr>
                <w:t>1</w:t>
              </w:r>
            </w:hyperlink>
            <w:hyperlink w:anchor="tPSF">
              <w:r>
                <w:rPr>
                  <w:rStyle w:val="InternetLink"/>
                  <w:rFonts w:ascii="Times New Roman;Times;serif" w:hAnsi="Times New Roman;Times;serif"/>
                  <w:color w:val="000000"/>
                  <w:sz w:val="20"/>
                </w:rPr>
                <w:t xml:space="preserve"> </w:t>
              </w:r>
            </w:hyperlink>
          </w:p>
        </w:tc>
      </w:tr>
      <w:tr>
        <w:trPr/>
        <w:tc>
          <w:tcPr>
            <w:tcW w:w="9389"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ANNUAL MEETING AND VOTING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QAA">
              <w:r>
                <w:rPr>
                  <w:rStyle w:val="InternetLink"/>
                  <w:rFonts w:ascii="Times New Roman;Times;serif" w:hAnsi="Times New Roman;Times;serif"/>
                  <w:color w:val="000000"/>
                  <w:sz w:val="20"/>
                </w:rPr>
                <w:t>2</w:t>
              </w:r>
            </w:hyperlink>
          </w:p>
        </w:tc>
      </w:tr>
      <w:tr>
        <w:trPr/>
        <w:tc>
          <w:tcPr>
            <w:tcW w:w="9389" w:type="dxa"/>
            <w:tcBorders/>
            <w:shd w:fill="CCEEFF" w:val="clear"/>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SECURITY OWNERSHIP OF CERTAIN BENEFICIAL OWNERS AND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SOO">
              <w:r>
                <w:rPr>
                  <w:rStyle w:val="InternetLink"/>
                  <w:rFonts w:ascii="Times New Roman;Times;serif" w:hAnsi="Times New Roman;Times;serif"/>
                  <w:color w:val="000000"/>
                  <w:sz w:val="20"/>
                </w:rPr>
                <w:t>7</w:t>
              </w:r>
            </w:hyperlink>
          </w:p>
        </w:tc>
      </w:tr>
      <w:tr>
        <w:trPr/>
        <w:tc>
          <w:tcPr>
            <w:tcW w:w="9389" w:type="dxa"/>
            <w:tcBorders/>
            <w:vAlign w:val="center"/>
          </w:tcPr>
          <w:p>
            <w:pPr>
              <w:pStyle w:val="TableContents"/>
              <w:bidi w:val="0"/>
              <w:spacing w:before="0" w:after="283"/>
              <w:ind w:left="0" w:right="0" w:hanging="0"/>
              <w:jc w:val="left"/>
              <w:rPr/>
            </w:pPr>
            <w:hyperlink w:anchor="tSBO">
              <w:r>
                <w:rPr>
                  <w:rStyle w:val="InternetLink"/>
                  <w:rFonts w:ascii="Times New Roman;Times;serif" w:hAnsi="Times New Roman;Times;serif"/>
                  <w:color w:val="000000"/>
                  <w:sz w:val="20"/>
                </w:rPr>
                <w:t>SECTION 16(a) BENEFICIAL OWNERSHIP REPORTING COMPLIANCE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SBO">
              <w:r>
                <w:rPr>
                  <w:rStyle w:val="InternetLink"/>
                  <w:rFonts w:ascii="Times New Roman;Times;serif" w:hAnsi="Times New Roman;Times;serif"/>
                  <w:color w:val="000000"/>
                  <w:sz w:val="20"/>
                </w:rPr>
                <w:t>9</w:t>
              </w:r>
            </w:hyperlink>
          </w:p>
        </w:tc>
      </w:tr>
      <w:tr>
        <w:trPr/>
        <w:tc>
          <w:tcPr>
            <w:tcW w:w="9389"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 ELECTION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10</w:t>
              </w:r>
            </w:hyperlink>
          </w:p>
        </w:tc>
      </w:tr>
      <w:tr>
        <w:trPr/>
        <w:tc>
          <w:tcPr>
            <w:tcW w:w="9389"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EO">
              <w:r>
                <w:rPr>
                  <w:rStyle w:val="InternetLink"/>
                  <w:rFonts w:ascii="Times New Roman;Times;serif" w:hAnsi="Times New Roman;Times;serif"/>
                  <w:color w:val="000000"/>
                  <w:sz w:val="20"/>
                </w:rPr>
                <w:t>14</w:t>
              </w:r>
            </w:hyperlink>
          </w:p>
        </w:tc>
      </w:tr>
      <w:tr>
        <w:trPr/>
        <w:tc>
          <w:tcPr>
            <w:tcW w:w="9389" w:type="dxa"/>
            <w:tcBorders/>
            <w:shd w:fill="CCEEFF" w:val="clear"/>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CG">
              <w:r>
                <w:rPr>
                  <w:rStyle w:val="InternetLink"/>
                  <w:rFonts w:ascii="Times New Roman;Times;serif" w:hAnsi="Times New Roman;Times;serif"/>
                  <w:color w:val="000000"/>
                  <w:sz w:val="20"/>
                </w:rPr>
                <w:t>14</w:t>
              </w:r>
            </w:hyperlink>
          </w:p>
        </w:tc>
      </w:tr>
      <w:tr>
        <w:trPr/>
        <w:tc>
          <w:tcPr>
            <w:tcW w:w="9389"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DC">
              <w:r>
                <w:rPr>
                  <w:rStyle w:val="InternetLink"/>
                  <w:rFonts w:ascii="Times New Roman;Times;serif" w:hAnsi="Times New Roman;Times;serif"/>
                  <w:color w:val="000000"/>
                  <w:sz w:val="20"/>
                </w:rPr>
                <w:t>21</w:t>
              </w:r>
            </w:hyperlink>
          </w:p>
        </w:tc>
      </w:tr>
      <w:tr>
        <w:trPr/>
        <w:tc>
          <w:tcPr>
            <w:tcW w:w="9389"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EC">
              <w:r>
                <w:rPr>
                  <w:rStyle w:val="InternetLink"/>
                  <w:rFonts w:ascii="Times New Roman;Times;serif" w:hAnsi="Times New Roman;Times;serif"/>
                  <w:color w:val="000000"/>
                  <w:sz w:val="20"/>
                </w:rPr>
                <w:t>23</w:t>
              </w:r>
            </w:hyperlink>
          </w:p>
        </w:tc>
      </w:tr>
      <w:tr>
        <w:trPr/>
        <w:tc>
          <w:tcPr>
            <w:tcW w:w="9389" w:type="dxa"/>
            <w:tcBorders/>
            <w:vAlign w:val="center"/>
          </w:tcPr>
          <w:p>
            <w:pPr>
              <w:pStyle w:val="TableContents"/>
              <w:bidi w:val="0"/>
              <w:spacing w:before="0" w:after="283"/>
              <w:ind w:left="0" w:right="0" w:hanging="0"/>
              <w:jc w:val="left"/>
              <w:rPr/>
            </w:pPr>
            <w:hyperlink w:anchor="tSCT">
              <w:r>
                <w:rPr>
                  <w:rStyle w:val="InternetLink"/>
                  <w:rFonts w:ascii="Times New Roman;Times;serif" w:hAnsi="Times New Roman;Times;serif"/>
                  <w:color w:val="000000"/>
                  <w:sz w:val="20"/>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SCT">
              <w:r>
                <w:rPr>
                  <w:rStyle w:val="InternetLink"/>
                  <w:rFonts w:ascii="Times New Roman;Times;serif" w:hAnsi="Times New Roman;Times;serif"/>
                  <w:color w:val="000000"/>
                  <w:sz w:val="20"/>
                </w:rPr>
                <w:t>29</w:t>
              </w:r>
            </w:hyperlink>
          </w:p>
        </w:tc>
      </w:tr>
      <w:tr>
        <w:trPr/>
        <w:tc>
          <w:tcPr>
            <w:tcW w:w="9389" w:type="dxa"/>
            <w:tcBorders/>
            <w:shd w:fill="CCEEFF" w:val="clear"/>
            <w:vAlign w:val="center"/>
          </w:tcPr>
          <w:p>
            <w:pPr>
              <w:pStyle w:val="TableContents"/>
              <w:bidi w:val="0"/>
              <w:spacing w:before="0" w:after="283"/>
              <w:ind w:left="0" w:right="0" w:hanging="0"/>
              <w:jc w:val="left"/>
              <w:rPr/>
            </w:pPr>
            <w:hyperlink w:anchor="tOEA">
              <w:r>
                <w:rPr>
                  <w:rStyle w:val="InternetLink"/>
                  <w:rFonts w:ascii="Times New Roman;Times;serif" w:hAnsi="Times New Roman;Times;serif"/>
                  <w:color w:val="000000"/>
                  <w:sz w:val="20"/>
                </w:rPr>
                <w:t>OUTSTANDING EQUITY AWARDS AT FISCAL YEAR-END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OEA">
              <w:r>
                <w:rPr>
                  <w:rStyle w:val="InternetLink"/>
                  <w:rFonts w:ascii="Times New Roman;Times;serif" w:hAnsi="Times New Roman;Times;serif"/>
                  <w:color w:val="000000"/>
                  <w:sz w:val="20"/>
                </w:rPr>
                <w:t>30</w:t>
              </w:r>
            </w:hyperlink>
          </w:p>
        </w:tc>
      </w:tr>
      <w:tr>
        <w:trPr/>
        <w:tc>
          <w:tcPr>
            <w:tcW w:w="9389" w:type="dxa"/>
            <w:tcBorders/>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NO. 2 TO ADOPT AND APPROVE AN AMENDMENT TO OUR RESTATED ARTICLES OF INCORPORATION INCREASING THE NUMBER OF AUTHORIZED COMMON STOCK FROM 150,000,000 TO 250,000,000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PROP2">
              <w:r>
                <w:rPr>
                  <w:rStyle w:val="InternetLink"/>
                  <w:rFonts w:ascii="Times New Roman;Times;serif" w:hAnsi="Times New Roman;Times;serif"/>
                  <w:color w:val="000000"/>
                  <w:sz w:val="20"/>
                </w:rPr>
                <w:t>36</w:t>
              </w:r>
            </w:hyperlink>
          </w:p>
        </w:tc>
      </w:tr>
      <w:tr>
        <w:trPr/>
        <w:tc>
          <w:tcPr>
            <w:tcW w:w="9389" w:type="dxa"/>
            <w:tcBorders/>
            <w:shd w:fill="CCEEFF" w:val="clear"/>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NO. 3 TO APPROVE AN AMENDMENT TO OUR 2019 OMNIBUS EQUITY INCENTIVE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PROP3">
              <w:r>
                <w:rPr>
                  <w:rStyle w:val="InternetLink"/>
                  <w:rFonts w:ascii="Times New Roman;Times;serif" w:hAnsi="Times New Roman;Times;serif"/>
                  <w:color w:val="000000"/>
                  <w:sz w:val="20"/>
                </w:rPr>
                <w:t>38</w:t>
              </w:r>
            </w:hyperlink>
          </w:p>
        </w:tc>
      </w:tr>
      <w:tr>
        <w:trPr/>
        <w:tc>
          <w:tcPr>
            <w:tcW w:w="9389" w:type="dxa"/>
            <w:tcBorders/>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PROPOSAL NO. 4 RATIFICATION OF APPOINTMENT OF INDEPENDENT AUDITORS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PROP4">
              <w:r>
                <w:rPr>
                  <w:rStyle w:val="InternetLink"/>
                  <w:rFonts w:ascii="Times New Roman;Times;serif" w:hAnsi="Times New Roman;Times;serif"/>
                  <w:color w:val="000000"/>
                  <w:sz w:val="20"/>
                </w:rPr>
                <w:t>39</w:t>
              </w:r>
            </w:hyperlink>
          </w:p>
        </w:tc>
      </w:tr>
      <w:tr>
        <w:trPr/>
        <w:tc>
          <w:tcPr>
            <w:tcW w:w="9389" w:type="dxa"/>
            <w:tcBorders/>
            <w:shd w:fill="CCEEFF" w:val="clear"/>
            <w:vAlign w:val="center"/>
          </w:tcPr>
          <w:p>
            <w:pPr>
              <w:pStyle w:val="TableContents"/>
              <w:bidi w:val="0"/>
              <w:spacing w:before="0" w:after="283"/>
              <w:ind w:left="0" w:right="0" w:hanging="0"/>
              <w:jc w:val="left"/>
              <w:rPr/>
            </w:pPr>
            <w:hyperlink w:anchor="tFPT">
              <w:r>
                <w:rPr>
                  <w:rStyle w:val="InternetLink"/>
                  <w:rFonts w:ascii="Times New Roman;Times;serif" w:hAnsi="Times New Roman;Times;serif"/>
                  <w:color w:val="000000"/>
                  <w:sz w:val="20"/>
                </w:rPr>
                <w:t>FEES PAID TO CHERRY BEKAERT LLP</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FPT">
              <w:r>
                <w:rPr>
                  <w:rStyle w:val="InternetLink"/>
                  <w:rFonts w:ascii="Times New Roman;Times;serif" w:hAnsi="Times New Roman;Times;serif"/>
                  <w:color w:val="000000"/>
                  <w:sz w:val="20"/>
                </w:rPr>
                <w:t>39</w:t>
              </w:r>
            </w:hyperlink>
          </w:p>
        </w:tc>
      </w:tr>
      <w:tr>
        <w:trPr/>
        <w:tc>
          <w:tcPr>
            <w:tcW w:w="9389" w:type="dxa"/>
            <w:tcBorders/>
            <w:vAlign w:val="center"/>
          </w:tcPr>
          <w:p>
            <w:pPr>
              <w:pStyle w:val="TableContents"/>
              <w:bidi w:val="0"/>
              <w:spacing w:before="0" w:after="283"/>
              <w:ind w:left="0" w:right="0" w:hanging="0"/>
              <w:jc w:val="left"/>
              <w:rPr/>
            </w:pPr>
            <w:hyperlink w:anchor="tPOS">
              <w:r>
                <w:rPr>
                  <w:rStyle w:val="InternetLink"/>
                  <w:rFonts w:ascii="Times New Roman;Times;serif" w:hAnsi="Times New Roman;Times;serif"/>
                  <w:color w:val="000000"/>
                  <w:sz w:val="20"/>
                </w:rPr>
                <w:t>PROPOSALS OF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POS">
              <w:r>
                <w:rPr>
                  <w:rStyle w:val="InternetLink"/>
                  <w:rFonts w:ascii="Times New Roman;Times;serif" w:hAnsi="Times New Roman;Times;serif"/>
                  <w:color w:val="000000"/>
                  <w:sz w:val="20"/>
                </w:rPr>
                <w:t>40</w:t>
              </w:r>
            </w:hyperlink>
          </w:p>
        </w:tc>
      </w:tr>
      <w:tr>
        <w:trPr/>
        <w:tc>
          <w:tcPr>
            <w:tcW w:w="9389" w:type="dxa"/>
            <w:tcBorders/>
            <w:shd w:fill="CCEEFF" w:val="clear"/>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ANNUAL REPORT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AR">
              <w:r>
                <w:rPr>
                  <w:rStyle w:val="InternetLink"/>
                  <w:rFonts w:ascii="Times New Roman;Times;serif" w:hAnsi="Times New Roman;Times;serif"/>
                  <w:color w:val="000000"/>
                  <w:sz w:val="20"/>
                </w:rPr>
                <w:t>41</w:t>
              </w:r>
            </w:hyperlink>
          </w:p>
        </w:tc>
      </w:tr>
      <w:tr>
        <w:trPr/>
        <w:tc>
          <w:tcPr>
            <w:tcW w:w="9389" w:type="dxa"/>
            <w:tcBorders/>
            <w:vAlign w:val="center"/>
          </w:tcPr>
          <w:p>
            <w:pPr>
              <w:pStyle w:val="TableContents"/>
              <w:bidi w:val="0"/>
              <w:spacing w:before="0" w:after="283"/>
              <w:ind w:left="0" w:right="0" w:hanging="0"/>
              <w:jc w:val="left"/>
              <w:rPr/>
            </w:pPr>
            <w:hyperlink w:anchor="tHTA">
              <w:r>
                <w:rPr>
                  <w:rStyle w:val="InternetLink"/>
                  <w:rFonts w:ascii="Times New Roman;Times;serif" w:hAnsi="Times New Roman;Times;serif"/>
                  <w:color w:val="000000"/>
                  <w:sz w:val="20"/>
                </w:rPr>
                <w:t>HOW TO ATTEND THE 2026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HTA">
              <w:r>
                <w:rPr>
                  <w:rStyle w:val="InternetLink"/>
                  <w:rFonts w:ascii="Times New Roman;Times;serif" w:hAnsi="Times New Roman;Times;serif"/>
                  <w:color w:val="000000"/>
                  <w:sz w:val="20"/>
                </w:rPr>
                <w:t>42</w:t>
              </w:r>
            </w:hyperlink>
          </w:p>
        </w:tc>
      </w:tr>
      <w:tr>
        <w:trPr/>
        <w:tc>
          <w:tcPr>
            <w:tcW w:w="93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8" w:name="ny20080978x2_def14a_104-prox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GALECTIN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4960 Peachtree Industrial Blvd., Suite 240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Norcross, Georgia 30071 </w:t>
      </w:r>
    </w:p>
    <w:p>
      <w:pPr>
        <w:pStyle w:val="TextBody"/>
        <w:bidi w:val="0"/>
        <w:spacing w:before="390" w:after="283"/>
        <w:jc w:val="center"/>
        <w:rPr>
          <w:rFonts w:ascii="Times New Roman;Times;serif" w:hAnsi="Times New Roman;Times;serif"/>
          <w:b/>
          <w:color w:val="000000"/>
          <w:sz w:val="20"/>
        </w:rPr>
      </w:pPr>
      <w:bookmarkStart w:id="9" w:name="tPSF"/>
      <w:bookmarkEnd w:id="9"/>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December 3, 2026 </w:t>
      </w:r>
    </w:p>
    <w:p>
      <w:pPr>
        <w:pStyle w:val="TextBody"/>
        <w:bidi w:val="0"/>
        <w:spacing w:before="360" w:after="283"/>
        <w:ind w:left="0" w:right="0" w:firstLine="400"/>
        <w:jc w:val="left"/>
        <w:rPr/>
      </w:pPr>
      <w:r>
        <w:rPr>
          <w:rFonts w:ascii="Times New Roman;Times;serif" w:hAnsi="Times New Roman;Times;serif"/>
          <w:color w:val="000000"/>
          <w:sz w:val="20"/>
        </w:rPr>
        <w:t xml:space="preserve">This proxy statement contains information about the 2026 annual meeting of stockholders (“2026 Annual Meeting”) of Galectin Therapeutics Inc. (referred to in this proxy statement as “Galectin”, “Galectin Therapeutics”, “the Company”, “we”, “our” or “us”). The 2026 Annual Meeting will be held virtually over the internet on Thursday, December 3, 2026, beginning at 11:00 a.m. Eastern Standard Time, at www.virtualshareholdermeeting.com/GALT2026. Online access begins at 10:45 a.m. on the date of the 2026 Annual Meeting. Due to the cost savings and other efficiencies resulting from conducting a virtual meeting, the Company is conducting an online-only format for the 2026 annual meeting. Stockholders will be able to listen, vote, and submit questions from their home or any remote location with internet connectivity. The 2026 Annual Meeting has been designed to provide the same rights to participate as you would have at an in-person meeting. Information on how to participate in this year’s virtual meeting can be found on page </w:t>
      </w:r>
      <w:hyperlink w:anchor="tHTA">
        <w:r>
          <w:rPr>
            <w:rStyle w:val="InternetLink"/>
            <w:rFonts w:ascii="Times New Roman;Times;serif" w:hAnsi="Times New Roman;Times;serif"/>
            <w:color w:val="000080"/>
            <w:sz w:val="20"/>
          </w:rPr>
          <w:t>42</w:t>
        </w:r>
      </w:hyperlink>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is furnished in connection with the solicitation of proxies by our Board of Directors for use at the 2026 Annual Meeting. All proxies will be voted in accordance with the instructions they contain. If you do not specify your voting instructions on your proxy, it will be voted in accordance with the recommendations of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proxy materials, together with our Annual Report to stockholders on Form 10-K for our 2025 fiscal year, are first being made available to stockholders on or about October 13, 2026 and are also available online at www.proxyvote.com and at www.galectintherapeutics.com. For ease of voting, stockholders are encouraged to vote using the Internet. We encourage you to access and review all of the important information in the proxy materials before voting.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Instructions on How to Attend the 2026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year our annual meeting will be a virtual online-only meeting. There will be no physical meeting location. The meeting will only be conducted via live webcast. To participate in the 2026 Annual Meeting, visit www.virtualshareholdermeeting.com/GALT2026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2026. The meeting will begin promptly at 11:00 a.m. Eastern Standard Time on December 3,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want to submit question during the meeting, log into the virtual meeting platform at www.virtualshareholdermeeting.com/GALT2026,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2026 Annual Meeting has been designed to provide the same rights to participate as you would have at an in-person meeting. If you encounter any difficulties accessing the 2026 Annual Meeting during the check-in or meeting time, please call the technical support number that will be posted on the Virtual Shareholder Meeting log in page at www.virtualshareholdermeeting.com/GALT2026.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80978x2_def14a_105-qa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QAA"/>
      <w:bookmarkEnd w:id="11"/>
      <w:r>
        <w:rPr>
          <w:rFonts w:ascii="Times New Roman;Times;serif" w:hAnsi="Times New Roman;Times;serif"/>
          <w:b/>
          <w:color w:val="000000"/>
          <w:sz w:val="20"/>
        </w:rPr>
        <w:t xml:space="preserve">QUESTIONS AND ANSWERS ABOUT THE ANNUAL MEETING AND VOTING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is the annual meeting held in a virtual, online-only format this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holding our 2026 annual meeting in a virtual, online-only format this year due to cost savings and other efficiencies resulting from conducting a virtual meeting. We believe that the virtual meeting format will facilitate stockholder attendance and participation at the annual meeting by enabling stockholders to participate remotely from any location without incurring the travel costs and time of attending the meeting in-person.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annual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2026 Annual Meeting will be held for the following purposes: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eleven nominees named in this proxy statement for director to hold office until the 2027 annual meeting of our stockholders.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adopt and approve an amendment to our Restated Articles of Incorporation increasing the number of authorized common voting shares (“common stock”) from 150,000,000 to 250,000,000.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approve an amendment to our 2019 Omnibus Equity Incentive Plan to reserve an additional 3,000,000 shares for issuance under the plan.</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Committee of the Board of Directors of Cherry Bekaert LLP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meeting or any adjournments of the 2026 Annual Meeting.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vote if you were a stockholder of Galectin Therapeutics as of the close of business on the record date, October 6, 2026. Shares outstanding on the record date are the following: </w:t>
      </w:r>
    </w:p>
    <w:tbl>
      <w:tblPr>
        <w:tblW w:w="7105" w:type="dxa"/>
        <w:jc w:val="left"/>
        <w:tblInd w:w="0" w:type="dxa"/>
        <w:tblLayout w:type="fixed"/>
        <w:tblCellMar>
          <w:top w:w="0" w:type="dxa"/>
          <w:left w:w="0" w:type="dxa"/>
          <w:bottom w:w="0" w:type="dxa"/>
          <w:right w:w="0" w:type="dxa"/>
        </w:tblCellMar>
      </w:tblPr>
      <w:tblGrid>
        <w:gridCol w:w="140"/>
        <w:gridCol w:w="6965"/>
      </w:tblGrid>
      <w:tr>
        <w:trPr/>
        <w:tc>
          <w:tcPr>
            <w:tcW w:w="14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100,849,644 shares of common stock, par value $0.001 per share (“Common Stock”) </w:t>
            </w:r>
          </w:p>
        </w:tc>
      </w:tr>
    </w:tbl>
    <w:tbl>
      <w:tblPr>
        <w:tblW w:w="9700" w:type="dxa"/>
        <w:jc w:val="left"/>
        <w:tblInd w:w="0" w:type="dxa"/>
        <w:tblLayout w:type="fixed"/>
        <w:tblCellMar>
          <w:top w:w="0" w:type="dxa"/>
          <w:left w:w="0" w:type="dxa"/>
          <w:bottom w:w="0" w:type="dxa"/>
          <w:right w:w="0" w:type="dxa"/>
        </w:tblCellMar>
      </w:tblPr>
      <w:tblGrid>
        <w:gridCol w:w="140"/>
        <w:gridCol w:w="9560"/>
      </w:tblGrid>
      <w:tr>
        <w:trPr/>
        <w:tc>
          <w:tcPr>
            <w:tcW w:w="14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1,185,500 shares of Series A 12% Convertible Preferred Stock, par value $0.01 per share (“Series A Preferred Stock”).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Directors and executive officers of Galectin Therapeutics own or control the voting of 46,583,767 shares of Common Stock or the common equivalent of voting Preferred Stock, representing approximately 46% of the total outstanding voting shares at the record date. We expect all of these shares will be voted </w:t>
      </w:r>
      <w:r>
        <w:rPr>
          <w:rFonts w:ascii="Times New Roman;Times;serif" w:hAnsi="Times New Roman;Times;serif"/>
          <w:b/>
          <w:color w:val="000000"/>
          <w:sz w:val="20"/>
        </w:rPr>
        <w:t>FOR</w:t>
      </w:r>
      <w:r>
        <w:rPr>
          <w:rFonts w:ascii="Times New Roman;Times;serif" w:hAnsi="Times New Roman;Times;serif"/>
          <w:color w:val="000000"/>
          <w:sz w:val="20"/>
        </w:rPr>
        <w:t xml:space="preserve"> all of the proposals.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the record holder of your shares, meaning that you own your shares in your own name and not through a bank or brokerage firm, you may vote as follows: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by mail</w:t>
            </w:r>
            <w:r>
              <w:rPr>
                <w:rFonts w:ascii="Times New Roman;Times;serif" w:hAnsi="Times New Roman;Times;serif"/>
                <w:color w:val="000000"/>
                <w:sz w:val="20"/>
              </w:rPr>
              <w:t xml:space="preserve">. You may vote by completing and signing the proxy card enclosed with this proxy statement (or by requesting a paper copy of the materials if you only received an electronic version) and promptly mailing it in the enclosed postage-prepaid envelope. You do not need to put a stamp on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2" w:name="ny20080978x2_def14a_105-qa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by Internet prior to the 2026 Annual Meeting</w:t>
            </w:r>
            <w:r>
              <w:rPr>
                <w:rFonts w:ascii="Times New Roman;Times;serif" w:hAnsi="Times New Roman;Times;serif"/>
                <w:color w:val="000000"/>
                <w:sz w:val="20"/>
              </w:rPr>
              <w:t xml:space="preserve">. You may vote over the Internet as instructed on the proxy card enclosed with this proxy statement and accessing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during the 2026 Annual Meeting</w:t>
            </w:r>
            <w:r>
              <w:rPr>
                <w:rFonts w:ascii="Times New Roman;Times;serif" w:hAnsi="Times New Roman;Times;serif"/>
                <w:color w:val="000000"/>
                <w:sz w:val="20"/>
              </w:rPr>
              <w:t xml:space="preserve">. If you attend the 2026 Annual Meeting virtually by visiting www.virtualshareholdermeeting.com/GALT2026 at 11:00 a.m. Eastern Standard Time on December 3, 2026, you may vote during the 2026 Annual Meeting. You will need the 16-digit control number included on your notice of Internet availability of the proxy materials, on your proxy card or on the instructions that accompanied your proxy materials.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of Directors recommend that I vote on the proposals?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that you vote: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election of each of the eleven nominees to serve as directors on the Board of Directors until our 2027 annual meeting of stockholders.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adopting and approving an amendment to our Restated Articles of Incorporation increasing the number of authorized common voting shares (“common stock”) from 150,000,000 to 250,000,000.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approving an amendment to our 2019 Omnibus Equity Incentive Plan to reserve an additional 3,000,000 shares for issuance under the plan.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ratification of the selection of Cherry Bekaert LLP, as our independent registered public accounting firm for the 2026 fiscal year.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my vote important?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no matter how many shares you own. Please take the time to vote. Take a moment to read the instructions in this proxy statement. Choose the way to vote that is the easiest and most convenient for you and cast your vote as soon as possible.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return a proxy card but do not make specific choices?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proxy card returned without directions given will be voted (1) “</w:t>
      </w:r>
      <w:r>
        <w:rPr>
          <w:rFonts w:ascii="Times New Roman;Times;serif" w:hAnsi="Times New Roman;Times;serif"/>
          <w:b/>
          <w:color w:val="000000"/>
          <w:sz w:val="20"/>
        </w:rPr>
        <w:t>FOR</w:t>
      </w:r>
      <w:r>
        <w:rPr>
          <w:rFonts w:ascii="Times New Roman;Times;serif" w:hAnsi="Times New Roman;Times;serif"/>
          <w:color w:val="000000"/>
          <w:sz w:val="20"/>
        </w:rPr>
        <w:t>” the election of the nominees presented in this proxy statement to the Board of Directors, 2) “</w:t>
      </w:r>
      <w:r>
        <w:rPr>
          <w:rFonts w:ascii="Times New Roman;Times;serif" w:hAnsi="Times New Roman;Times;serif"/>
          <w:b/>
          <w:color w:val="000000"/>
          <w:sz w:val="20"/>
        </w:rPr>
        <w:t>FOR</w:t>
      </w:r>
      <w:r>
        <w:rPr>
          <w:rFonts w:ascii="Times New Roman;Times;serif" w:hAnsi="Times New Roman;Times;serif"/>
          <w:color w:val="000000"/>
          <w:sz w:val="20"/>
        </w:rPr>
        <w:t>” adopting and approving an amendment to our Restated Articles of Incorporation increasing the number of authorized common voting shares (“common stock”) from 150,000,000 to 250,000,000, (3) “</w:t>
      </w:r>
      <w:r>
        <w:rPr>
          <w:rFonts w:ascii="Times New Roman;Times;serif" w:hAnsi="Times New Roman;Times;serif"/>
          <w:b/>
          <w:color w:val="000000"/>
          <w:sz w:val="20"/>
        </w:rPr>
        <w:t>FOR”</w:t>
      </w:r>
      <w:r>
        <w:rPr>
          <w:rFonts w:ascii="Times New Roman;Times;serif" w:hAnsi="Times New Roman;Times;serif"/>
          <w:color w:val="000000"/>
          <w:sz w:val="20"/>
        </w:rPr>
        <w:t xml:space="preserve"> approving an amendment to our 2019 Omnibus Equity Incentive Plan to reserve an additional 3,000,000 shares for issuance under the plan, (4) “</w:t>
      </w: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Cherry Bekaert LLP as our independent registered public accounting firm to audit the financial statements for our 2026 fiscal year, and (5) as to any other business that may come before the 2026 Annual Meeting, in accordance with the judgment of the person or persons named in the proxy.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my shares be voted if I do not provide my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shares may be voted if they are held in the name of a brokerage firm, even if you do not provide the brokerage firm with voting instructions. Brokerage firms have the authority to vote shares for which their customers do not provide voting instructions on certain “routine”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proposals relating to the election of directors, and an amendment to our Omnibus Equity Incentive Plan are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3" w:name="ny20080978x2_def14a_105-qa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proposals to adopt and approve an amendment to our Restated Articles of Incorporation increasing authorized common shares and to ratify the selection of Cherry Bekaert LLP as our independent auditor for fiscal year 2026, are considered a routine matter for which brokerage firms may (or may not) vote shares for which they have not received voting instructions. Several large brokerage firms, such as Charles Schwab have announced that they have eliminated discretionary voting for even “routine” matters. Therefore, if you hold your shares through such brokerage firms, then your shares might not be voted, even for “routine” matters if you do not give voting instruction to your broker. Therefore, we urge every shareholder to vote their shares.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have mailed my proxy card or after I have voted my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You can change your vote and revoke your proxy at any time before the polls close at the meeting by doing any one of the following things: </w:t>
      </w:r>
    </w:p>
    <w:tbl>
      <w:tblPr>
        <w:tblW w:w="3460" w:type="dxa"/>
        <w:jc w:val="left"/>
        <w:tblInd w:w="0" w:type="dxa"/>
        <w:tblLayout w:type="fixed"/>
        <w:tblCellMar>
          <w:top w:w="0" w:type="dxa"/>
          <w:left w:w="0" w:type="dxa"/>
          <w:bottom w:w="0" w:type="dxa"/>
          <w:right w:w="0" w:type="dxa"/>
        </w:tblCellMar>
      </w:tblPr>
      <w:tblGrid>
        <w:gridCol w:w="140"/>
        <w:gridCol w:w="3320"/>
      </w:tblGrid>
      <w:tr>
        <w:trPr/>
        <w:tc>
          <w:tcPr>
            <w:tcW w:w="14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another proxy with a later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giving our Corporate Secretary, Jack W. Callicutt, written notice to that effect. He may be contacted at 4960 Peachtree Industrial Blvd., Suite 240, Norcross, GA 30071; telephone: 678-620-3186; e-mail: callicutt@galectintherapeutics.com;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again prior to the time at which the Internet voting facilities close by following the procedures applicable to that method of voting, as directed on the enclosed proxy card; or </w:t>
            </w:r>
          </w:p>
        </w:tc>
      </w:tr>
    </w:tbl>
    <w:tbl>
      <w:tblPr>
        <w:tblW w:w="7780" w:type="dxa"/>
        <w:jc w:val="left"/>
        <w:tblInd w:w="0" w:type="dxa"/>
        <w:tblLayout w:type="fixed"/>
        <w:tblCellMar>
          <w:top w:w="0" w:type="dxa"/>
          <w:left w:w="0" w:type="dxa"/>
          <w:bottom w:w="0" w:type="dxa"/>
          <w:right w:w="0" w:type="dxa"/>
        </w:tblCellMar>
      </w:tblPr>
      <w:tblGrid>
        <w:gridCol w:w="140"/>
        <w:gridCol w:w="7640"/>
      </w:tblGrid>
      <w:tr>
        <w:trPr/>
        <w:tc>
          <w:tcPr>
            <w:tcW w:w="14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the 2026 Annual Meeting virtually via the Internet and voting during the meeting.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access the proxy materials over the internet?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view and also download our proxy materials, including the 2025 Annual Report, our Form 10-K for the year ended December 31, 2025, and the Notice by accessing www.proxyvote.com and on our website at www.galectintherapeutics.com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pays for the solicitation of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solicitation of proxies in the enclosed form is made on behalf of the Board of Directors.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at least one-third of the outstanding shares entitled to vote are represented by stockholders present at the meeting or by proxy. On the record date, there were 101,072,606 shares of Common Stock outstanding or deemed outstanding based on voting rights of Series A Preferred Stock on an as-converted basis. Thus, 33,690,869 shares must be represented by stockholders present at the meeting or by proxy to have a quorum.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each item to pass?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Election of Directors. </w:t>
      </w:r>
      <w:r>
        <w:rPr>
          <w:rFonts w:ascii="Times New Roman;Times;serif" w:hAnsi="Times New Roman;Times;serif"/>
          <w:b w:val="false"/>
          <w:i w:val="false"/>
          <w:caps w:val="false"/>
          <w:smallCaps w:val="false"/>
          <w:color w:val="000000"/>
          <w:sz w:val="20"/>
        </w:rPr>
        <w:t xml:space="preserve">Directors are elected by a plurality of the votes cast by the holders of shares entitled to vote in the election. There are eleven nominees and eleven positions to be filled; this means that the eleven individuals receiving the most votes will be elected. Abstentions and broker non-votes will not be relevant to the outcome, but abstentions and votes “withheld” are counted for the purpose of establishing a quorum.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Amendment to our Restated Articles of Incorporation.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Approval of the amendment to our Restated Articles of Incorporation, requires a majority of the outstanding shares of the Company, voting as a single class. . Accordingly, abstentions and broker non-votes will have the same effect as a vote “against” on this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4" w:name="ny20080978x2_def14a_105-qa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to our 2019 Omnibus Equity Incentive Plan. </w:t>
      </w:r>
      <w:r>
        <w:rPr>
          <w:rFonts w:ascii="Times New Roman;Times;serif" w:hAnsi="Times New Roman;Times;serif"/>
          <w:b w:val="false"/>
          <w:i w:val="false"/>
          <w:caps w:val="false"/>
          <w:smallCaps w:val="false"/>
          <w:color w:val="000000"/>
          <w:sz w:val="20"/>
        </w:rPr>
        <w:t xml:space="preserve">The votes cast “for” must exceed the votes cast “against” in order to approve the amendment to our 2019 Omnibus Equity Incentive Plan to reserve an additional 3,000,000 shares for issuance under the plan. Abstentions will be counted for the purpose of establishing a quorum but will not be relevant to the outcome.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Ratification of independent registered public accounting firm. </w:t>
      </w:r>
      <w:r>
        <w:rPr>
          <w:rFonts w:ascii="Times New Roman;Times;serif" w:hAnsi="Times New Roman;Times;serif"/>
          <w:b w:val="false"/>
          <w:i w:val="false"/>
          <w:caps w:val="false"/>
          <w:smallCaps w:val="false"/>
          <w:color w:val="000000"/>
          <w:sz w:val="20"/>
        </w:rPr>
        <w:t xml:space="preserve">The votes cast “for” must exceed the votes cast “against” in order to ratify the selection of Cherry Bekaert LLP, as our independent registered public accounting firm. Abstentions will be counted for the purpose of establishing a quorum but will not be relevant to the outcome.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proposals relating to (i) the election of directors and (ii) the amendment to our Equity Incentive Plan are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and you do not provide voting instructions to your broker, bank or other nominee, your broker is entitled to vote your shares with respect to the proposals to ratify the selection of Cherry Bekaert LLP as our independent auditor for fiscal year 2026, because these proposals are considered routine matters for which brokerage firms may (or may not) vote shares for which they have not received voting instructions. Several large brokerage firms, such as Charles Schwab have announced that they have eliminated discretionary voting for even “routine” matters. Therefore, we urge every shareholder to vote their shares.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“householding”?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 </w:t>
      </w:r>
    </w:p>
    <w:p>
      <w:pPr>
        <w:pStyle w:val="TextBody"/>
        <w:bidi w:val="0"/>
        <w:spacing w:before="120" w:after="283"/>
        <w:ind w:left="0" w:right="0" w:firstLine="400"/>
        <w:jc w:val="left"/>
        <w:rPr>
          <w:rFonts w:ascii="Times New Roman;Times;serif" w:hAnsi="Times New Roman;Times;serif"/>
          <w:color w:val="000000"/>
          <w:sz w:val="20"/>
        </w:rPr>
      </w:pPr>
      <w:bookmarkStart w:id="15" w:name="tWIH"/>
      <w:bookmarkEnd w:id="15"/>
      <w:r>
        <w:rPr>
          <w:rFonts w:ascii="Times New Roman;Times;serif" w:hAnsi="Times New Roman;Times;serif"/>
          <w:color w:val="000000"/>
          <w:sz w:val="20"/>
        </w:rPr>
        <w:t xml:space="preserve">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and when may I submit a stockholder proposal for next year’s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June 15, 2027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2027 nor earlier than August 5, 2027, in order to be considered timely.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the date of the 2027 annual meeting of stockholders is scheduled to take place on a date that is more than 30 calendar days from the one year anniversary of the 2026 Annual Meeting of Stockholders, then we will promptly disclose, by in a Quarterly Report on Form 10-Q or in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also advised to review our bylaws, which contain additional requirements about advance notice of stockholder proposals and director nominations.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6" w:name="ny20080978x2_def14a_105-qa_pg5"/>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comply with the universal proxy rules, stockholders who intend to solicit proxies in support of director nominees other than the Company’s nominees must provide notice that sets forth the information required by Rule 14a-19 under the Exchange Act no later than October 4, 2027 (60 calendar days prior to the anniversary date of the 2026 Annual Meeting). This requirement is in addition to the advance notice requirements under the Company’s bylaws described above.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report the voting results on Form 8-K within four business days after the end of our 2026 Annual Meeting of stockholders. If final voting results are not available to us in time to file a current report on Form 8-K within four business days after the 2026 Annual Meeting, we intend to file a current report on Form 8-K to publish preliminary results and, within four business days after the final results are known to us, file an additional current report on Form 8-K to publish the final results.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7" w:name="ny20080978x2_def14a_106-security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SOO"/>
      <w:bookmarkEnd w:id="18"/>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September 22, 2026,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2026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September 22, 2026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 </w:t>
      </w:r>
    </w:p>
    <w:tbl>
      <w:tblPr>
        <w:tblW w:w="10205" w:type="dxa"/>
        <w:jc w:val="left"/>
        <w:tblInd w:w="0" w:type="dxa"/>
        <w:tblLayout w:type="fixed"/>
        <w:tblCellMar>
          <w:top w:w="0" w:type="dxa"/>
          <w:left w:w="0" w:type="dxa"/>
          <w:bottom w:w="0" w:type="dxa"/>
          <w:right w:w="0" w:type="dxa"/>
        </w:tblCellMar>
      </w:tblPr>
      <w:tblGrid>
        <w:gridCol w:w="4996"/>
        <w:gridCol w:w="170"/>
        <w:gridCol w:w="170"/>
        <w:gridCol w:w="1232"/>
        <w:gridCol w:w="170"/>
        <w:gridCol w:w="170"/>
        <w:gridCol w:w="818"/>
        <w:gridCol w:w="170"/>
        <w:gridCol w:w="170"/>
        <w:gridCol w:w="926"/>
        <w:gridCol w:w="170"/>
        <w:gridCol w:w="170"/>
        <w:gridCol w:w="873"/>
      </w:tblGrid>
      <w:tr>
        <w:trPr/>
        <w:tc>
          <w:tcPr>
            <w:tcW w:w="49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r>
      <w:tr>
        <w:trPr/>
        <w:tc>
          <w:tcPr>
            <w:tcW w:w="499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center"/>
              <w:rPr>
                <w:color w:val="000000"/>
              </w:rPr>
            </w:pPr>
            <w:r>
              <w:rPr>
                <w:color w:val="000000"/>
              </w:rPr>
              <w:t>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Czirr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6,676,665</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10X Fund, L.P.</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5,614,457</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Smith</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Early Equities LLC</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100,000</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8.39%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E. Uihlein</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54,831,388</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49.4%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Directors, New Director Nominee and Other 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center"/>
              <w:rPr>
                <w:color w:val="000000"/>
              </w:rPr>
            </w:pPr>
            <w:r>
              <w:rPr>
                <w:color w:val="000000"/>
              </w:rPr>
              <w:t>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F. Amelio,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435,614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S. Carson, Sr.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Kary Eldred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903,509</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Freeman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834,982</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1,627,431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S. Omenn,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548,013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Elissa J. Schwartz,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Harold H. Shlevin,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411,500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E. Uihlein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54,831,388</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46.1%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A. Zordani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344,853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Khurram Jamil,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Jack W.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551,364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All executive officers and directors as a group (13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61,065,904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r>
      <w:tr>
        <w:trPr/>
        <w:tc>
          <w:tcPr>
            <w:tcW w:w="49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r>
    </w:tbl>
    <w:tbl>
      <w:tblPr>
        <w:tblW w:w="1225" w:type="dxa"/>
        <w:jc w:val="left"/>
        <w:tblInd w:w="0" w:type="dxa"/>
        <w:tblLayout w:type="fixed"/>
        <w:tblCellMar>
          <w:top w:w="0" w:type="dxa"/>
          <w:left w:w="0" w:type="dxa"/>
          <w:bottom w:w="0" w:type="dxa"/>
          <w:right w:w="0" w:type="dxa"/>
        </w:tblCellMar>
      </w:tblPr>
      <w:tblGrid>
        <w:gridCol w:w="140"/>
        <w:gridCol w:w="108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as otherwise indicated, the address for each named person is c/o Galectin Therapeutics Inc., 4960 Peachtree Industrial Blvd., Suite 240, Norcross, GA 30071.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9" w:name="ny20080978x2_def14a_106-security_pg2"/>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following number of shares of our Common Stock issuable upon exercise of outstanding stock options granted to our named executive officers and directors that are exercisable within 60 days after September 22, 2026. </w:t>
            </w:r>
          </w:p>
        </w:tc>
      </w:tr>
    </w:tbl>
    <w:tbl>
      <w:tblPr>
        <w:tblW w:w="6860" w:type="dxa"/>
        <w:jc w:val="left"/>
        <w:tblInd w:w="0" w:type="dxa"/>
        <w:tblLayout w:type="fixed"/>
        <w:tblCellMar>
          <w:top w:w="0" w:type="dxa"/>
          <w:left w:w="0" w:type="dxa"/>
          <w:bottom w:w="0" w:type="dxa"/>
          <w:right w:w="0" w:type="dxa"/>
        </w:tblCellMar>
      </w:tblPr>
      <w:tblGrid>
        <w:gridCol w:w="3770"/>
        <w:gridCol w:w="170"/>
        <w:gridCol w:w="170"/>
        <w:gridCol w:w="2750"/>
      </w:tblGrid>
      <w:tr>
        <w:trPr/>
        <w:tc>
          <w:tcPr>
            <w:tcW w:w="3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r>
        <w:trPr/>
        <w:tc>
          <w:tcPr>
            <w:tcW w:w="37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Directors, Nominees and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Exercisable Within 60 Days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Gilbert F. Amelio,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375,000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Henry Brem,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color w:val="000000"/>
              </w:rPr>
            </w:pPr>
            <w:r>
              <w:rPr>
                <w:color w:val="00000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Benjamin S. Carson, Sr.,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210,000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Kary Eldred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401,875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Kevin Freeman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463,125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849,171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Gilbert S. Omenn,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478,750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Elissa J. Schwartz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300,000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Harold Shlevin,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405,000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E. Uihlein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366,362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A. Zordani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300,000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Khurram Jamil,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66,250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Jack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543,750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All executive officers and directors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4,759,283</w:t>
            </w:r>
          </w:p>
        </w:tc>
      </w:tr>
      <w:tr>
        <w:trPr/>
        <w:tc>
          <w:tcPr>
            <w:tcW w:w="3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each named person and group included in this table, percentage ownership of our Common Stock is calculated by dividing the number of shares of our Common Stock beneficially owned by such person or group by the sum of (i) 100,849,644 shares of our Common Stock outstanding as of September 22, 2026 and (ii) the number of shares of our Common Stock that such person has the right to acquire within 60 days after September 22, 2026. </w:t>
            </w:r>
          </w:p>
        </w:tc>
      </w:tr>
    </w:tbl>
    <w:tbl>
      <w:tblPr>
        <w:tblW w:w="6880" w:type="dxa"/>
        <w:jc w:val="left"/>
        <w:tblInd w:w="0" w:type="dxa"/>
        <w:tblLayout w:type="fixed"/>
        <w:tblCellMar>
          <w:top w:w="0" w:type="dxa"/>
          <w:left w:w="0" w:type="dxa"/>
          <w:bottom w:w="0" w:type="dxa"/>
          <w:right w:w="0" w:type="dxa"/>
        </w:tblCellMar>
      </w:tblPr>
      <w:tblGrid>
        <w:gridCol w:w="260"/>
        <w:gridCol w:w="66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1,185,000 shares of Series A preferred stock outstanding as of September 22, 2026.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5,614,457 common shares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1,045,541 shares of Common Stock owned by Mr. Czirr, and 16,667 shares of our Common Stock issuable upon conversion of Series A preferred stock owned by Mr. Czirr. </w:t>
            </w:r>
          </w:p>
        </w:tc>
      </w:tr>
    </w:tbl>
    <w:tbl>
      <w:tblPr>
        <w:tblW w:w="3115" w:type="dxa"/>
        <w:jc w:val="left"/>
        <w:tblInd w:w="0" w:type="dxa"/>
        <w:tblLayout w:type="fixed"/>
        <w:tblCellMar>
          <w:top w:w="0" w:type="dxa"/>
          <w:left w:w="0" w:type="dxa"/>
          <w:bottom w:w="0" w:type="dxa"/>
          <w:right w:w="0" w:type="dxa"/>
        </w:tblCellMar>
      </w:tblPr>
      <w:tblGrid>
        <w:gridCol w:w="260"/>
        <w:gridCol w:w="28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28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5,614,457 common shares.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Smith is the manager of Early Equities LLC, a Connecticut limited liability company, and may be deemed to have voting and investment control over, but disclaims beneficial ownership of, the shares of Series A preferred stock.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Contact: c/o 10X Capital Management, LLC at Davis Gillett Mottern &amp; Sims LLC attn: Bob Mottern 545 Dutch Valley Road, N.E., Suite A, Atlanta, GA 30309. </w:t>
            </w:r>
          </w:p>
        </w:tc>
      </w:tr>
    </w:tbl>
    <w:tbl>
      <w:tblPr>
        <w:tblW w:w="5350" w:type="dxa"/>
        <w:jc w:val="left"/>
        <w:tblInd w:w="0" w:type="dxa"/>
        <w:tblLayout w:type="fixed"/>
        <w:tblCellMar>
          <w:top w:w="0" w:type="dxa"/>
          <w:left w:w="0" w:type="dxa"/>
          <w:bottom w:w="0" w:type="dxa"/>
          <w:right w:w="0" w:type="dxa"/>
        </w:tblCellMar>
      </w:tblPr>
      <w:tblGrid>
        <w:gridCol w:w="260"/>
        <w:gridCol w:w="50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50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Contact: c/o David Smith 34 Shorehaven Road E., Norwalk, CT 06855.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218,525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 </w:t>
            </w:r>
          </w:p>
        </w:tc>
      </w:tr>
    </w:tbl>
    <w:tbl>
      <w:tblPr>
        <w:tblW w:w="5935" w:type="dxa"/>
        <w:jc w:val="left"/>
        <w:tblInd w:w="0" w:type="dxa"/>
        <w:tblLayout w:type="fixed"/>
        <w:tblCellMar>
          <w:top w:w="0" w:type="dxa"/>
          <w:left w:w="0" w:type="dxa"/>
          <w:bottom w:w="0" w:type="dxa"/>
          <w:right w:w="0" w:type="dxa"/>
        </w:tblCellMar>
      </w:tblPr>
      <w:tblGrid>
        <w:gridCol w:w="350"/>
        <w:gridCol w:w="558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55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Contact: c/o Uline Corporation, 12575 Uline Drive, Pleasant Prairie, WI 53158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44,741,553 shares of common stock, (ii) 1,550,000 common shares issuable upon the exercise of Common Stock purchase warrants, (iii) 8,090,139 common shares issuable upon conversion of notes payable, (iv) 83,334 common shares issuable upon conversion of Series C preferred non-voting stock, and (v) 366,362 common shares issuable upon the exercise of common stock options.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65,582 shares of Common Stock personally owned by Mr. Eldred, 431,527 shares of Common Stock owned by two private foundations over which Mr. Eldred shares management control, and 4,425 shares of Common Stock held in a trust or for a minor child; however, Mr. Eldred disclaims beneficial ownership of the shares and warrants owned by such private foundations or trusts.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0" w:name="ny20080978x2_def14a_106-security_pg3"/>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SBO"/>
      <w:bookmarkEnd w:id="21"/>
      <w:r>
        <w:rPr>
          <w:rFonts w:ascii="Times New Roman;Times;serif" w:hAnsi="Times New Roman;Times;serif"/>
          <w:b/>
          <w:color w:val="000000"/>
          <w:sz w:val="20"/>
        </w:rPr>
        <w:t xml:space="preserve">SECTION 16(a) BENEFICIAL OWNERSHIP REPORTING COMPLIANCE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2" w:name="ny20080978x2_def14a_107-prop1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PROP1"/>
      <w:bookmarkEnd w:id="23"/>
      <w:r>
        <w:rPr>
          <w:rFonts w:ascii="Times New Roman;Times;serif" w:hAnsi="Times New Roman;Times;serif"/>
          <w:b/>
          <w:color w:val="000000"/>
          <w:sz w:val="20"/>
        </w:rPr>
        <w:t xml:space="preserve">PROPOSAL NO.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of our Board of Directors, or “Board”, has nominated eleven members currently serving on our Board, identified below, to be re-elected at the 2026 Annual Meeting to serve until the 2027 annual meeting of stockholders and until their respective successors are elected and qualified. Each of the director nominees has agreed to serve on the Board, if elected.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information regarding the nominees, as of December 3, 2026, including their ages, positions with Galectin Therapeutics, recent employment and other directorships. </w:t>
      </w:r>
    </w:p>
    <w:p>
      <w:pPr>
        <w:pStyle w:val="TextBody"/>
        <w:bidi w:val="0"/>
        <w:spacing w:before="28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OUR BOARD OF DIRECTORS RECOMMENDS A VOTE “FOR”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THE ELECTION TO THE BOARD OF EACH NOMINEE.</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persons who have been nominated for election at the 2026 Annual Meeting to serve on our Board of Directors are named in the table below. Proxies cannot be voted for a greater number of persons than the number of nominees named.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Company Nominees </w:t>
      </w:r>
    </w:p>
    <w:tbl>
      <w:tblPr>
        <w:tblW w:w="4880" w:type="dxa"/>
        <w:jc w:val="left"/>
        <w:tblInd w:w="0" w:type="dxa"/>
        <w:tblLayout w:type="fixed"/>
        <w:tblCellMar>
          <w:top w:w="0" w:type="dxa"/>
          <w:left w:w="0" w:type="dxa"/>
          <w:bottom w:w="0" w:type="dxa"/>
          <w:right w:w="0" w:type="dxa"/>
        </w:tblCellMar>
      </w:tblPr>
      <w:tblGrid>
        <w:gridCol w:w="2690"/>
        <w:gridCol w:w="170"/>
        <w:gridCol w:w="170"/>
        <w:gridCol w:w="335"/>
        <w:gridCol w:w="170"/>
        <w:gridCol w:w="170"/>
        <w:gridCol w:w="1175"/>
      </w:tblGrid>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26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Since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F. Amelio, Ph.D.</w:t>
            </w:r>
            <w:r>
              <w:rPr>
                <w:rFonts w:ascii="Times New Roman;Times;serif" w:hAnsi="Times New Roman;Times;serif"/>
                <w:color w:val="000000"/>
                <w:position w:val="7"/>
                <w:sz w:val="16"/>
                <w:sz w:val="20"/>
              </w:rPr>
              <w:t>(2)(3)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2009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Henry Brem,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S. Carson, Sr., M.D.</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Kary Eldred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2018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D. Freeman</w:t>
            </w:r>
            <w:r>
              <w:rPr>
                <w:rFonts w:ascii="Times New Roman;Times;serif" w:hAnsi="Times New Roman;Times;serif"/>
                <w:color w:val="000000"/>
                <w:position w:val="7"/>
                <w:sz w:val="16"/>
                <w:sz w:val="20"/>
              </w:rPr>
              <w:t>(1)(2)(3)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2011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2017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S. Omenn, M.D., Ph.D.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2014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Elissa J. Schwartz, Ph.D.</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2020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Harold H. Shlevin,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2019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E. Uihlein, Chairman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2017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A. Zordani</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2020</w:t>
            </w:r>
          </w:p>
        </w:tc>
      </w:tr>
      <w:tr>
        <w:trPr/>
        <w:tc>
          <w:tcPr>
            <w:tcW w:w="26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tbl>
      <w:tblPr>
        <w:tblW w:w="2320" w:type="dxa"/>
        <w:jc w:val="left"/>
        <w:tblInd w:w="0" w:type="dxa"/>
        <w:tblLayout w:type="fixed"/>
        <w:tblCellMar>
          <w:top w:w="0" w:type="dxa"/>
          <w:left w:w="0" w:type="dxa"/>
          <w:bottom w:w="0" w:type="dxa"/>
          <w:right w:w="0" w:type="dxa"/>
        </w:tblCellMar>
      </w:tblPr>
      <w:tblGrid>
        <w:gridCol w:w="260"/>
        <w:gridCol w:w="20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0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audit committee </w:t>
            </w:r>
          </w:p>
        </w:tc>
      </w:tr>
    </w:tbl>
    <w:tbl>
      <w:tblPr>
        <w:tblW w:w="2935" w:type="dxa"/>
        <w:jc w:val="left"/>
        <w:tblInd w:w="0" w:type="dxa"/>
        <w:tblLayout w:type="fixed"/>
        <w:tblCellMar>
          <w:top w:w="0" w:type="dxa"/>
          <w:left w:w="0" w:type="dxa"/>
          <w:bottom w:w="0" w:type="dxa"/>
          <w:right w:w="0" w:type="dxa"/>
        </w:tblCellMar>
      </w:tblPr>
      <w:tblGrid>
        <w:gridCol w:w="260"/>
        <w:gridCol w:w="26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6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compensation committee </w:t>
            </w:r>
          </w:p>
        </w:tc>
      </w:tr>
    </w:tbl>
    <w:tbl>
      <w:tblPr>
        <w:tblW w:w="3925" w:type="dxa"/>
        <w:jc w:val="left"/>
        <w:tblInd w:w="0" w:type="dxa"/>
        <w:tblLayout w:type="fixed"/>
        <w:tblCellMar>
          <w:top w:w="0" w:type="dxa"/>
          <w:left w:w="0" w:type="dxa"/>
          <w:bottom w:w="0" w:type="dxa"/>
          <w:right w:w="0" w:type="dxa"/>
        </w:tblCellMar>
      </w:tblPr>
      <w:tblGrid>
        <w:gridCol w:w="260"/>
        <w:gridCol w:w="36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6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nominating and governance committee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Gilbert F. Amelio, Ph.D</w:t>
      </w:r>
      <w:r>
        <w:rPr>
          <w:rFonts w:ascii="Times New Roman;Times;serif" w:hAnsi="Times New Roman;Times;serif"/>
          <w:i w:val="false"/>
          <w:caps w:val="false"/>
          <w:smallCaps w:val="false"/>
          <w:color w:val="000000"/>
          <w:sz w:val="20"/>
        </w:rPr>
        <w:t xml:space="preserve">., a director since February 2009, began his career at Bell Labs in Murray Hill, New Jersey. Since January 1, 2012, Dr. Amelio 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Dr. Henry Brem, </w:t>
      </w:r>
      <w:r>
        <w:rPr>
          <w:rFonts w:ascii="Times New Roman;Times;serif" w:hAnsi="Times New Roman;Times;serif"/>
          <w:i w:val="false"/>
          <w:caps w:val="false"/>
          <w:smallCaps w:val="false"/>
          <w:color w:val="000000"/>
          <w:sz w:val="20"/>
        </w:rPr>
        <w:t xml:space="preserve">a director since 2026, is an internationally recognized neurosurgeon-scientist and leader in translational medicine. He serves as the Henry Brem Professor of Neurosurgery at Johns Hopkins University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4" w:name="ny20080978x2_def14a_107-prop1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previously served from 2000 until 2025 as Director of the Department of Neurosurgery and Neurosurgeon-in-Chief at The Johns Hopkins Medical Institutions. He is also Co-Director of the Brain Cancer Program at the Sidney Kimmel Comprehensive Cancer Center. Dr. Brem has helped transform neurosurgical oncology through the development of image-guided surgical techniques and localized drug delivery systems, including Gliadel® wafers for brain tumors. He has published more than 416 peer-reviewed papers, holds multiple patents, and has been continuously funded by the NIH for over four decades. He is a member of the National Academy of Medicine and has received numerous honors recognizing his contributions to clinical excellence and translational research. Dr. Brem has served as director for multiple private and public companies. The Board believes that Dr. Brem’s extensive medical, management, director, and leadership experience make him highly qualified to serve as a member of our Board.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Dr. Benjamin S. Carson, Sr.,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a director since 2023. Dr. Carson served as the 17</w:t>
      </w:r>
      <w:r>
        <w:rPr>
          <w:rFonts w:ascii="Times New Roman;Times;serif" w:hAnsi="Times New Roman;Times;serif"/>
          <w:i w:val="false"/>
          <w:caps w:val="false"/>
          <w:smallCaps w:val="false"/>
          <w:color w:val="000000"/>
          <w:position w:val="7"/>
          <w:sz w:val="16"/>
          <w:sz w:val="20"/>
        </w:rPr>
        <w:t>th</w:t>
      </w:r>
      <w:r>
        <w:rPr>
          <w:rFonts w:ascii="Times New Roman;Times;serif" w:hAnsi="Times New Roman;Times;serif"/>
          <w:i w:val="false"/>
          <w:caps w:val="false"/>
          <w:smallCaps w:val="false"/>
          <w:color w:val="000000"/>
          <w:sz w:val="20"/>
        </w:rPr>
        <w:t xml:space="preserve"> Secretary of the U.S. Department of Housing and Urban Development (“HUD”) from 2017 to 2021. Dr. Carson is a world-renowned neurosurgeon who prior to serving as HUD Secretary was involved with more than 15,000 surgical procedures and was the recipient of numerous awards, including the Presidential Medal of Freedom, more than 70 honorary doctorate degrees and the Spingarn Medal, the NAACP’s highest honor. Dr. Carson serves on the Board of Directors for D.R. Horton, Inc. (NYSE: DHI), Covenant Logistics Group, Inc. (NASDAQ: CVLG), and Sinclair Broadcast Group, Inc. (NASDAQ: SBGI). In addition, Dr. Carson previously served on the Board of Directors of both The Kellogg Company (NYSE: K) and Costco Wholesale Corporation (NASDAQ: COST). Dr. Carson is the founder and current Chairman of the American Cornerstone Institute. Dr. Carson is on the Board of Directors of the Carson Scholars Fund, an organization he and his wife, Mrs. Candy Carson, founded in 1994. Throughout his distinguished career, Dr. Carson contributed to the field of medicine through the thousands of surgeries he performed and the many leadership positions he held, including serving as Director of the Division of Pediatric Neurosurgery at The Johns Hopkins Medical Institutions from 1984 to 2013 as well a Professor of Neurological Surgery, Oncology, Plastic Surgery, and Pediatrics at The Johns Hopkins Medical Institutions from 1999 to 2013. The Board believes that Dr. Carson’s extensive medical, management, director, leadership, financial, and information security experience make him highly qualified to serve as a member of our Board.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Kary Eldred,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is a director since 2018 and Chief Investment Officer for the Living Stones Foundation since July 2015 and has been an active 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Kevin D. Freeman,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director since May 2011, holds the Chartered Financial Analyst designation and is Chief Executive Officer of Cross 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 his extensive financial expertise and his years of experience providing financial advisory services.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Joel Lewis,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director since 2017, became our President and Chief Executive Officer on September 2, 2020. Previously, he was the Managing 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5" w:name="ny20080978x2_def14a_107-prop1_pg3"/>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Gilbert S. Omenn, M.D., Ph.D.</w:t>
      </w:r>
      <w:r>
        <w:rPr>
          <w:rFonts w:ascii="Times New Roman;Times;serif" w:hAnsi="Times New Roman;Times;serif"/>
          <w:i w:val="false"/>
          <w:caps w:val="false"/>
          <w:smallCaps w:val="false"/>
          <w:color w:val="000000"/>
          <w:sz w:val="20"/>
        </w:rPr>
        <w:t xml:space="preserve">, a director since September 2014, served on the board of directors of Amgen Inc. for 27 years and of Rohm &amp; 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Elissa J. Schwartz, Ph.D.,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director appointed by the board in September 2020, is a disease modeler who is currently a professor of biological 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Dr. Schwartz is the author of over 40 scientific publications on infectious disease, the immune response, and biological modeling. She has served on the Board of Directors for the Society for Mathematical Biology, and she previously consulted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Harold Shlevin, Ph.D.,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retired from being our President and Chief Executive Officer on September 2, 2020, a position he had held since June 14, 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Dr. Shlevin currently serves on the Board of Directors of Moonlight Therapeutics. We believe Dr. Shlevin’s qualifications to sit on our Board of Directors include his extensive executive leadership and management experience in the pharmaceutical industry.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6" w:name="ny20080978x2_def14a_107-prop1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Richard E. Uihlein,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director since 2017 and Chairman since May 2018, co-founded Uline, Inc. (a leading distributor of shipping, packaging and 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 his extensive executive leadership and management experience.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Richard A. Zordani,</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director appointed by the board in September 2020, has been the Director of Shareholder Services at Uline, Inc. (a 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7" w:name="ny20080978x2_def14a_108-executive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EO"/>
      <w:bookmarkEnd w:id="28"/>
      <w:r>
        <w:rPr>
          <w:rFonts w:ascii="Times New Roman;Times;serif" w:hAnsi="Times New Roman;Times;serif"/>
          <w:b/>
          <w:color w:val="000000"/>
          <w:sz w:val="20"/>
        </w:rPr>
        <w:t xml:space="preserve">EXECUTIVE OFFICERS </w:t>
      </w:r>
    </w:p>
    <w:p>
      <w:pPr>
        <w:pStyle w:val="TextBody"/>
        <w:bidi w:val="0"/>
        <w:spacing w:before="14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Joel Lewis, </w:t>
      </w:r>
      <w:r>
        <w:rPr>
          <w:rFonts w:ascii="Times New Roman;Times;serif" w:hAnsi="Times New Roman;Times;serif"/>
          <w:i w:val="false"/>
          <w:caps w:val="false"/>
          <w:smallCaps w:val="false"/>
          <w:color w:val="000000"/>
          <w:sz w:val="20"/>
        </w:rPr>
        <w:t xml:space="preserve">see above under Nominees.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Khurram Jamil, M.D</w:t>
      </w:r>
      <w:r>
        <w:rPr>
          <w:rFonts w:ascii="Times New Roman;Times;serif" w:hAnsi="Times New Roman;Times;serif"/>
          <w:i w:val="false"/>
          <w:caps w:val="false"/>
          <w:smallCaps w:val="false"/>
          <w:color w:val="000000"/>
          <w:sz w:val="20"/>
        </w:rPr>
        <w:t xml:space="preserve">. age 51, become the Company’s Chief Medical Officer on August 1, 2024 after joining the Company as vice president of clinical development in March 2024. Prior to joining the Company, Dr. Jamil was employed at Mallinckrodt Pharmaceuticals from July 2015 to February 2024, where he was Vice President Hepatology and led the development teams that achieved approval of two compounds in the U.S. and Japan, conducted trials in liver cirrhosis and its complications, and designed and executed the largest trial in Hepatorenal Syndrome. Earlier in his career he held positions in medical affairs in Ikaria Inc and Organon Pharmaceuticals USA where he led successful launches of first-in-class therapies and developed strategies to assess disease burden, cost-effectiveness, and value proposition of approved drugs in new therapeutic areas. He holds 7 patents, has given over 95 poster and oral presentations and published over 40 manuscripts, including in the prestigious New England Journal of Medicine. Dr. Jamil is board certified in General Surgery. He completed his residency in Seaton Hall University, NJ, and earned his M.B.B.S. from King Edward Medical University at Lahore, Pakistan.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Jack W. Callicutt</w:t>
      </w:r>
      <w:r>
        <w:rPr>
          <w:rFonts w:ascii="Times New Roman;Times;serif" w:hAnsi="Times New Roman;Times;serif"/>
          <w:i w:val="false"/>
          <w:caps w:val="false"/>
          <w:smallCaps w:val="false"/>
          <w:color w:val="000000"/>
          <w:sz w:val="20"/>
        </w:rPr>
        <w:t xml:space="preserve">, age 59, became our Chief Financial Officer on July 1, 2013. From August 2011 through June 2012, Mr. Callicutt was the Chief 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the directors, executive officers and significant employees share any familial relationship. </w:t>
      </w:r>
    </w:p>
    <w:p>
      <w:pPr>
        <w:pStyle w:val="TextBody"/>
        <w:bidi w:val="0"/>
        <w:spacing w:before="380" w:after="283"/>
        <w:ind w:left="0" w:right="0" w:hanging="0"/>
        <w:jc w:val="left"/>
        <w:rPr>
          <w:rFonts w:ascii="Times New Roman;Times;serif" w:hAnsi="Times New Roman;Times;serif"/>
          <w:b/>
          <w:color w:val="000000"/>
          <w:sz w:val="20"/>
        </w:rPr>
      </w:pPr>
      <w:bookmarkStart w:id="29" w:name="tCG"/>
      <w:bookmarkEnd w:id="29"/>
      <w:r>
        <w:rPr>
          <w:rFonts w:ascii="Times New Roman;Times;serif" w:hAnsi="Times New Roman;Times;serif"/>
          <w:b/>
          <w:color w:val="000000"/>
          <w:sz w:val="20"/>
        </w:rPr>
        <w:t xml:space="preserve">CORPORATE GOVERNANCE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Medical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Times New Roman;Times;serif" w:hAnsi="Times New Roman;Times;serif"/>
          <w:color w:val="000000"/>
          <w:sz w:val="20"/>
          <w:u w:val="single"/>
        </w:rPr>
        <w:t>www.galectintherapeutics.com</w:t>
      </w:r>
      <w:r>
        <w:rPr>
          <w:rFonts w:ascii="Times New Roman;Times;serif" w:hAnsi="Times New Roman;Times;serif"/>
          <w:color w:val="000000"/>
          <w:sz w:val="20"/>
        </w:rPr>
        <w:t xml:space="preserve">.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met twice in 2025. Dr. Gilbert S. Omenn (chair), Gilbert F. Amelio, Ph.D. and Kevin F. Freeman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0" w:name="ny20080978x2_def14a_108-executive_pg2"/>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oversight of the administration of our incentive compensation and stock programs. As such, the Compensation Committee is responsible for the administration of grants and awards to directors, officers, employees, consultants and advisors under our equity plan.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met 4 times in 2025. 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met once in 2025. Gilbert F. Amelio, Ph.D. (chair), Kevin Freeman and Elissa Schwartz are the members of the Nominating and Corporate Governance Committee. The Nominating and Corporate Governance Committee is responsible for identifying individuals qualified to become members of the Board, recommending candidates for election or re-election as directors to the Board,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Determination of 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reviewed the materiality of any relationship that each of our directors has with the Company, either directly or indirectly. Based upon this review, our board has determined that all of our directors other than Mr. Lewis are “independent directors” as defined by The NASDAQ Stock Market. Our board of directors also determined that Drs. Amelio, Carson Sr., Schwartz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Amelio and Mr. Freeman satisfy the independence standards for such committee established by Rule 10C-1 under the Exchange Act, the SEC and the NASDAQ Marketplace Rules, as applicable.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1" w:name="ny20080978x2_def14a_108-executive_pg3"/>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non-employee director. In considering the independence of our directors, our board of directors considered the association of each such non-employee director has with us and all other facts and circumstances our board of directors deemed relevant in determining independence.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Ethics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Hedging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Clawback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adopted final rules implementing the incentive-based compensation recovery provisions of the Dodd-Frank Act, and Nasdaq has adopted listing standards consistent with the SEC rules. In compliance with those standards, we have adopted an incentive compensation recoupment policy, or “clawback” policy, which applies to our executive officers, within the meaning of Section 10D of the Exchange Act and Rule 10D-1 promulgated thereunder, who were employed by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Company may not indemnify any such covered officer against the loss of such recovered compensation.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Insider Trading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an Insider Trading Policy applicable to our directors, officers, and all employees of the Company (the “Insider Trading Policy”). The Insider Trading Policy governs the purchase, sale, and/or other dispositions of our securities and prohibits purchasing or selling any of our securities while a person covered by the Insider Trading Policy is aware of material, non-public information concerning the Company or its securities. We believe that our Insider Trading Policy is reasonably designed to promote compliance with insider trading laws, rules and regulations, and the exchange listing standards of the Nasdaq Stock Market.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with Respect to Transactions with Related Persons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Relationships and Related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set forth below, since the beginning of fiscal year 2025, we did not participate in any transactions in which any of the Company Nominees, executive officers, any beneficial owner of more than 5% of our common stock, nor any of their immediate family members, had a direct or indirect material interest.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2" w:name="ny20080978x2_def14a_108-executive_pg4"/>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Richard E. Uihlein, the Company’s Chairman of the Board and largest stockholder, has provided the Company with various credit facilities to finance the Company’s working capital needs. During fiscal year 2025 and 2026, the Company and Mr. Uihlein entered into the following supplemental line of credit agreements, which were reviewed and approved by all of our disinterested directors, with Mr. Uihlein recusing himself: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31, 2025, the Company and Mr. Uihlein entered into a Supplemental Line of Credit Letter Agreement (the “March 2025 Supplemental Credit Agreement”), providing for a line of credit of up to $5.0 million available through September 30, 2025. On June 30, 2025, the Company drew the full $5.0 million under this facility. Each advance under the March 2025 Supplemental Credit Agreement is evidenced by an unsecured, convertible promissory note bearing interest at the Applicable Federal Rate for short-term loans plus 2%. At the election of the Lender, principal and accrued interest may be converted into shares of Common Stock at the closing price on the date of the applicable Promissory Note, subject to a $3.00 per share floor. In connection with this facility, the Company agreed to issue warrants to purchase up to 100,000 shares of Common Stock, with exercise prices equal to 150% of the closing price on the applicable draw date (subject to a $3.00 floor and $10.00 cap), expiring July 31, 2029.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8, 2025, the Company and Mr. Uihlein entered into a Supplemental Line of Credit Letter Agreement (the “July 2025 Supplemental Credit Agreement”), providing for a line of credit of up to $10.0 million available through April 30, 2026. On December 31, 2025, the Company drew the full $10.0 million under this facility. Each advance under the July 2025 Supplemental Credit Agreement is evidenced by an unsecured, convertible promissory note bearing interest at the Applicable Federal Rate for short-term loans plus 2%. At the election of the Lender, principal and accrued interest may be converted into shares of Common Stock at the closing price on the date of the applicable Promissory Note, subject to a $3.00 per share floor. In connection with this facility, the Company agreed to issue warrants to purchase up to 200,000 shares of Common Stock, with exercise prices equal to 150% of the closing price on the applicable draw date (subject to a $3.00 floor and $10.00 cap), expiring July 31, 2029. Additionally, in connection with the July 2025 Supplemental Credit Agreement, the maturity dates of all prior Convertible Notes Payable and borrowings under prior Lines of Credit with Mr. Uihlein were extended to September 30,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19, 2025, the Company and Mr. Uihlein entered into a Supplemental Line of Credit Letter Agreement (the “December 2025 Supplemental Credit Agreement”), providing for a line of credit of up to $10.0 million available through January 31, 2027. Each advance under the December 2025 Supplemental Credit Agreement is evidenced by an unsecured, convertible promissory note bearing interest at the Applicable Federal Rate for short-term loans plus 2%. Principal and interest are due on or before June 30, 2027. At the election of the Lender, principal and accrued interest may be converted into shares of Common Stock at the closing price on the date of the applicable Promissory Note, subject to a $4.38 per share floor. In connection with this facility, the Company agreed to issue warrants to purchase up to 200,000 shares of Common Stock, with exercise prices equal to 150% of the closing price on the applicable draw date. The December 2025 Supplemental Credit Agreement also extended the maturity dates of all prior borrowings from Mr. Uihlein to June 30, 2027. As of June 30, 2026, no amounts had been drawn under the December 2025 Supplemental Line of Credit.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31, 2026, Mr. Uihlein elected to convert all outstanding convertible promissory notes issued under the prior line of credit facilities into shares of Common Stock. The conversion resulted in the elimination of $91.0 million in aggregate principal and approximately $14.8 million in aggregate accrued interest (approximately $105.8 million in total) in exchange for the issuance of 34,376,167 shares of Common Stock. Each note was converted at the conversion price specified therein, subject to a $3.00 per share floor price, resulting in a blended average conversion price of approximately $3.07 per share. The issuance was exempt from registration under Section 3(a)(9) of the Securities Act of 1933, as amended. Following the conversion, Mr. Uihlein beneficially owns approximately 44.3% of the outstanding voting power on an actual basis and approximately 49.3% of the outstanding voting power (calculated in accordance with Rule 13d-3 under the Securities Exchange Act of 1934, as amended, including shares issuable upon exercise of outstanding warrants). The shares of Common Stock issued remain subject to restrictions on resale. The Company and Mr. Uihlein agreed that any registration rights with respect to the 34,376,167 shares issued remain in full force and effect in accordance with the terms of the credit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3" w:name="ny20080978x2_def14a_108-executive_pg5"/>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facilities, and further agreed that the Company’s obligation to file a registration statement (or a post-effective amendment or supplement to an existing registration statement) with the Securities and Exchange Commission registering the resale of the 34,376,167 shares shall not arise until Mr. Uihlein delivers written notice to the Company requesting the filing of such registration statement (the “Registration Request Notice”). Upon receipt of the Registration Request Notice, the Company shall file the registration statement within 180 days of the date of such notice and shall use commercially reasonable efforts to cause such registration statement to become effective as promptly as practicable thereafter.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the December 2025 Supplemental Line of Credit remains outstanding, undrawn, and available to the Company in accordance with its terms and was not affected by the conversion.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our executive officers or directors serves as a member of the board of directors or compensation committee of any entity that has one or more of its executive officers serving as a member of our Board of Directors or Compensation Committee.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Nomination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or Nominating Committee, is responsible for, among other things, selection of candidates for the annual slate of directors other than nominees, if any, nominated by parties that have a contractual right to nominate persons for 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2026 Annual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Communication with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4" w:name="ny20080978x2_def14a_108-executive_pg6"/>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The Board believes that the separation of the roles of the Chairman and Chief Executive Officer promotes strategy development and execution, and facilitates information flow between management and the Board, which are essential to effective governance.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Sessions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corporate governance principles or as required by NASDAQ rules, non-management directors of the Board meet from time to time without the presence of management. The Chairman generally chairs these sessions.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Meeting Attendance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2025, there were 10 meetings of the Board. Each currently serving director attended at least 75% of the total meetings of the Board and committees of the Board of which the director was a member, during the 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formal policy requiring members of the Board to attend the annual meeting, although all directors are strongly encouraged to attend. At the 2025 annual meeting of stockholders, which was held virtually online, all of the then current board members were present.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any risks arising from our policies and programs are not reasonably likely to have a material adverse effect on the Company. Our programs reflect sound risk management practices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of multiple compensation vehicles that provide a balance of long- and short-term incentives with fixed and variable components;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Equity incentive awards that generally vest over several years, so while the potential compensation payable for equity incentive awards is tied directly to appreciation of our stock price, taking excessive risk for a short-term gain is discouraged because it would not maximize the value of equity incentive awards over the long-term.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Report of the 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5" w:name="ny20080978x2_def14a_108-executive_pg7"/>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Cherry Bekaert LLP the matters required to be discussed by the Statement on Auditing Standards No. 61, </w:t>
      </w:r>
      <w:r>
        <w:rPr>
          <w:rFonts w:ascii="Times New Roman;Times;serif" w:hAnsi="Times New Roman;Times;serif"/>
          <w:i/>
          <w:color w:val="000000"/>
          <w:sz w:val="20"/>
        </w:rPr>
        <w:t xml:space="preserve">Communication With Audit Committees </w:t>
      </w:r>
      <w:r>
        <w:rPr>
          <w:rFonts w:ascii="Times New Roman;Times;serif" w:hAnsi="Times New Roman;Times;serif"/>
          <w:color w:val="000000"/>
          <w:sz w:val="20"/>
        </w:rPr>
        <w:t xml:space="preserve">(as amended), which includes, among other items, matters related to the 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upon the review and discussions referred to above, the Audit Committee recommended to our Board of Directors that the audited financial statements of Galectin Therapeutics for the 2025 fiscal year be included in the Annual Report filed on Form 10-K for the year ended December 31, 2025.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the Audit Committee of the Board of Directors of Galectin Therapeutic Inc. </w:t>
      </w:r>
    </w:p>
    <w:tbl>
      <w:tblPr>
        <w:tblW w:w="2765" w:type="dxa"/>
        <w:jc w:val="left"/>
        <w:tblInd w:w="0" w:type="dxa"/>
        <w:tblLayout w:type="fixed"/>
        <w:tblCellMar>
          <w:top w:w="0" w:type="dxa"/>
          <w:left w:w="0" w:type="dxa"/>
          <w:bottom w:w="0" w:type="dxa"/>
          <w:right w:w="0" w:type="dxa"/>
        </w:tblCellMar>
      </w:tblPr>
      <w:tblGrid>
        <w:gridCol w:w="185"/>
        <w:gridCol w:w="170"/>
        <w:gridCol w:w="170"/>
        <w:gridCol w:w="224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Richard A. Zordani, Chair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D. Freeman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Kary Eldred</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6" w:name="ny20080978x2_def14a_108-executive_pg8"/>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tDC"/>
      <w:bookmarkEnd w:id="37"/>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total compensation earned by our non-employee directors during the year ended December 31, 2025. </w:t>
      </w:r>
    </w:p>
    <w:tbl>
      <w:tblPr>
        <w:tblW w:w="9845" w:type="dxa"/>
        <w:jc w:val="left"/>
        <w:tblInd w:w="0" w:type="dxa"/>
        <w:tblLayout w:type="fixed"/>
        <w:tblCellMar>
          <w:top w:w="0" w:type="dxa"/>
          <w:left w:w="0" w:type="dxa"/>
          <w:bottom w:w="0" w:type="dxa"/>
          <w:right w:w="0" w:type="dxa"/>
        </w:tblCellMar>
      </w:tblPr>
      <w:tblGrid>
        <w:gridCol w:w="2480"/>
        <w:gridCol w:w="170"/>
        <w:gridCol w:w="170"/>
        <w:gridCol w:w="935"/>
        <w:gridCol w:w="170"/>
        <w:gridCol w:w="170"/>
        <w:gridCol w:w="785"/>
        <w:gridCol w:w="170"/>
        <w:gridCol w:w="170"/>
        <w:gridCol w:w="620"/>
        <w:gridCol w:w="170"/>
        <w:gridCol w:w="170"/>
        <w:gridCol w:w="1085"/>
        <w:gridCol w:w="170"/>
        <w:gridCol w:w="170"/>
        <w:gridCol w:w="1085"/>
        <w:gridCol w:w="170"/>
        <w:gridCol w:w="170"/>
        <w:gridCol w:w="815"/>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24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 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Paid 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Restricted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 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F. Amelio,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55,500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107,760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S. Carson, Sr.,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92,260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Kary Eldred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99,760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D. Freeman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108,260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S. Omenn,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102,260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 Rubin,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43,500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95,760</w:t>
            </w:r>
            <w:r>
              <w:rPr>
                <w:rFonts w:ascii="Times New Roman;Times;serif" w:hAnsi="Times New Roman;Times;serif"/>
                <w:color w:val="000000"/>
                <w:sz w:val="20"/>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Elissa J. Schwartz,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43,500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95,760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Harold H. Shlevin,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92,260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Uihlein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92,260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A. Zordani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107,260</w:t>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Uihlein elected to receive restricted stock in lieu of cash retainer for their service. The restricted shares vested in full on December 31, 2025.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grant date fair value of option awards based upon the Black Scholes valuation model made in 2025. The option grants were made on January 24, 2025. Each non-employee director received one grant of 60,000 options which was vested in full on December 31, 2025. For a description of the assumptions used to determine these amounts, see Note 9 to the Notes to the Consolidated Financial Statements herein our Annual Report on Form 10-K for the fiscal year ended December 31, 2025. </w:t>
            </w:r>
          </w:p>
        </w:tc>
      </w:tr>
    </w:tbl>
    <w:tbl>
      <w:tblPr>
        <w:tblW w:w="3235" w:type="dxa"/>
        <w:jc w:val="left"/>
        <w:tblInd w:w="0" w:type="dxa"/>
        <w:tblLayout w:type="fixed"/>
        <w:tblCellMar>
          <w:top w:w="0" w:type="dxa"/>
          <w:left w:w="0" w:type="dxa"/>
          <w:bottom w:w="0" w:type="dxa"/>
          <w:right w:w="0" w:type="dxa"/>
        </w:tblCellMar>
      </w:tblPr>
      <w:tblGrid>
        <w:gridCol w:w="260"/>
        <w:gridCol w:w="29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2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travel expense reimbursements. </w:t>
            </w:r>
          </w:p>
        </w:tc>
      </w:tr>
    </w:tbl>
    <w:tbl>
      <w:tblPr>
        <w:tblW w:w="3980" w:type="dxa"/>
        <w:jc w:val="left"/>
        <w:tblInd w:w="0" w:type="dxa"/>
        <w:tblLayout w:type="fixed"/>
        <w:tblCellMar>
          <w:top w:w="0" w:type="dxa"/>
          <w:left w:w="0" w:type="dxa"/>
          <w:bottom w:w="0" w:type="dxa"/>
          <w:right w:w="0" w:type="dxa"/>
        </w:tblCellMar>
      </w:tblPr>
      <w:tblGrid>
        <w:gridCol w:w="2210"/>
        <w:gridCol w:w="170"/>
        <w:gridCol w:w="170"/>
        <w:gridCol w:w="1430"/>
      </w:tblGrid>
      <w:tr>
        <w:trPr/>
        <w:tc>
          <w:tcPr>
            <w:tcW w:w="22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Subject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Held 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Gilbert F. Amelio,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375,000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Benjamin S. Carson, Sr.,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210,000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Kary Eldred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401,875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Kevin D. Freeman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463,125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Gilbert S. Omenn,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478,750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Elissa J. Schwartz,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300,000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Harold H. Shlevin,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435,000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Uihlein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366,362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A. Zordani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300,000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06"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3,330,112</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2023 fiscal year.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also reimburse our directors for reasonable travel and other related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Company’s cash compensation program for directors,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8" w:name="ny20080978x2_def14a_108-executive_pg9"/>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as of December 31, 2025, about the securities issued, or authorized for future issuance, under our equity compensation plans, consisting of our 2009 Incentive Compensation Plan and our 2019 Omnibus Equity Incentive Plan at December 31, 2025. </w:t>
      </w:r>
    </w:p>
    <w:tbl>
      <w:tblPr>
        <w:tblW w:w="10205" w:type="dxa"/>
        <w:jc w:val="left"/>
        <w:tblInd w:w="0" w:type="dxa"/>
        <w:tblLayout w:type="fixed"/>
        <w:tblCellMar>
          <w:top w:w="0" w:type="dxa"/>
          <w:left w:w="0" w:type="dxa"/>
          <w:bottom w:w="0" w:type="dxa"/>
          <w:right w:w="0" w:type="dxa"/>
        </w:tblCellMar>
      </w:tblPr>
      <w:tblGrid>
        <w:gridCol w:w="4623"/>
        <w:gridCol w:w="170"/>
        <w:gridCol w:w="170"/>
        <w:gridCol w:w="1553"/>
        <w:gridCol w:w="170"/>
        <w:gridCol w:w="170"/>
        <w:gridCol w:w="1214"/>
        <w:gridCol w:w="170"/>
        <w:gridCol w:w="170"/>
        <w:gridCol w:w="1795"/>
      </w:tblGrid>
      <w:tr>
        <w:trPr/>
        <w:tc>
          <w:tcPr>
            <w:tcW w:w="46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5" w:type="dxa"/>
            <w:tcBorders/>
            <w:vAlign w:val="center"/>
          </w:tcPr>
          <w:p>
            <w:pPr>
              <w:pStyle w:val="TableContents"/>
              <w:bidi w:val="0"/>
              <w:spacing w:before="0" w:after="0"/>
              <w:jc w:val="left"/>
              <w:rPr/>
            </w:pPr>
            <w:r>
              <w:rPr/>
              <w:t> </w:t>
            </w:r>
          </w:p>
        </w:tc>
      </w:tr>
      <w:tr>
        <w:trPr/>
        <w:tc>
          <w:tcPr>
            <w:tcW w:w="462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issued upon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available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future issuance under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 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plans (excluding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 reflected 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column (a)) </w:t>
            </w:r>
          </w:p>
        </w:tc>
      </w:tr>
      <w:tr>
        <w:trPr/>
        <w:tc>
          <w:tcPr>
            <w:tcW w:w="46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3" w:type="dxa"/>
            <w:tcBorders/>
            <w:shd w:fill="CCEEFF" w:val="clear"/>
            <w:vAlign w:val="center"/>
          </w:tcPr>
          <w:p>
            <w:pPr>
              <w:pStyle w:val="TableContents"/>
              <w:bidi w:val="0"/>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6,572,509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4"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$2.27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5" w:type="dxa"/>
            <w:tcBorders/>
            <w:shd w:fill="CCEEFF" w:val="clear"/>
            <w:vAlign w:val="center"/>
          </w:tcPr>
          <w:p>
            <w:pPr>
              <w:pStyle w:val="TableContents"/>
              <w:bidi w:val="0"/>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2,575,479</w:t>
            </w:r>
          </w:p>
        </w:tc>
      </w:tr>
      <w:tr>
        <w:trPr/>
        <w:tc>
          <w:tcPr>
            <w:tcW w:w="462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9" w:name="ny20080978x2_def14a_109-comp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EC"/>
      <w:bookmarkEnd w:id="40"/>
      <w:r>
        <w:rPr>
          <w:rFonts w:ascii="Times New Roman;Times;serif" w:hAnsi="Times New Roman;Times;serif"/>
          <w:b/>
          <w:color w:val="000000"/>
          <w:sz w:val="20"/>
        </w:rPr>
        <w:t xml:space="preserve">EXECUTIVE COMPENSATION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PHILOSOPHY DISCUSSION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2025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 </w:t>
      </w:r>
    </w:p>
    <w:tbl>
      <w:tblPr>
        <w:tblW w:w="5330" w:type="dxa"/>
        <w:jc w:val="left"/>
        <w:tblInd w:w="0" w:type="dxa"/>
        <w:tblLayout w:type="fixed"/>
        <w:tblCellMar>
          <w:top w:w="0" w:type="dxa"/>
          <w:left w:w="0" w:type="dxa"/>
          <w:bottom w:w="0" w:type="dxa"/>
          <w:right w:w="0" w:type="dxa"/>
        </w:tblCellMar>
      </w:tblPr>
      <w:tblGrid>
        <w:gridCol w:w="1790"/>
        <w:gridCol w:w="170"/>
        <w:gridCol w:w="170"/>
        <w:gridCol w:w="3200"/>
      </w:tblGrid>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r>
      <w:tr>
        <w:trPr/>
        <w:tc>
          <w:tcPr>
            <w:tcW w:w="17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and President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Khurram Jamil, M.D.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Medical Officer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Jack W.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17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Philosophy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believes in providing a competitive total compensation package to its executives through a combination of base salary, annual performance bonuses, and long-term equity awards. The executive compensation program is designed to achieve the following objectives: </w:t>
      </w:r>
    </w:p>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competitive compensation that will help attract, retain and reward qualified executives;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executives’ interests with our success by making a portion of the executive’s compensation dependent upon corporate performance; and </w:t>
            </w:r>
          </w:p>
        </w:tc>
      </w:tr>
    </w:tbl>
    <w:tbl>
      <w:tblPr>
        <w:tblW w:w="8530" w:type="dxa"/>
        <w:jc w:val="left"/>
        <w:tblInd w:w="0" w:type="dxa"/>
        <w:tblLayout w:type="fixed"/>
        <w:tblCellMar>
          <w:top w:w="0" w:type="dxa"/>
          <w:left w:w="0" w:type="dxa"/>
          <w:bottom w:w="0" w:type="dxa"/>
          <w:right w:w="0" w:type="dxa"/>
        </w:tblCellMar>
      </w:tblPr>
      <w:tblGrid>
        <w:gridCol w:w="140"/>
        <w:gridCol w:w="8390"/>
      </w:tblGrid>
      <w:tr>
        <w:trPr/>
        <w:tc>
          <w:tcPr>
            <w:tcW w:w="14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executives’ interests with the interests of stockholders by including long-term equity incentives.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Compensation Review and Design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our last “Say-on-Pay vote” held at our 2025 annual meeting of stockholders approximately 96% of votes cast were in favor of the compensation of our NEOs, as disclosed in the proxy materials for the 2025 annual meeting. At our 2022 annual meeting, the holders of approximately 90% of our outstanding common stock voting on the matter voted in favor of holding the stockholder advisory vote every three years. As a result of such vote, our Board decided to hold the “Say-on-Pay” advisory vote every three years.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Several years ago,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percentile of the total compensation of our competitor companies. These findings continued to inform the Compensation Committee’s decisions on compensation in subsequent years, including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may use a compensation consultant in the future and will take into account publicly-available data relating to the compensation practices and policies of other companies within and outside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1" w:name="ny20080978x2_def14a_109-comp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industry. The Compensation Committee intends to benchmark its executive compensation program to target at least the 50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percentile of the total compensation programs of our competitor companies; however, adjusted as deemed to be in the best interest of the Company to assure retention of key employees during the NAVIGATE trial and as the Company analyzes data from the NAVIGATE trial.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Elements of Executive Compensation </w:t>
      </w:r>
    </w:p>
    <w:p>
      <w:pPr>
        <w:pStyle w:val="TextBody"/>
        <w:bidi w:val="0"/>
        <w:spacing w:before="15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program for the Company’s NEOs consists principally of three components: </w:t>
      </w:r>
    </w:p>
    <w:tbl>
      <w:tblPr>
        <w:tblW w:w="1210" w:type="dxa"/>
        <w:jc w:val="left"/>
        <w:tblInd w:w="0" w:type="dxa"/>
        <w:tblLayout w:type="fixed"/>
        <w:tblCellMar>
          <w:top w:w="0" w:type="dxa"/>
          <w:left w:w="0" w:type="dxa"/>
          <w:bottom w:w="0" w:type="dxa"/>
          <w:right w:w="0" w:type="dxa"/>
        </w:tblCellMar>
      </w:tblPr>
      <w:tblGrid>
        <w:gridCol w:w="140"/>
        <w:gridCol w:w="1070"/>
      </w:tblGrid>
      <w:tr>
        <w:trPr/>
        <w:tc>
          <w:tcPr>
            <w:tcW w:w="140" w:type="dxa"/>
            <w:tcBorders/>
            <w:vAlign w:val="center"/>
          </w:tcPr>
          <w:p>
            <w:pPr>
              <w:pStyle w:val="TableContents"/>
              <w:bidi w:val="0"/>
              <w:spacing w:before="0" w:after="0"/>
              <w:jc w:val="left"/>
              <w:rPr>
                <w:color w:val="000000"/>
              </w:rPr>
            </w:pPr>
            <w:r>
              <w:rPr>
                <w:color w:val="000000"/>
              </w:rPr>
              <w:t>•</w:t>
            </w:r>
          </w:p>
        </w:tc>
        <w:tc>
          <w:tcPr>
            <w:tcW w:w="1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 salary; </w:t>
            </w:r>
          </w:p>
        </w:tc>
      </w:tr>
    </w:tbl>
    <w:tbl>
      <w:tblPr>
        <w:tblW w:w="3160" w:type="dxa"/>
        <w:jc w:val="left"/>
        <w:tblInd w:w="0" w:type="dxa"/>
        <w:tblLayout w:type="fixed"/>
        <w:tblCellMar>
          <w:top w:w="0" w:type="dxa"/>
          <w:left w:w="0" w:type="dxa"/>
          <w:bottom w:w="0" w:type="dxa"/>
          <w:right w:w="0" w:type="dxa"/>
        </w:tblCellMar>
      </w:tblPr>
      <w:tblGrid>
        <w:gridCol w:w="140"/>
        <w:gridCol w:w="3020"/>
      </w:tblGrid>
      <w:tr>
        <w:trPr/>
        <w:tc>
          <w:tcPr>
            <w:tcW w:w="14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performance and retention bonuses;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long-term compensation in the form of equity-based awards.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Base Salary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 </w:t>
      </w:r>
    </w:p>
    <w:tbl>
      <w:tblPr>
        <w:tblW w:w="5345" w:type="dxa"/>
        <w:jc w:val="left"/>
        <w:tblInd w:w="0" w:type="dxa"/>
        <w:tblLayout w:type="fixed"/>
        <w:tblCellMar>
          <w:top w:w="0" w:type="dxa"/>
          <w:left w:w="0" w:type="dxa"/>
          <w:bottom w:w="0" w:type="dxa"/>
          <w:right w:w="0" w:type="dxa"/>
        </w:tblCellMar>
      </w:tblPr>
      <w:tblGrid>
        <w:gridCol w:w="1955"/>
        <w:gridCol w:w="170"/>
        <w:gridCol w:w="170"/>
        <w:gridCol w:w="1310"/>
        <w:gridCol w:w="170"/>
        <w:gridCol w:w="170"/>
        <w:gridCol w:w="1400"/>
      </w:tblGrid>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r>
        <w:trPr/>
        <w:tc>
          <w:tcPr>
            <w:tcW w:w="1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 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Base Salary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$624,000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$624,000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Khurram Jamil, M.D.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$500,000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Jack W.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r>
      <w:tr>
        <w:trPr/>
        <w:tc>
          <w:tcPr>
            <w:tcW w:w="19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Jamil joined the Company in March 2024 and was promoted to Chief Medical Officer effective August 1, 2024 and his base salary was adjusted to $500,000.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2" w:name="ny20080978x2_def14a_109-comp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Performance Bonuses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payment of base salaries, the Company believes that annual performance bonuses can play an important role in providing appropriate incentives to its NEOs to achieve the Company’s strategic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2025 performance bonuses payments were split with half paid in January 2026 and half to be paid in March 2026, if the employee had not voluntarily resigned by that date. </w:t>
      </w:r>
    </w:p>
    <w:tbl>
      <w:tblPr>
        <w:tblW w:w="5525" w:type="dxa"/>
        <w:jc w:val="left"/>
        <w:tblInd w:w="0" w:type="dxa"/>
        <w:tblLayout w:type="fixed"/>
        <w:tblCellMar>
          <w:top w:w="0" w:type="dxa"/>
          <w:left w:w="0" w:type="dxa"/>
          <w:bottom w:w="0" w:type="dxa"/>
          <w:right w:w="0" w:type="dxa"/>
        </w:tblCellMar>
      </w:tblPr>
      <w:tblGrid>
        <w:gridCol w:w="1745"/>
        <w:gridCol w:w="170"/>
        <w:gridCol w:w="170"/>
        <w:gridCol w:w="1475"/>
        <w:gridCol w:w="170"/>
        <w:gridCol w:w="170"/>
        <w:gridCol w:w="1625"/>
      </w:tblGrid>
      <w:tr>
        <w:trPr/>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r>
      <w:tr>
        <w:trPr/>
        <w:tc>
          <w:tcPr>
            <w:tcW w:w="174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 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Awarded Amount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 of Base Salary </w:t>
            </w:r>
          </w:p>
        </w:tc>
      </w:tr>
      <w:tr>
        <w:trPr/>
        <w:tc>
          <w:tcPr>
            <w:tcW w:w="1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$312,000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59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w:t>
            </w:r>
          </w:p>
        </w:tc>
      </w:tr>
      <w:tr>
        <w:trPr/>
        <w:tc>
          <w:tcPr>
            <w:tcW w:w="1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Khurram Jamil,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59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 </w:t>
            </w:r>
          </w:p>
        </w:tc>
      </w:tr>
      <w:tr>
        <w:trPr/>
        <w:tc>
          <w:tcPr>
            <w:tcW w:w="1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Jack W.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598"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r>
      <w:tr>
        <w:trPr/>
        <w:tc>
          <w:tcPr>
            <w:tcW w:w="17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Long-Term Incentive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23, 2025, Mr. Lewis, Dr. Jamil and Mr. Callicutt were awarded the options noted below based on 2024 performance. For the performance options, 25% vest on each of June 30, 2025, December 31, 2025, June 30, 2026, and December 31, 2026. The exercise price of the options is set at the closing price of our stock as of the grant date. </w:t>
      </w:r>
    </w:p>
    <w:tbl>
      <w:tblPr>
        <w:tblW w:w="6110" w:type="dxa"/>
        <w:jc w:val="left"/>
        <w:tblInd w:w="0" w:type="dxa"/>
        <w:tblLayout w:type="fixed"/>
        <w:tblCellMar>
          <w:top w:w="0" w:type="dxa"/>
          <w:left w:w="0" w:type="dxa"/>
          <w:bottom w:w="0" w:type="dxa"/>
          <w:right w:w="0" w:type="dxa"/>
        </w:tblCellMar>
      </w:tblPr>
      <w:tblGrid>
        <w:gridCol w:w="1460"/>
        <w:gridCol w:w="170"/>
        <w:gridCol w:w="170"/>
        <w:gridCol w:w="905"/>
        <w:gridCol w:w="170"/>
        <w:gridCol w:w="170"/>
        <w:gridCol w:w="1565"/>
        <w:gridCol w:w="170"/>
        <w:gridCol w:w="170"/>
        <w:gridCol w:w="1160"/>
      </w:tblGrid>
      <w:tr>
        <w:trPr/>
        <w:tc>
          <w:tcPr>
            <w:tcW w:w="1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146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tc>
      </w:tr>
      <w:tr>
        <w:trPr/>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91,000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 </w:t>
            </w:r>
          </w:p>
        </w:tc>
      </w:tr>
      <w:tr>
        <w:trPr/>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Khurram Jamil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65,000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 </w:t>
            </w:r>
          </w:p>
        </w:tc>
      </w:tr>
      <w:tr>
        <w:trPr/>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Jack W.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65,000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$1.23</w:t>
            </w:r>
          </w:p>
        </w:tc>
      </w:tr>
      <w:tr>
        <w:trPr/>
        <w:tc>
          <w:tcPr>
            <w:tcW w:w="14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January 23, 2025, Mr. Lewis, Dr. Jamil and Mr. Callicutt were granted restricted stock units of 84,000, 60,000 and 60,000 shares, respectively. The restricted stock units vested on January 1, 2026.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Policies and Practices Related to the Grant of Certain Equity Awards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equity awards, including stock options, are granted in accordance with a predetermined schedule, which coincides with regularly scheduled Compensation Committee meetings that are scheduled approximately one year in advance. Annual grants of equity awards, including stock options, to our NEOs and members of the Board are approved during the regularly scheduled meeting of the Compensation Committee in January after the end of our fiscal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may also grant equity awards to individuals upon hire or promotion to executive officer positions or appointment to the Board. Recipients are notified shortly after Compensation Committee approval of their grant, noting the number of stock options, shares of time-based stock, target performance-based stock awards and goals, the vesting schedule, and exercise price. Any sales restrictions or other terms of the award are also communicated at that time.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3" w:name="ny20080978x2_def14a_109-comp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2025, the Company has not made any option awards to any employee or named executive officer during the period beginning four business days before the filing of a periodic report on Form 10-Q or Form 10-K or the filing or furnishing of a current report on Form 8-K that discloses material nonpublic information (other than a current report on Form 8-K disclosing a material new option award grant under Item 5.02(e) of that form), and ending one business day after the filing or furnishing of such report. The Company does not grant equity awards in anticipation of, or immediately following, the release of material nonpublic information. Similarly, we do not time the release of material nonpublic information based on equity award grant dates.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Material Terms of Employment Contracts of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Joel Lewis, Chief Executive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the appointment of Mr. Lewis, the Company and Mr. Lewis entered into an employment agreement, dated August 31, 2020 (the “</w:t>
      </w:r>
      <w:r>
        <w:rPr>
          <w:rFonts w:ascii="Times New Roman;Times;serif" w:hAnsi="Times New Roman;Times;serif"/>
          <w:color w:val="000000"/>
          <w:sz w:val="20"/>
          <w:u w:val="single"/>
        </w:rPr>
        <w:t>Employment Agreement</w:t>
      </w:r>
      <w:r>
        <w:rPr>
          <w:rFonts w:ascii="Times New Roman;Times;serif" w:hAnsi="Times New Roman;Times;serif"/>
          <w:color w:val="000000"/>
          <w:sz w:val="20"/>
        </w:rPr>
        <w:t>”), and a Deferred Stock Unit Agreement, dated August 31, 2020 (the “</w:t>
      </w:r>
      <w:r>
        <w:rPr>
          <w:rFonts w:ascii="Times New Roman;Times;serif" w:hAnsi="Times New Roman;Times;serif"/>
          <w:color w:val="000000"/>
          <w:sz w:val="20"/>
          <w:u w:val="single"/>
        </w:rPr>
        <w:t>DSU Agreement</w:t>
      </w:r>
      <w:r>
        <w:rPr>
          <w:rFonts w:ascii="Times New Roman;Times;serif" w:hAnsi="Times New Roman;Times;serif"/>
          <w:color w:val="000000"/>
          <w:sz w:val="20"/>
        </w:rPr>
        <w:t>”). The Employment Agreement has an initial term of two years and automatically renews for additional one-year terms thereafter, unless either Mr. Lewis or the Company elects not to renew. Mr. Lewis will serve as Chief Executive Officer of the Company effective as of September 2, 2020 (the “</w:t>
      </w:r>
      <w:r>
        <w:rPr>
          <w:rFonts w:ascii="Times New Roman;Times;serif" w:hAnsi="Times New Roman;Times;serif"/>
          <w:color w:val="000000"/>
          <w:sz w:val="20"/>
          <w:u w:val="single"/>
        </w:rPr>
        <w:t>Start Date</w:t>
      </w:r>
      <w:r>
        <w:rPr>
          <w:rFonts w:ascii="Times New Roman;Times;serif" w:hAnsi="Times New Roman;Times;serif"/>
          <w:color w:val="000000"/>
          <w:sz w:val="20"/>
        </w:rPr>
        <w:t>”), and will be paid an annual base salary of $500,000. Under the terms of the Employment Agreement, 20% of his base salary will be paid in cash, and 80% will be paid in the form of deferred-stock-units (“</w:t>
      </w:r>
      <w:r>
        <w:rPr>
          <w:rFonts w:ascii="Times New Roman;Times;serif" w:hAnsi="Times New Roman;Times;serif"/>
          <w:color w:val="000000"/>
          <w:sz w:val="20"/>
          <w:u w:val="single"/>
        </w:rPr>
        <w:t>DSUs</w:t>
      </w:r>
      <w:r>
        <w:rPr>
          <w:rFonts w:ascii="Times New Roman;Times;serif" w:hAnsi="Times New Roman;Times;serif"/>
          <w:color w:val="000000"/>
          <w:sz w:val="20"/>
        </w:rPr>
        <w:t>”) in accordance with the terms and subject to the provisions set forth in the DSU Agreement. In addition, Mr. Lewis is entitled to participate in the Company’s performance bonus plan with a potential of up to 50% of his annual base salary, which will also be paid 20% in cash and 80% in DSU’s. Further, Mr. Lewis received on the date of the agreement an initial grant of options to purchase 250,000 shares of the Company’s common stock, par value $0.001 per share, which options shall vest one-twelfth on a quarterly basis for twelve consecutive quarters, such that the options shall be fully vested twelve quarters following the date of grant (the “</w:t>
      </w:r>
      <w:r>
        <w:rPr>
          <w:rFonts w:ascii="Times New Roman;Times;serif" w:hAnsi="Times New Roman;Times;serif"/>
          <w:color w:val="000000"/>
          <w:sz w:val="20"/>
          <w:u w:val="single"/>
        </w:rPr>
        <w:t>Award</w:t>
      </w:r>
      <w:r>
        <w:rPr>
          <w:rFonts w:ascii="Times New Roman;Times;serif" w:hAnsi="Times New Roman;Times;serif"/>
          <w:color w:val="000000"/>
          <w:sz w:val="20"/>
        </w:rPr>
        <w:t>”). The options under the Award shall be issued pursuant to the Company’s 2019 Omnibus Equity Incentive Plan (the “</w:t>
      </w:r>
      <w:r>
        <w:rPr>
          <w:rFonts w:ascii="Times New Roman;Times;serif" w:hAnsi="Times New Roman;Times;serif"/>
          <w:color w:val="000000"/>
          <w:sz w:val="20"/>
          <w:u w:val="single"/>
        </w:rPr>
        <w:t>Plan</w:t>
      </w:r>
      <w:r>
        <w:rPr>
          <w:rFonts w:ascii="Times New Roman;Times;serif" w:hAnsi="Times New Roman;Times;serif"/>
          <w:color w:val="000000"/>
          <w:sz w:val="20"/>
        </w:rPr>
        <w:t xml:space="preserve">”). Pursuant to the Employment Agreement, Mr. Lewis is also eligible to receive healthcare benefits as may be provided from time to time by the Company to its employees generally, to participate in the Company’s 401(k) plan and to receive paid time off annually in accordance with the Company’s policies in effect from time to time. Finally, pursuant to the Employment Agreement, the Company will be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 The Employment Agreement includes customary intellectual property, assignment, and other representations by Mr. Lewis.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25, 2022, we entered into amendments to the Employment Agreement and DSU Agreement with Mr. Lewis. Pursuant to the amendments, Mr. Lewis’ base salary earned in 2023 will be paid 20% in cash and 80% in DSUs. Additionally, the term of the Employment Agreement was extended until December 31, 2024. Unless either party gives written notice of non-renewal at least 60 days prior to December 31, 2024, the amended employment agreement will automatically renew for an additional twelve months. Also, 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Deferred Stock Unit Agreement with Mr. Lewis specifies that 20% of his base salary and performance bonuses will be paid in cash, and 80% will be paid in the form of deferred stock units (“DSUs”) through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4" w:name="ny20080978x2_def14a_109-comp_pg5"/>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 Additionally, a 2023 DSU Agreement was executed in July 2022, whereby Mr. Lewis would continue to receive 20% of salary in cash and 80% in DSUs for 2023. The shares under the 2023 DSU Agreement are to be issued fifty percent on March 1, 2025 and fifty percent on January 5, 2026.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Khurram Jamil, M.D., Chief Medical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August 1, 2024, the Company entered into an Employment Agreement with Dr. Jamil (the “Jamil Employment Agreement”), which governs the terms of Dr. Jamil’s employment in his position as the Company’s Chief Medical Officer. Dr. Jamil will serve as the Chief Medical Officer of the Company during an initial term that commences on August 1, 2024 (the “</w:t>
      </w:r>
      <w:r>
        <w:rPr>
          <w:rFonts w:ascii="Times New Roman;Times;serif" w:hAnsi="Times New Roman;Times;serif"/>
          <w:color w:val="000000"/>
          <w:sz w:val="20"/>
          <w:u w:val="single"/>
        </w:rPr>
        <w:t>Commencement Date</w:t>
      </w:r>
      <w:r>
        <w:rPr>
          <w:rFonts w:ascii="Times New Roman;Times;serif" w:hAnsi="Times New Roman;Times;serif"/>
          <w:color w:val="000000"/>
          <w:sz w:val="20"/>
        </w:rPr>
        <w:t>”) and expires on August 1, 2025 (the “</w:t>
      </w:r>
      <w:r>
        <w:rPr>
          <w:rFonts w:ascii="Times New Roman;Times;serif" w:hAnsi="Times New Roman;Times;serif"/>
          <w:color w:val="000000"/>
          <w:sz w:val="20"/>
          <w:u w:val="single"/>
        </w:rPr>
        <w:t>Initial Term</w:t>
      </w:r>
      <w:r>
        <w:rPr>
          <w:rFonts w:ascii="Times New Roman;Times;serif" w:hAnsi="Times New Roman;Times;serif"/>
          <w:color w:val="000000"/>
          <w:sz w:val="20"/>
        </w:rPr>
        <w:t>”). Following the Initial Term, the term of the Agreement automatically renews for successive twelve (12) month terms unless either party provides the other party with notice of non-renewal at least sixty (60) days prior to the expiration of the then-current term. Under the Agreement, the Company has agreed to pay Dr. Jamil a base salary of $500,000 per year (the “</w:t>
      </w:r>
      <w:r>
        <w:rPr>
          <w:rFonts w:ascii="Times New Roman;Times;serif" w:hAnsi="Times New Roman;Times;serif"/>
          <w:color w:val="000000"/>
          <w:sz w:val="20"/>
          <w:u w:val="single"/>
        </w:rPr>
        <w:t>Base Salary</w:t>
      </w:r>
      <w:r>
        <w:rPr>
          <w:rFonts w:ascii="Times New Roman;Times;serif" w:hAnsi="Times New Roman;Times;serif"/>
          <w:color w:val="000000"/>
          <w:sz w:val="20"/>
        </w:rPr>
        <w:t>”). Provided that certain performance objectives are met, Dr. Jamil will also be entitled to receive an annual performance bonus equal to thirty percent (30%) of the Base Salary (the “</w:t>
      </w:r>
      <w:r>
        <w:rPr>
          <w:rFonts w:ascii="Times New Roman;Times;serif" w:hAnsi="Times New Roman;Times;serif"/>
          <w:color w:val="000000"/>
          <w:sz w:val="20"/>
          <w:u w:val="single"/>
        </w:rPr>
        <w:t>Performance Bonus</w:t>
      </w:r>
      <w:r>
        <w:rPr>
          <w:rFonts w:ascii="Times New Roman;Times;serif" w:hAnsi="Times New Roman;Times;serif"/>
          <w:color w:val="000000"/>
          <w:sz w:val="20"/>
        </w:rPr>
        <w:t>”). Subject to certain restrictions described in the Agreement, Dr. Jamil was granted options to purchase 100,000 shares (the “</w:t>
      </w:r>
      <w:r>
        <w:rPr>
          <w:rFonts w:ascii="Times New Roman;Times;serif" w:hAnsi="Times New Roman;Times;serif"/>
          <w:color w:val="000000"/>
          <w:sz w:val="20"/>
          <w:u w:val="single"/>
        </w:rPr>
        <w:t>Options</w:t>
      </w:r>
      <w:r>
        <w:rPr>
          <w:rFonts w:ascii="Times New Roman;Times;serif" w:hAnsi="Times New Roman;Times;serif"/>
          <w:color w:val="000000"/>
          <w:sz w:val="20"/>
        </w:rPr>
        <w:t xml:space="preserve">”) of the Company’s common stock and restricted stock units for 10,000 shares of the Company’s common stock pursuant to the Company’s 2019 Omnibus Equity Incentive Plan. The Options vest as follows: twenty-five percent (25%) of the Options shall vest upon each of October 31, 2024; January 31, 2025; April 30, 2025; and July 31, 2025. The restricted stock units vesting only would occur if the Company presented top-line results from its NAVIGATE clinical trial by the end of 2024. The restricted stock units vested on December 20,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his appointment as Chief Medical Officer, on March 11, 2024, Dr. Jamil joined the Company as vice president of clinical development and medical director. His annual salary was $400,000. He also was granted options to purchase 150,000 shares of the Company’s common stock which vest one-third at each of the first three anniversaries of his employment date. Additionally, he was granted restricted stock units for 10,000 shares of the Company’s common stock. The restricted stock units vesting only would occur if the Company presented top-line results from its NAVIGATE clinical trial by the end of 2024. The restricted stock units vested on December 20, 2024.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Jack W. Callicutt, Chief Financial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5" w:name="ny20080978x2_def14a_109-comp_pg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Benefits &amp; Perquisites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6" w:name="ny20080978x2_def14a_109-comp_pg7"/>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7" w:name="tSCT"/>
      <w:bookmarkEnd w:id="47"/>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compensation paid to our NEOs for the fiscal years ended December 31, 2025 and 2024. </w:t>
      </w:r>
    </w:p>
    <w:tbl>
      <w:tblPr>
        <w:tblW w:w="10205" w:type="dxa"/>
        <w:jc w:val="left"/>
        <w:tblInd w:w="0" w:type="dxa"/>
        <w:tblLayout w:type="fixed"/>
        <w:tblCellMar>
          <w:top w:w="0" w:type="dxa"/>
          <w:left w:w="0" w:type="dxa"/>
          <w:bottom w:w="0" w:type="dxa"/>
          <w:right w:w="0" w:type="dxa"/>
        </w:tblCellMar>
      </w:tblPr>
      <w:tblGrid>
        <w:gridCol w:w="2961"/>
        <w:gridCol w:w="170"/>
        <w:gridCol w:w="170"/>
        <w:gridCol w:w="574"/>
        <w:gridCol w:w="170"/>
        <w:gridCol w:w="170"/>
        <w:gridCol w:w="725"/>
        <w:gridCol w:w="170"/>
        <w:gridCol w:w="170"/>
        <w:gridCol w:w="725"/>
        <w:gridCol w:w="170"/>
        <w:gridCol w:w="170"/>
        <w:gridCol w:w="1129"/>
        <w:gridCol w:w="170"/>
        <w:gridCol w:w="170"/>
        <w:gridCol w:w="1085"/>
        <w:gridCol w:w="170"/>
        <w:gridCol w:w="170"/>
        <w:gridCol w:w="966"/>
      </w:tblGrid>
      <w:tr>
        <w:trPr/>
        <w:tc>
          <w:tcPr>
            <w:tcW w:w="29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r>
      <w:tr>
        <w:trPr/>
        <w:tc>
          <w:tcPr>
            <w:tcW w:w="296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961"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Joel Lewis,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&amp; President</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4"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182,763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56,019</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1,174,782 </w:t>
            </w:r>
          </w:p>
        </w:tc>
      </w:tr>
      <w:tr>
        <w:trPr/>
        <w:tc>
          <w:tcPr>
            <w:tcW w:w="29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74"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620,167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202,635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54,872</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1,189,674 </w:t>
            </w:r>
          </w:p>
        </w:tc>
      </w:tr>
      <w:tr>
        <w:trPr/>
        <w:tc>
          <w:tcPr>
            <w:tcW w:w="2961"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Khurram Jamil, M.D.,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Medical Officer</w:t>
            </w:r>
            <w:r>
              <w:rPr>
                <w:rFonts w:ascii="Times New Roman;Times;serif" w:hAnsi="Times New Roman;Times;serif"/>
                <w:color w:val="000000"/>
                <w:position w:val="7"/>
                <w:sz w:val="16"/>
                <w:sz w:val="20"/>
              </w:rPr>
              <w:t>(5)</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4"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130,545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71,583</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1,052,128 </w:t>
            </w:r>
          </w:p>
        </w:tc>
      </w:tr>
      <w:tr>
        <w:trPr/>
        <w:tc>
          <w:tcPr>
            <w:tcW w:w="29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4"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365,909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398,500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60,813</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945,847 </w:t>
            </w:r>
          </w:p>
        </w:tc>
      </w:tr>
      <w:tr>
        <w:trPr/>
        <w:tc>
          <w:tcPr>
            <w:tcW w:w="2961"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Jack W. Callicutt,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4"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130,545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56,019</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806,564 </w:t>
            </w:r>
          </w:p>
        </w:tc>
      </w:tr>
      <w:tr>
        <w:trPr/>
        <w:tc>
          <w:tcPr>
            <w:tcW w:w="29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74"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397,333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144,740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54,872</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716,945</w:t>
            </w:r>
          </w:p>
        </w:tc>
      </w:tr>
      <w:tr>
        <w:trPr/>
        <w:tc>
          <w:tcPr>
            <w:tcW w:w="296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aggregate grant date fair value of restricted stock units and option awards made during 2025 and 2024 computed in accordance with the Stock Compensation Topic of the FASB ASC, as modified of supplemented. Option awards fair values were calculated using the Black-Scholes options pricing model. For a description of the assumptions used to determine these amounts, see Note 9 of the Notes to the Consolidated Financial Statements in our Annual Reports on Form 10-K for the fiscal years ended December 31, 2025 and 2024.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Performance bonuses for 2025 and 2024 were approved in January 2026 and January 2025, respectively. Also includes retention bonuses in 2025 of $200,000 for Dr. Jamil and $100,000 for Mr. Callicutt.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$42,019 for health and other insurance and $14,000 for 401(k) plan contributions.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$41,072 for health and other insurance and $13,800 for 401(k) plan contributions.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Jamil joined the company in March 2024 as vice president of clinical development and was promoted to Chief Medical Officer effective August 1, 2024.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$57,583 for health and other insurance and $14,000 for 401(k) plan contributions.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$47,146 for health and other insurance and $13,667 for 401(k) plan contributions.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$42,019 for health and other insurance and $14,000 for 401(k) plan contributions.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$41,072 for health and other insurance and $13,800 for 401(k) plan contributions.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8" w:name="ny20080978x2_def14a_109-comp_pg8"/>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OEA"/>
      <w:bookmarkEnd w:id="49"/>
      <w:r>
        <w:rPr>
          <w:rFonts w:ascii="Times New Roman;Times;serif" w:hAnsi="Times New Roman;Times;serif"/>
          <w:b/>
          <w:color w:val="000000"/>
          <w:sz w:val="20"/>
        </w:rPr>
        <w:t xml:space="preserve">OUTSTANDING EQUITY AWARDS AT FISCAL YEAR-END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all outstanding equity awards held by the NEOs at December 31, 2025. The exercise price of the options is set at the closing price of our stock at the date prior to or as of the date of grant. Outstanding options have been approved by our Compensation Committee and our Board. </w:t>
      </w:r>
    </w:p>
    <w:tbl>
      <w:tblPr>
        <w:tblW w:w="10235" w:type="dxa"/>
        <w:jc w:val="left"/>
        <w:tblInd w:w="0" w:type="dxa"/>
        <w:tblLayout w:type="fixed"/>
        <w:tblCellMar>
          <w:top w:w="0" w:type="dxa"/>
          <w:left w:w="0" w:type="dxa"/>
          <w:bottom w:w="0" w:type="dxa"/>
          <w:right w:w="0" w:type="dxa"/>
        </w:tblCellMar>
      </w:tblPr>
      <w:tblGrid>
        <w:gridCol w:w="785"/>
        <w:gridCol w:w="170"/>
        <w:gridCol w:w="170"/>
        <w:gridCol w:w="815"/>
        <w:gridCol w:w="170"/>
        <w:gridCol w:w="170"/>
        <w:gridCol w:w="935"/>
        <w:gridCol w:w="170"/>
        <w:gridCol w:w="170"/>
        <w:gridCol w:w="815"/>
        <w:gridCol w:w="170"/>
        <w:gridCol w:w="170"/>
        <w:gridCol w:w="575"/>
        <w:gridCol w:w="170"/>
        <w:gridCol w:w="170"/>
        <w:gridCol w:w="755"/>
        <w:gridCol w:w="170"/>
        <w:gridCol w:w="170"/>
        <w:gridCol w:w="575"/>
        <w:gridCol w:w="170"/>
        <w:gridCol w:w="170"/>
        <w:gridCol w:w="515"/>
        <w:gridCol w:w="170"/>
        <w:gridCol w:w="170"/>
        <w:gridCol w:w="680"/>
        <w:gridCol w:w="170"/>
        <w:gridCol w:w="170"/>
        <w:gridCol w:w="725"/>
      </w:tblGrid>
      <w:tr>
        <w:trPr/>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5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15" w:type="dxa"/>
            <w:gridSpan w:val="10"/>
            <w:tcBorders/>
            <w:vAlign w:val="center"/>
          </w:tcPr>
          <w:p>
            <w:pPr>
              <w:pStyle w:val="TableContents"/>
              <w:bidi w:val="0"/>
              <w:spacing w:before="0" w:after="0"/>
              <w:jc w:val="left"/>
              <w:rPr/>
            </w:pPr>
            <w:r>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55" w:type="dxa"/>
            <w:gridSpan w:val="13"/>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15" w:type="dxa"/>
            <w:gridSpan w:val="10"/>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Awards </w:t>
            </w:r>
          </w:p>
        </w:tc>
      </w:tr>
      <w:tr>
        <w:trPr/>
        <w:tc>
          <w:tcPr>
            <w:tcW w:w="785"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Underlying</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Securities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Underlying</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Equity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Plan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Securities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Underlying</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Unearned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Exercise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Price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Expiration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of 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Units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of 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Have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Value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Units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of 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That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Have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Equity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Incentive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Plan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Other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Rights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That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Have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Value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Rights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That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Have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78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Joel Lewis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35,000</w:t>
            </w:r>
            <w:r>
              <w:rPr>
                <w:rFonts w:ascii="Times New Roman;Times;serif" w:hAnsi="Times New Roman;Times;serif"/>
                <w:color w:val="000000"/>
                <w:position w:val="6"/>
                <w:sz w:val="15"/>
                <w:sz w:val="19"/>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4.72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01/16/2029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color w:val="000000"/>
              </w:rPr>
            </w:pPr>
            <w:r>
              <w:rPr>
                <w:color w:val="000000"/>
              </w:rPr>
              <w:t xml:space="preserve">— </w:t>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32,171</w:t>
            </w:r>
            <w:r>
              <w:rPr>
                <w:rFonts w:ascii="Times New Roman;Times;serif" w:hAnsi="Times New Roman;Times;serif"/>
                <w:color w:val="000000"/>
                <w:position w:val="6"/>
                <w:sz w:val="15"/>
                <w:sz w:val="19"/>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01/09/2030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250,000</w:t>
            </w:r>
            <w:r>
              <w:rPr>
                <w:rFonts w:ascii="Times New Roman;Times;serif" w:hAnsi="Times New Roman;Times;serif"/>
                <w:color w:val="000000"/>
                <w:position w:val="6"/>
                <w:sz w:val="15"/>
                <w:sz w:val="19"/>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08/31/2030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70,000</w:t>
            </w:r>
            <w:r>
              <w:rPr>
                <w:rFonts w:ascii="Times New Roman;Times;serif" w:hAnsi="Times New Roman;Times;serif"/>
                <w:color w:val="000000"/>
                <w:position w:val="6"/>
                <w:sz w:val="15"/>
                <w:sz w:val="19"/>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03/25/2031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140,000</w:t>
            </w:r>
            <w:r>
              <w:rPr>
                <w:rFonts w:ascii="Times New Roman;Times;serif" w:hAnsi="Times New Roman;Times;serif"/>
                <w:color w:val="000000"/>
                <w:position w:val="6"/>
                <w:sz w:val="15"/>
                <w:sz w:val="19"/>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03/25/2031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70,000</w:t>
            </w:r>
            <w:r>
              <w:rPr>
                <w:rFonts w:ascii="Times New Roman;Times;serif" w:hAnsi="Times New Roman;Times;serif"/>
                <w:color w:val="000000"/>
                <w:position w:val="6"/>
                <w:sz w:val="15"/>
                <w:sz w:val="19"/>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01/24/2032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70,000</w:t>
            </w:r>
            <w:r>
              <w:rPr>
                <w:rFonts w:ascii="Times New Roman;Times;serif" w:hAnsi="Times New Roman;Times;serif"/>
                <w:color w:val="000000"/>
                <w:position w:val="6"/>
                <w:sz w:val="15"/>
                <w:sz w:val="19"/>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01/26/2033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91,000</w:t>
            </w:r>
            <w:r>
              <w:rPr>
                <w:rFonts w:ascii="Times New Roman;Times;serif" w:hAnsi="Times New Roman;Times;serif"/>
                <w:color w:val="000000"/>
                <w:position w:val="6"/>
                <w:sz w:val="15"/>
                <w:sz w:val="19"/>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01/24/2034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45,500</w:t>
            </w:r>
            <w:r>
              <w:rPr>
                <w:rFonts w:ascii="Times New Roman;Times;serif" w:hAnsi="Times New Roman;Times;serif"/>
                <w:color w:val="000000"/>
                <w:position w:val="6"/>
                <w:sz w:val="15"/>
                <w:sz w:val="19"/>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9"/>
              </w:rPr>
            </w:pPr>
            <w:r>
              <w:rPr>
                <w:rFonts w:ascii="Times New Roman;Times;serif" w:hAnsi="Times New Roman;Times;serif"/>
                <w:color w:val="000000"/>
                <w:sz w:val="19"/>
              </w:rPr>
              <w:t>45,500</w:t>
            </w:r>
            <w:r>
              <w:rPr>
                <w:rFonts w:ascii="Times New Roman;Times;serif" w:hAnsi="Times New Roman;Times;serif"/>
                <w:color w:val="000000"/>
                <w:position w:val="6"/>
                <w:sz w:val="15"/>
                <w:sz w:val="19"/>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01/23/2035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Khurram Jamil, M.D.</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2,037</w:t>
            </w:r>
            <w:r>
              <w:rPr>
                <w:rFonts w:ascii="Times New Roman;Times;serif" w:hAnsi="Times New Roman;Times;serif"/>
                <w:color w:val="000000"/>
                <w:position w:val="6"/>
                <w:sz w:val="15"/>
                <w:sz w:val="19"/>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0" w:right="0" w:hanging="0"/>
              <w:jc w:val="left"/>
              <w:rPr>
                <w:rFonts w:ascii="Times New Roman;Times;serif" w:hAnsi="Times New Roman;Times;serif"/>
                <w:color w:val="000000"/>
                <w:sz w:val="19"/>
              </w:rPr>
            </w:pPr>
            <w:r>
              <w:rPr>
                <w:rFonts w:ascii="Times New Roman;Times;serif" w:hAnsi="Times New Roman;Times;serif"/>
                <w:color w:val="000000"/>
                <w:sz w:val="19"/>
              </w:rPr>
              <w:t>100,000</w:t>
            </w:r>
            <w:r>
              <w:rPr>
                <w:rFonts w:ascii="Times New Roman;Times;serif" w:hAnsi="Times New Roman;Times;serif"/>
                <w:color w:val="000000"/>
                <w:position w:val="6"/>
                <w:sz w:val="15"/>
                <w:sz w:val="19"/>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03/20/2034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221" w:right="0" w:hanging="0"/>
              <w:jc w:val="left"/>
              <w:rPr>
                <w:color w:val="000000"/>
              </w:rPr>
            </w:pPr>
            <w:r>
              <w:rPr>
                <w:color w:val="000000"/>
              </w:rPr>
              <w:t xml:space="preserve">— </w:t>
            </w:r>
          </w:p>
        </w:tc>
      </w:tr>
      <w:tr>
        <w:trPr/>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50,000</w:t>
            </w:r>
            <w:r>
              <w:rPr>
                <w:rFonts w:ascii="Times New Roman;Times;serif" w:hAnsi="Times New Roman;Times;serif"/>
                <w:color w:val="000000"/>
                <w:position w:val="6"/>
                <w:sz w:val="15"/>
                <w:sz w:val="19"/>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08/01/2034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20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0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5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8,125</w:t>
            </w:r>
            <w:r>
              <w:rPr>
                <w:rFonts w:ascii="Times New Roman;Times;serif" w:hAnsi="Times New Roman;Times;serif"/>
                <w:color w:val="000000"/>
                <w:position w:val="6"/>
                <w:sz w:val="15"/>
                <w:sz w:val="19"/>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0" w:right="0" w:hanging="0"/>
              <w:jc w:val="left"/>
              <w:rPr>
                <w:rFonts w:ascii="Times New Roman;Times;serif" w:hAnsi="Times New Roman;Times;serif"/>
                <w:color w:val="000000"/>
                <w:sz w:val="19"/>
              </w:rPr>
            </w:pPr>
            <w:r>
              <w:rPr>
                <w:rFonts w:ascii="Times New Roman;Times;serif" w:hAnsi="Times New Roman;Times;serif"/>
                <w:color w:val="000000"/>
                <w:sz w:val="19"/>
              </w:rPr>
              <w:t>32,500</w:t>
            </w:r>
            <w:r>
              <w:rPr>
                <w:rFonts w:ascii="Times New Roman;Times;serif" w:hAnsi="Times New Roman;Times;serif"/>
                <w:color w:val="000000"/>
                <w:position w:val="6"/>
                <w:sz w:val="15"/>
                <w:sz w:val="19"/>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01/23/2035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20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0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5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Jack W. Callicutt</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90,000</w:t>
            </w:r>
            <w:r>
              <w:rPr>
                <w:rFonts w:ascii="Times New Roman;Times;serif" w:hAnsi="Times New Roman;Times;serif"/>
                <w:color w:val="000000"/>
                <w:position w:val="6"/>
                <w:sz w:val="15"/>
                <w:sz w:val="19"/>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5.87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01/15/2028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color w:val="000000"/>
              </w:rPr>
            </w:pPr>
            <w:r>
              <w:rPr>
                <w:color w:val="000000"/>
              </w:rPr>
              <w:t xml:space="preserve">— </w:t>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90,000</w:t>
            </w:r>
            <w:r>
              <w:rPr>
                <w:rFonts w:ascii="Times New Roman;Times;serif" w:hAnsi="Times New Roman;Times;serif"/>
                <w:color w:val="000000"/>
                <w:position w:val="6"/>
                <w:sz w:val="15"/>
                <w:sz w:val="19"/>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4.16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05/22/2028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50,000</w:t>
            </w:r>
            <w:r>
              <w:rPr>
                <w:rFonts w:ascii="Times New Roman;Times;serif" w:hAnsi="Times New Roman;Times;serif"/>
                <w:color w:val="000000"/>
                <w:position w:val="6"/>
                <w:sz w:val="15"/>
                <w:sz w:val="19"/>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4.72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01/16/2029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50,000</w:t>
            </w:r>
            <w:r>
              <w:rPr>
                <w:rFonts w:ascii="Times New Roman;Times;serif" w:hAnsi="Times New Roman;Times;serif"/>
                <w:color w:val="000000"/>
                <w:position w:val="6"/>
                <w:sz w:val="15"/>
                <w:sz w:val="19"/>
              </w:rPr>
              <w:t>(15)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01/09/2030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50,000</w:t>
            </w:r>
            <w:r>
              <w:rPr>
                <w:rFonts w:ascii="Times New Roman;Times;serif" w:hAnsi="Times New Roman;Times;serif"/>
                <w:color w:val="000000"/>
                <w:position w:val="6"/>
                <w:sz w:val="15"/>
                <w:sz w:val="19"/>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03/25/2031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100,000</w:t>
            </w:r>
            <w:r>
              <w:rPr>
                <w:rFonts w:ascii="Times New Roman;Times;serif" w:hAnsi="Times New Roman;Times;serif"/>
                <w:color w:val="000000"/>
                <w:position w:val="6"/>
                <w:sz w:val="15"/>
                <w:sz w:val="19"/>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03/25/2031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65,000</w:t>
            </w:r>
            <w:r>
              <w:rPr>
                <w:rFonts w:ascii="Times New Roman;Times;serif" w:hAnsi="Times New Roman;Times;serif"/>
                <w:color w:val="000000"/>
                <w:position w:val="6"/>
                <w:sz w:val="15"/>
                <w:sz w:val="19"/>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01/24/2034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16,250</w:t>
            </w:r>
            <w:r>
              <w:rPr>
                <w:rFonts w:ascii="Times New Roman;Times;serif" w:hAnsi="Times New Roman;Times;serif"/>
                <w:color w:val="000000"/>
                <w:position w:val="6"/>
                <w:sz w:val="15"/>
                <w:sz w:val="19"/>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9"/>
              </w:rPr>
            </w:pPr>
            <w:r>
              <w:rPr>
                <w:rFonts w:ascii="Times New Roman;Times;serif" w:hAnsi="Times New Roman;Times;serif"/>
                <w:color w:val="000000"/>
                <w:sz w:val="19"/>
              </w:rPr>
              <w:t>32,500</w:t>
            </w:r>
            <w:r>
              <w:rPr>
                <w:rFonts w:ascii="Times New Roman;Times;serif" w:hAnsi="Times New Roman;Times;serif"/>
                <w:color w:val="000000"/>
                <w:position w:val="6"/>
                <w:sz w:val="15"/>
                <w:sz w:val="19"/>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01/23/2035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tbl>
      <w:tblPr>
        <w:tblW w:w="4270" w:type="dxa"/>
        <w:jc w:val="left"/>
        <w:tblInd w:w="0" w:type="dxa"/>
        <w:tblLayout w:type="fixed"/>
        <w:tblCellMar>
          <w:top w:w="0" w:type="dxa"/>
          <w:left w:w="0" w:type="dxa"/>
          <w:bottom w:w="0" w:type="dxa"/>
          <w:right w:w="0" w:type="dxa"/>
        </w:tblCellMar>
      </w:tblPr>
      <w:tblGrid>
        <w:gridCol w:w="260"/>
        <w:gridCol w:w="40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100% of the options vested in full on January 16, 2020. </w:t>
            </w:r>
          </w:p>
        </w:tc>
      </w:tr>
    </w:tbl>
    <w:tbl>
      <w:tblPr>
        <w:tblW w:w="4435" w:type="dxa"/>
        <w:jc w:val="left"/>
        <w:tblInd w:w="0" w:type="dxa"/>
        <w:tblLayout w:type="fixed"/>
        <w:tblCellMar>
          <w:top w:w="0" w:type="dxa"/>
          <w:left w:w="0" w:type="dxa"/>
          <w:bottom w:w="0" w:type="dxa"/>
          <w:right w:w="0" w:type="dxa"/>
        </w:tblCellMar>
      </w:tblPr>
      <w:tblGrid>
        <w:gridCol w:w="260"/>
        <w:gridCol w:w="41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100% of the options vested in full on December 31, 2020. </w:t>
            </w:r>
          </w:p>
        </w:tc>
      </w:tr>
    </w:tbl>
    <w:tbl>
      <w:tblPr>
        <w:tblW w:w="7165" w:type="dxa"/>
        <w:jc w:val="left"/>
        <w:tblInd w:w="0" w:type="dxa"/>
        <w:tblLayout w:type="fixed"/>
        <w:tblCellMar>
          <w:top w:w="0" w:type="dxa"/>
          <w:left w:w="0" w:type="dxa"/>
          <w:bottom w:w="0" w:type="dxa"/>
          <w:right w:w="0" w:type="dxa"/>
        </w:tblCellMar>
      </w:tblPr>
      <w:tblGrid>
        <w:gridCol w:w="260"/>
        <w:gridCol w:w="69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9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One-twelfth of the total options vested quarterly from August 31, 2020, which was the grant date.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September 30, 2021, 25% vested on March 31, 2022, 25% vested on September 30, 2022, 25% vest on March 31, 2023.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100% of the options vested on December 20, 2024 when the Company received the top-line results of the NAVIGATE clinical trial and made a public announcement of such results.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2022, 25% vested on December 31, 2022, 25% vested on June 30, 2023, 25% vested on December 31, 2023.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2023, 25% vested on December 31, 2023, 25% vested on June 30, 2024, 25% vested on December 31, 2024.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2024, 25% vested on December 31, 2024, 25% vest on June 30, 2025, 25% vest on December 31, 2025.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2025, 25% vested on December 31, 2025, 25% vest on June 30, 2026, 25% vest on December 31, 2026. </w:t>
            </w:r>
          </w:p>
        </w:tc>
      </w:tr>
    </w:tbl>
    <w:tbl>
      <w:tblPr>
        <w:tblW w:w="7180" w:type="dxa"/>
        <w:jc w:val="left"/>
        <w:tblInd w:w="0" w:type="dxa"/>
        <w:tblLayout w:type="fixed"/>
        <w:tblCellMar>
          <w:top w:w="0" w:type="dxa"/>
          <w:left w:w="0" w:type="dxa"/>
          <w:bottom w:w="0" w:type="dxa"/>
          <w:right w:w="0" w:type="dxa"/>
        </w:tblCellMar>
      </w:tblPr>
      <w:tblGrid>
        <w:gridCol w:w="350"/>
        <w:gridCol w:w="683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68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One third of the options vest on each of March 11, 2025, March 11, 2026, and March 11, 2027. </w:t>
            </w:r>
          </w:p>
        </w:tc>
      </w:tr>
    </w:tbl>
    <w:tbl>
      <w:tblPr>
        <w:tblW w:w="7990" w:type="dxa"/>
        <w:jc w:val="left"/>
        <w:tblInd w:w="0" w:type="dxa"/>
        <w:tblLayout w:type="fixed"/>
        <w:tblCellMar>
          <w:top w:w="0" w:type="dxa"/>
          <w:left w:w="0" w:type="dxa"/>
          <w:bottom w:w="0" w:type="dxa"/>
          <w:right w:w="0" w:type="dxa"/>
        </w:tblCellMar>
      </w:tblPr>
      <w:tblGrid>
        <w:gridCol w:w="350"/>
        <w:gridCol w:w="764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76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 on each of October 31, 2024, January 31, 2025, April 30, 2025, and July 31, 2025. </w:t>
            </w:r>
          </w:p>
        </w:tc>
      </w:tr>
    </w:tbl>
    <w:tbl>
      <w:tblPr>
        <w:tblW w:w="9640" w:type="dxa"/>
        <w:jc w:val="left"/>
        <w:tblInd w:w="0" w:type="dxa"/>
        <w:tblLayout w:type="fixed"/>
        <w:tblCellMar>
          <w:top w:w="0" w:type="dxa"/>
          <w:left w:w="0" w:type="dxa"/>
          <w:bottom w:w="0" w:type="dxa"/>
          <w:right w:w="0" w:type="dxa"/>
        </w:tblCellMar>
      </w:tblPr>
      <w:tblGrid>
        <w:gridCol w:w="350"/>
        <w:gridCol w:w="929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January 15, 2018 (grant date), 25% vested on June 30, 2018, and 50% vested on December 31, 2018. </w:t>
            </w:r>
          </w:p>
        </w:tc>
      </w:tr>
    </w:tbl>
    <w:tbl>
      <w:tblPr>
        <w:tblW w:w="8980" w:type="dxa"/>
        <w:jc w:val="left"/>
        <w:tblInd w:w="0" w:type="dxa"/>
        <w:tblLayout w:type="fixed"/>
        <w:tblCellMar>
          <w:top w:w="0" w:type="dxa"/>
          <w:left w:w="0" w:type="dxa"/>
          <w:bottom w:w="0" w:type="dxa"/>
          <w:right w:w="0" w:type="dxa"/>
        </w:tblCellMar>
      </w:tblPr>
      <w:tblGrid>
        <w:gridCol w:w="350"/>
        <w:gridCol w:w="863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86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2018, 25% vested on September 30, 2018, and 50% vested on December 31, 2018.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0" w:name="ny20080978x2_def14a_109-comp_pg9"/>
        <w:bookmarkEnd w:id="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6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2019, 25% vested on December 31, 2019, 25% vested on June 30, 2020, and 25% vested on December 31, 2020. </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6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2020, 25% vested on December 31, 2020, 25% vested on June 30, 2021, and 25% vested on December 31, 2021.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2019 Omnibus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Payments Upon Termination or Change-in-Control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Joel Lewis: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 </w:t>
      </w:r>
    </w:p>
    <w:p>
      <w:pPr>
        <w:pStyle w:val="TextBody"/>
        <w:bidi w:val="0"/>
        <w:spacing w:before="3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Khurram Jamil, M.D.: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Employment Agreement with Dr. Jamil, if (i) Dr. Jamil terminates the Agreement for Good Reason (as defined in the Agreement) or (ii) the Company terminates the Agreement without Cause (as defined in the Agreement), then the Company shall pay to Dr. Jamil: (1) the Base Salary accrued through the date of 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51" w:name="ny20080978x2_def14a_109-comp_pg10"/>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within the period ending twelve (12) months after the date of a Change of Control, Dr. Jamil’s employment with the Company is (i) terminated without Cause or (ii) terminated for Good Reason by Dr. Jamil, the Company shall pay to Dr. Jamil (A) the Base Salary accrued through the date of termination, to the extent not theretofore paid, (B) Jamil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Jamil’s unvested Options shall be one hundred percent (100%) vested, but shall otherwise continue to be governed by the terms and conditions of the Plan and the applicable stock option agreement.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Jack Callicutt: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52" w:name="ny20080978x2_def14a_110-pvp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rules adopted by the Securities and Exchange Commission (“SEC”) pursuant to the Dodd-Frank Wall Street Reform and Consumer Protection Act of 2010, we provide the following disclosure regarding executive “Compensation Actually Paid” (“CAP”) and certain performance measures required for Smaller Reporting Companies. The following table provides the information required for our NEOs for each of the fiscal years ended December 31, 2025, December 31, 2024 and December 31, 2023, along with the financial information required for each fiscal year: </w:t>
      </w:r>
    </w:p>
    <w:tbl>
      <w:tblPr>
        <w:tblW w:w="9965" w:type="dxa"/>
        <w:jc w:val="left"/>
        <w:tblInd w:w="0" w:type="dxa"/>
        <w:tblLayout w:type="fixed"/>
        <w:tblCellMar>
          <w:top w:w="0" w:type="dxa"/>
          <w:left w:w="0" w:type="dxa"/>
          <w:bottom w:w="0" w:type="dxa"/>
          <w:right w:w="0" w:type="dxa"/>
        </w:tblCellMar>
      </w:tblPr>
      <w:tblGrid>
        <w:gridCol w:w="485"/>
        <w:gridCol w:w="170"/>
        <w:gridCol w:w="170"/>
        <w:gridCol w:w="1250"/>
        <w:gridCol w:w="170"/>
        <w:gridCol w:w="170"/>
        <w:gridCol w:w="1235"/>
        <w:gridCol w:w="170"/>
        <w:gridCol w:w="170"/>
        <w:gridCol w:w="1430"/>
        <w:gridCol w:w="170"/>
        <w:gridCol w:w="170"/>
        <w:gridCol w:w="1235"/>
        <w:gridCol w:w="170"/>
        <w:gridCol w:w="170"/>
        <w:gridCol w:w="1190"/>
        <w:gridCol w:w="170"/>
        <w:gridCol w:w="170"/>
        <w:gridCol w:w="1100"/>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CEO ($)</w:t>
            </w:r>
            <w:r>
              <w:rPr>
                <w:rFonts w:ascii="Times New Roman;Times;serif" w:hAnsi="Times New Roman;Times;serif"/>
                <w:b/>
                <w:color w:val="000000"/>
                <w:position w:val="5"/>
                <w:sz w:val="13"/>
                <w:sz w:val="16"/>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Loss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Applicable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$1,174,782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$1,691,919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48" w:right="0" w:hanging="0"/>
              <w:jc w:val="left"/>
              <w:rPr>
                <w:rFonts w:ascii="Times New Roman;Times;serif" w:hAnsi="Times New Roman;Times;serif"/>
                <w:color w:val="000000"/>
                <w:sz w:val="20"/>
              </w:rPr>
            </w:pPr>
            <w:r>
              <w:rPr>
                <w:rFonts w:ascii="Times New Roman;Times;serif" w:hAnsi="Times New Roman;Times;serif"/>
                <w:color w:val="000000"/>
                <w:sz w:val="20"/>
              </w:rPr>
              <w:t>$929,346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$1,378,614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$322.48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$(31.0)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$1,189,674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$1,050,354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48" w:right="0" w:hanging="0"/>
              <w:jc w:val="left"/>
              <w:rPr>
                <w:rFonts w:ascii="Times New Roman;Times;serif" w:hAnsi="Times New Roman;Times;serif"/>
                <w:color w:val="000000"/>
                <w:sz w:val="20"/>
              </w:rPr>
            </w:pPr>
            <w:r>
              <w:rPr>
                <w:rFonts w:ascii="Times New Roman;Times;serif" w:hAnsi="Times New Roman;Times;serif"/>
                <w:color w:val="000000"/>
                <w:sz w:val="20"/>
              </w:rPr>
              <w:t>$831,396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697,613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$(47.2)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963,647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$1,058,522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48" w:right="0" w:hanging="0"/>
              <w:jc w:val="left"/>
              <w:rPr>
                <w:rFonts w:ascii="Times New Roman;Times;serif" w:hAnsi="Times New Roman;Times;serif"/>
                <w:color w:val="000000"/>
                <w:sz w:val="20"/>
              </w:rPr>
            </w:pPr>
            <w:r>
              <w:rPr>
                <w:rFonts w:ascii="Times New Roman;Times;serif" w:hAnsi="Times New Roman;Times;serif"/>
                <w:color w:val="000000"/>
                <w:sz w:val="20"/>
              </w:rPr>
              <w:t>$665,850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757,280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$146.90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$(44.8)</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tbl>
      <w:tblPr>
        <w:tblW w:w="3565" w:type="dxa"/>
        <w:jc w:val="left"/>
        <w:tblInd w:w="0" w:type="dxa"/>
        <w:tblLayout w:type="fixed"/>
        <w:tblCellMar>
          <w:top w:w="0" w:type="dxa"/>
          <w:left w:w="0" w:type="dxa"/>
          <w:bottom w:w="0" w:type="dxa"/>
          <w:right w:w="0" w:type="dxa"/>
        </w:tblCellMar>
      </w:tblPr>
      <w:tblGrid>
        <w:gridCol w:w="260"/>
        <w:gridCol w:w="33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each year shown the CEO was Joel Lewis.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6" w:type="dxa"/>
            <w:tcBorders/>
            <w:vAlign w:val="center"/>
          </w:tcPr>
          <w:p>
            <w:pPr>
              <w:pStyle w:val="TableContents"/>
              <w:bidi w:val="0"/>
              <w:spacing w:before="0" w:after="0"/>
              <w:jc w:val="left"/>
              <w:rPr/>
            </w:pPr>
            <w:r>
              <w:rPr>
                <w:rFonts w:ascii="Times New Roman;Times;serif" w:hAnsi="Times New Roman;Times;serif"/>
                <w:color w:val="000000"/>
                <w:sz w:val="16"/>
              </w:rPr>
              <w:t xml:space="preserve">Amounts in this column represent the “Total” column set forth in the Summary Compensation Table (“SCT”) on page </w:t>
            </w:r>
            <w:hyperlink w:anchor="tSCT">
              <w:r>
                <w:rPr>
                  <w:rStyle w:val="InternetLink"/>
                  <w:rFonts w:ascii="Times New Roman;Times;serif" w:hAnsi="Times New Roman;Times;serif"/>
                  <w:color w:val="000080"/>
                  <w:sz w:val="16"/>
                </w:rPr>
                <w:t>29</w:t>
              </w:r>
            </w:hyperlink>
            <w:r>
              <w:rPr>
                <w:rFonts w:ascii="Times New Roman;Times;serif" w:hAnsi="Times New Roman;Times;serif"/>
                <w:color w:val="000000"/>
                <w:sz w:val="16"/>
              </w:rPr>
              <w:t xml:space="preserve">. See the footnotes to the SCT for further detail regarding the amounts in these columns.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in these columns represent the amounts of “compensation actually paid.” The Amounts are computed in accordance with Item 402(v) of Regulation S-K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Non-CEO NEOs reflect the compensation of Pol Boudes, CMO in 2023, and Khurram Jamil, CMO, in 2024 and 2025, and Jack Callicutt, CFO, for all years, who were the only Non-CEO NEO for the periods indicated. </w:t>
            </w:r>
          </w:p>
        </w:tc>
      </w:tr>
    </w:tbl>
    <w:tbl>
      <w:tblPr>
        <w:tblW w:w="10205" w:type="dxa"/>
        <w:jc w:val="left"/>
        <w:tblInd w:w="0" w:type="dxa"/>
        <w:tblLayout w:type="fixed"/>
        <w:tblCellMar>
          <w:top w:w="0" w:type="dxa"/>
          <w:left w:w="0" w:type="dxa"/>
          <w:bottom w:w="0" w:type="dxa"/>
          <w:right w:w="0" w:type="dxa"/>
        </w:tblCellMar>
      </w:tblPr>
      <w:tblGrid>
        <w:gridCol w:w="3095"/>
        <w:gridCol w:w="170"/>
        <w:gridCol w:w="170"/>
        <w:gridCol w:w="860"/>
        <w:gridCol w:w="170"/>
        <w:gridCol w:w="170"/>
        <w:gridCol w:w="860"/>
        <w:gridCol w:w="170"/>
        <w:gridCol w:w="170"/>
        <w:gridCol w:w="860"/>
        <w:gridCol w:w="170"/>
        <w:gridCol w:w="170"/>
        <w:gridCol w:w="801"/>
        <w:gridCol w:w="170"/>
        <w:gridCol w:w="170"/>
        <w:gridCol w:w="860"/>
        <w:gridCol w:w="170"/>
        <w:gridCol w:w="170"/>
        <w:gridCol w:w="829"/>
      </w:tblGrid>
      <w:tr>
        <w:trPr/>
        <w:tc>
          <w:tcPr>
            <w:tcW w:w="30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1"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vAlign w:val="center"/>
          </w:tcPr>
          <w:p>
            <w:pPr>
              <w:pStyle w:val="TableContents"/>
              <w:bidi w:val="0"/>
              <w:spacing w:before="0" w:after="0"/>
              <w:jc w:val="left"/>
              <w:rPr/>
            </w:pPr>
            <w:r>
              <w:rPr/>
              <w:t> </w:t>
            </w:r>
          </w:p>
        </w:tc>
      </w:tr>
      <w:tr>
        <w:trPr/>
        <w:tc>
          <w:tcPr>
            <w:tcW w:w="30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1"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0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tc>
      </w:tr>
      <w:tr>
        <w:trPr/>
        <w:tc>
          <w:tcPr>
            <w:tcW w:w="3095" w:type="dxa"/>
            <w:tcBorders/>
            <w:shd w:fill="CCEEFF" w:val="clear"/>
            <w:vAlign w:val="center"/>
          </w:tcPr>
          <w:p>
            <w:pPr>
              <w:pStyle w:val="TableContents"/>
              <w:bidi w:val="0"/>
              <w:spacing w:before="0" w:after="283"/>
              <w:ind w:left="160" w:right="0" w:hanging="160"/>
              <w:jc w:val="left"/>
              <w:rPr>
                <w:rFonts w:ascii="Times New Roman;Times;serif" w:hAnsi="Times New Roman;Times;serif"/>
                <w:b/>
                <w:color w:val="000000"/>
                <w:sz w:val="16"/>
              </w:rPr>
            </w:pPr>
            <w:r>
              <w:rPr>
                <w:rFonts w:ascii="Times New Roman;Times;serif" w:hAnsi="Times New Roman;Times;serif"/>
                <w:b/>
                <w:color w:val="000000"/>
                <w:sz w:val="16"/>
              </w:rPr>
              <w:t>Total Compensation from Summary Compensation Table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$1,174,782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929,346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$1,189,674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831,396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963,647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$665,850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Adjustments for 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0"/>
              <w:jc w:val="center"/>
              <w:rPr>
                <w:color w:val="000000"/>
              </w:rPr>
            </w:pPr>
            <w:r>
              <w:rPr>
                <w:color w:val="000000"/>
              </w:rPr>
              <w:t> </w:t>
            </w:r>
          </w:p>
        </w:tc>
      </w:tr>
      <w:tr>
        <w:trPr/>
        <w:tc>
          <w:tcPr>
            <w:tcW w:w="309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Adjustment for grant date values in the Summary Compensation Table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(182,763)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(130,545)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(202,635)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$(271,620)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(55,923)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(39,945) </w:t>
            </w:r>
          </w:p>
        </w:tc>
      </w:tr>
      <w:tr>
        <w:trPr/>
        <w:tc>
          <w:tcPr>
            <w:tcW w:w="3095"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Year-end fair value of unvested awards granted in the current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160,615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114,725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35,100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100,425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43,050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30,750 </w:t>
            </w:r>
          </w:p>
        </w:tc>
      </w:tr>
      <w:tr>
        <w:trPr/>
        <w:tc>
          <w:tcPr>
            <w:tcW w:w="309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Year-over-year difference of year-end fair values for unvested awards granted in prior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36,400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26,000 </w:t>
            </w:r>
          </w:p>
        </w:tc>
      </w:tr>
      <w:tr>
        <w:trPr/>
        <w:tc>
          <w:tcPr>
            <w:tcW w:w="3095"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Fair values at vest date for awards granted and vested in current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467,285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375,025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111,340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67,100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39,725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28,375 </w:t>
            </w:r>
          </w:p>
        </w:tc>
      </w:tr>
      <w:tr>
        <w:trPr/>
        <w:tc>
          <w:tcPr>
            <w:tcW w:w="309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Difference in fair values between prior year-end fair values and vest date fair values for awards granted in prior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72,000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90,063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(83,125)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(29,688)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31,623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46,250 </w:t>
            </w:r>
          </w:p>
        </w:tc>
      </w:tr>
      <w:tr>
        <w:trPr/>
        <w:tc>
          <w:tcPr>
            <w:tcW w:w="3095"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Forfeitures during current year equal to prior year-end fair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309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Dividends or dividend equivalents not otherwise included in total compensation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Adjustments for 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517,137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449,268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(139,320)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16" w:right="0" w:hanging="0"/>
              <w:jc w:val="left"/>
              <w:rPr>
                <w:rFonts w:ascii="Times New Roman;Times;serif" w:hAnsi="Times New Roman;Times;serif"/>
                <w:b/>
                <w:color w:val="000000"/>
                <w:sz w:val="16"/>
              </w:rPr>
            </w:pPr>
            <w:r>
              <w:rPr>
                <w:rFonts w:ascii="Times New Roman;Times;serif" w:hAnsi="Times New Roman;Times;serif"/>
                <w:b/>
                <w:color w:val="000000"/>
                <w:sz w:val="16"/>
              </w:rPr>
              <w:t>$(133,783)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94,875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42"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 xml:space="preserve">91,430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 (as calculated)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$1,691,919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$1,378,614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$1,050,354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$697,613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$1,058,522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$757,280</w:t>
            </w:r>
          </w:p>
        </w:tc>
      </w:tr>
      <w:tr>
        <w:trPr/>
        <w:tc>
          <w:tcPr>
            <w:tcW w:w="30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3" w:name="ny20080978x2_def14a_110-pvp_pg2"/>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Disclosure: Pay Versus Performance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illustrations below provide a graphical description of CAP (as calculated in accordance with the SEC rules) and the following measures: </w:t>
      </w:r>
    </w:p>
    <w:tbl>
      <w:tblPr>
        <w:tblW w:w="2860" w:type="dxa"/>
        <w:jc w:val="left"/>
        <w:tblInd w:w="0" w:type="dxa"/>
        <w:tblLayout w:type="fixed"/>
        <w:tblCellMar>
          <w:top w:w="0" w:type="dxa"/>
          <w:left w:w="0" w:type="dxa"/>
          <w:bottom w:w="0" w:type="dxa"/>
          <w:right w:w="0" w:type="dxa"/>
        </w:tblCellMar>
      </w:tblPr>
      <w:tblGrid>
        <w:gridCol w:w="140"/>
        <w:gridCol w:w="2720"/>
      </w:tblGrid>
      <w:tr>
        <w:trPr/>
        <w:tc>
          <w:tcPr>
            <w:tcW w:w="14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Galectin’s cumulative TSR; and </w:t>
            </w:r>
          </w:p>
        </w:tc>
      </w:tr>
    </w:tbl>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Galectin Net Loss Applicable to Common Stockholders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 and Cumulative TSR</w:t>
      </w:r>
    </w:p>
    <w:p>
      <w:pPr>
        <w:pStyle w:val="TextBody"/>
        <w:bidi w:val="0"/>
        <w:spacing w:before="285" w:after="283"/>
        <w:jc w:val="center"/>
        <w:rPr>
          <w:color w:val="000000"/>
        </w:rPr>
      </w:pPr>
      <w:r>
        <w:rPr>
          <w:color w:val="000000"/>
        </w:rPr>
        <w:drawing>
          <wp:inline distT="0" distB="0" distL="0" distR="0">
            <wp:extent cx="5381625" cy="3790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81625" cy="37909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4" w:name="ny20080978x2_def14a_110-pvp_pg3"/>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 and Net Loss Applicable to Common Stockholders</w:t>
      </w:r>
    </w:p>
    <w:p>
      <w:pPr>
        <w:pStyle w:val="TextBody"/>
        <w:bidi w:val="0"/>
        <w:spacing w:before="285" w:after="283"/>
        <w:jc w:val="center"/>
        <w:rPr>
          <w:color w:val="000000"/>
        </w:rPr>
      </w:pPr>
      <w:r>
        <w:rPr>
          <w:color w:val="000000"/>
        </w:rPr>
        <w:drawing>
          <wp:inline distT="0" distB="0" distL="0" distR="0">
            <wp:extent cx="5381625" cy="3695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381625" cy="3695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5" w:name="ny20080978x2_def14a_111-prop2_pg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6" w:name="tPROP2"/>
      <w:bookmarkEnd w:id="56"/>
      <w:r>
        <w:rPr>
          <w:rFonts w:ascii="Times New Roman;Times;serif" w:hAnsi="Times New Roman;Times;serif"/>
          <w:b/>
          <w:color w:val="000000"/>
          <w:sz w:val="20"/>
        </w:rPr>
        <w:t xml:space="preserve">PROPOSAL NO.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ADOPT AND APPROVE AN AMENDMENT TO OUR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RESTATED ARTICLES OF INCORPORATION INCREASING THE NUMBER OF COMMON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 FROM 150,000,000 TO 250,000,000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approved and has recommended that our stockholders adopt and approve, an amendment to our restated articles of incorporation filed with the Nevada Secretary of State on May 29, 2012, as amended (the “Restated Articles of Incorporation), providing for an increase in the number of our common voting shares, having a par value of $0.001 per share (“common stock”), from 150,000,000 to 250,000,000. A form of Certificate of Amendment reflecting this proposed amendment is included in </w:t>
      </w:r>
      <w:r>
        <w:rPr>
          <w:rFonts w:ascii="Times New Roman;Times;serif" w:hAnsi="Times New Roman;Times;serif"/>
          <w:b/>
          <w:color w:val="000000"/>
          <w:sz w:val="20"/>
        </w:rPr>
        <w:t>Appendix A</w:t>
      </w:r>
      <w:r>
        <w:rPr>
          <w:rFonts w:ascii="Times New Roman;Times;serif" w:hAnsi="Times New Roman;Times;serif"/>
          <w:color w:val="000000"/>
          <w:sz w:val="20"/>
        </w:rPr>
        <w:t xml:space="preserve"> to this proxy statement (“Certificate of Amendment”). If adopted and approved by the stockholders, the proposed amendment to our Restated Articles of Incorporation will become effective upon the filing of the Certificate of Amendment with the Secretary of State of the State of Nevada. If the amendment to increase our authorized shares of common stock is approved by stockholders at the 2026 Annual Meeting, we intend to file the Certificate of Amendment as soon as practicable following the 2026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Purposes of the Proposed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and assuming proposal 3 is approved, the Company would only have approximately 26 million authorized shares of common stock remaining for issuance, excluding shares reserved for future issuance under our 2019 Omnibus Equity Incentive Plan and excluding shares reserved for future issuance pursuant to the exercise of outstanding stock instruments. While we believe our current cash resources to be sufficient to fund our operations for at least the next twelve months, we believe that we will need the ability to raise cash in one or more equity financings, including potentially issuing shares to any potential strategic partners, to fund our operations thereafter. This proposal to increase the number of shares of common stock available for issuance will give the Company greater flexibility to conduct such a financing. We do not have any present plan, arrangement or understanding to designate and issue any of the shares of common stock that will become available as a result of this proposed amendment to our Restated Articles of Incorporation. Although, at present, our Board has no immediate plans to issue the additional shares of common stock, it desires to have the shares available to provide additional flexibility to use our common stock for business and financial purposes in the future. The additional 100,000,000 authorized shares of common stock would be available for issuance for various purposes, as our Board may deem advisable, such as for future financings, to satisfy the issuance of shares of common stock on the conversion or exercise of our options, warrants or other convertible securities, to provide equity incentive to employees, officers, consultants and directors, to make stock-based acquisitions and for other general corporate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newly authorized common stock would be available for issuance without further action by stockholders except as required by law, our Restated Articles of Incorporation or applicable stock exchange requirements. Any such issuance could have the effect of diluting existing stockholders. Our Restated Articles of Incorporation do not include any preemptive or other rights of stockholders to subscribe for any shares of common stock which may in the future be issued by the Company, which means that current stockholders do not have a prior right to purchase any new issue of common stock in order to maintain their proportionate ownership of common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Rights of Additional Authorized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additional common stock to be authorized by stockholder approval of this Proposal No. 2 would have rights identical to the currently outstanding shares of our common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Possible Anti-Takeover Effects of the Proposed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corporate purposes mentioned above, an increase in the number of authorized shares of our common stock may make it more difficult to, or discourage an attempt to, obtain control of the Company by means of a takeover bid that the Board determines is not in the best interest of the Company and its stockholders. The amendment to our Restated Articles of Incorporation to increase the number of authorized shares of common stock is not being proposed in response to any known effort or threat to acquire control of the Company and is not part of a plan by management to thwart such efforts.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7" w:name="ny20080978x2_def14a_111-prop2_pg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proposed amendment to our Restated Articles of Incorporation requires a majority of all votes entitled to be cast on the matter. Accordingly, abstentions and broker non-votes will have the same effect as a vote “against”.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BOARD OF DIRECTORS RECOMMENDS A VOTE “FOR” </w:t>
      </w:r>
      <w:r>
        <w:rPr>
          <w:rFonts w:ascii="Times New Roman;Times;serif" w:hAnsi="Times New Roman;Times;serif"/>
          <w:b/>
          <w:i w:val="false"/>
          <w:caps w:val="false"/>
          <w:smallCaps w:val="false"/>
          <w:color w:val="000000"/>
          <w:sz w:val="20"/>
        </w:rPr>
        <w:t>THE ADOPTION AND APPROVAL OF AN AMENDMENT TO OUR RESTATED ARTICLES OF INCORPORATION INCREASING THE NUMBER OF COMMON STOCK FROM 150,000,000 TO 250,000,000 SHARES.</w:t>
      </w:r>
      <w:r>
        <w:rPr>
          <w:rFonts w:ascii="Times New Roman;Times;serif" w:hAnsi="Times New Roman;Times;serif"/>
          <w:b/>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8" w:name="ny20080978x2_def14a_112-prop3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PROP3"/>
      <w:bookmarkEnd w:id="59"/>
      <w:r>
        <w:rPr>
          <w:rFonts w:ascii="Times New Roman;Times;serif" w:hAnsi="Times New Roman;Times;serif"/>
          <w:b/>
          <w:color w:val="000000"/>
          <w:sz w:val="20"/>
        </w:rPr>
        <w:t xml:space="preserve">PROPOSAL NO.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APPROVE AN AMENDMENT TO OUR 2019 OMNIBUS EQUITY INCENTIVE PLAN 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RESERVE AN ADDITIONAL 3,000,000 SHARES FOR ISSUANCE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30, 2026, upon recommendation by the Compensation Committee, the Board approved, subject to stockholder approval, an amendment to our 2019 Omnibus Equity Incentive Plan (the “Plan”) to reserve 3,000,000 additional shares for issuance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as amended to reflect the additional 3,000,000 shares for issuance under the plan, is attached hereto as </w:t>
      </w:r>
      <w:r>
        <w:rPr>
          <w:rFonts w:ascii="Times New Roman;Times;serif" w:hAnsi="Times New Roman;Times;serif"/>
          <w:b/>
          <w:color w:val="000000"/>
          <w:sz w:val="20"/>
        </w:rPr>
        <w:t>Appendix B</w:t>
      </w:r>
      <w:r>
        <w:rPr>
          <w:rFonts w:ascii="Times New Roman;Times;serif" w:hAnsi="Times New Roman;Times;serif"/>
          <w:color w:val="000000"/>
          <w:sz w:val="20"/>
        </w:rPr>
        <w:t xml:space="preserve">, and we urge stockholders to review the Plan carefully.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applicable NASDAQ rules, the Company is required to obtain stockholder approval of amendment to the Plan. Stockholder approval of the Plan is also required to comply with the incentive stock options rules under Section 422 of the Code. On October 9, 2026, the closing price of our Common Stock as reported by NASDAQ was $3.94.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approved by the Company’s stockholders, the Plan increase would authorize 3,000,000 additional shares for issuance under the Plan. The number of shares under the Plan would increase from 10,000,000 shares to 13,000,000 shares. The material terms of the Plan are as follows: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Objectives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certain principal features of the Plan, as proposed to be adopted. This summary is qualified in its entirety by reference to the complete text of the Plan. Stockholders are urged to read the actual text of the Plan, as proposed to be amended and restated, in its entirety which is set forth as </w:t>
      </w:r>
      <w:r>
        <w:rPr>
          <w:rFonts w:ascii="Times New Roman;Times;serif" w:hAnsi="Times New Roman;Times;serif"/>
          <w:b/>
          <w:color w:val="000000"/>
          <w:sz w:val="20"/>
        </w:rPr>
        <w:t>Appendix B</w:t>
      </w:r>
      <w:r>
        <w:rPr>
          <w:rFonts w:ascii="Times New Roman;Times;serif" w:hAnsi="Times New Roman;Times;serif"/>
          <w:color w:val="000000"/>
          <w:sz w:val="20"/>
        </w:rPr>
        <w:t xml:space="preserve"> to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will be administered by a committee (the “Incentive Plan Committee” or the “Committee”), which will consist of directors of the Company. However, the Board or the Compensation Committee, as applicable, may reserve administrative powers to itself as the Committee or exercise any of the administrative powers of the Committee. Further, the Board of Directors or the Compensation Committee may delegate any or all of its administrative authority to our Chief Executive Officer or to a management committee, except with respect to awards to executive officers who are subject to Section 16 of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stock delivered to settle awards made under the Plan may be authorized and unissued shares or treasury shares, including shares repurchased by us for purposes of the Plan. If any shares subject to any award granted under the Plan (other than a substitute award) are forfeited or otherwise terminated without delivery of such shares (or if such shares are returned to us due to a forfeiture restriction under such award), the shares subject to such awards will again be available for issuance under the Plan. If any option or other award granted under the Plan is exercised through the tendering of shares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dividend or other distribution (whether in cash, shares of Common Stock or other property), recapitalization, forward or reverse stock split, subdivision, consolidation or reduction of capital, reorganization, merger, consolidation, scheme of arrangement, split-up, spin-off or combination involving us or repurchase or exchange of our shares or other securities, or other rights to purchase shares of our securities or other similar transaction or event affects our Common Stock such that the Committee determines that an adjustment is appropriate in order to prevent dilution or enlargement of the benefits (or potential benefits) provided to grantees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60" w:name="ny20080978x2_def14a_113-prop4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1" w:name="tPROP4"/>
      <w:bookmarkEnd w:id="61"/>
      <w:r>
        <w:rPr>
          <w:rFonts w:ascii="Times New Roman;Times;serif" w:hAnsi="Times New Roman;Times;serif"/>
          <w:b/>
          <w:color w:val="000000"/>
          <w:sz w:val="20"/>
        </w:rPr>
        <w:t xml:space="preserve">PROPOSAL NO. 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APPOINTMENT OF INDEPENDENT AUDITORS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has appointed Cherry Bekaert LLP as our independent auditors for the fiscal year ending December 31, 2026.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this Proposal requires a majority of the votes cast of this Proposal. Accordingly, abstentions and broker non-votes will have no effect on the outcome of this Proposal. </w:t>
      </w:r>
    </w:p>
    <w:p>
      <w:pPr>
        <w:pStyle w:val="TextBody"/>
        <w:bidi w:val="0"/>
        <w:spacing w:before="41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OUR BOARD OF DIRECTORS RECOMMENDS A VOTE “FOR”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THE RATIFICATION OF THE APPOINTMENT OF CHERRY BEKAERT LLP,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AS GALECTIN THERAPEUTICS’ INDEPENDENT PUBLIC ACCOUNTANTS FOR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THE FISCAL YEAR ENDING DECEMBER 31, 2026.</w:t>
      </w:r>
      <w:r>
        <w:rPr>
          <w:rFonts w:ascii="Times New Roman;Times;serif" w:hAnsi="Times New Roman;Times;serif"/>
          <w:b/>
          <w:i/>
          <w:caps w:val="false"/>
          <w:smallCaps w:val="false"/>
          <w:color w:val="000000"/>
          <w:sz w:val="20"/>
        </w:rPr>
        <w:t xml:space="preserve"> </w:t>
      </w:r>
    </w:p>
    <w:p>
      <w:pPr>
        <w:pStyle w:val="TextBody"/>
        <w:bidi w:val="0"/>
        <w:spacing w:before="390" w:after="283"/>
        <w:jc w:val="center"/>
        <w:rPr>
          <w:rFonts w:ascii="Times New Roman;Times;serif" w:hAnsi="Times New Roman;Times;serif"/>
          <w:b/>
          <w:color w:val="000000"/>
          <w:sz w:val="20"/>
        </w:rPr>
      </w:pPr>
      <w:bookmarkStart w:id="62" w:name="tFPT"/>
      <w:bookmarkEnd w:id="62"/>
      <w:r>
        <w:rPr>
          <w:rFonts w:ascii="Times New Roman;Times;serif" w:hAnsi="Times New Roman;Times;serif"/>
          <w:b/>
          <w:color w:val="000000"/>
          <w:sz w:val="20"/>
        </w:rPr>
        <w:t xml:space="preserve">FEES PAID TO CHERRY BEKAERT LLP </w:t>
      </w:r>
    </w:p>
    <w:tbl>
      <w:tblPr>
        <w:tblW w:w="4310" w:type="dxa"/>
        <w:jc w:val="left"/>
        <w:tblInd w:w="0" w:type="dxa"/>
        <w:tblLayout w:type="fixed"/>
        <w:tblCellMar>
          <w:top w:w="0" w:type="dxa"/>
          <w:left w:w="0" w:type="dxa"/>
          <w:bottom w:w="0" w:type="dxa"/>
          <w:right w:w="0" w:type="dxa"/>
        </w:tblCellMar>
      </w:tblPr>
      <w:tblGrid>
        <w:gridCol w:w="1835"/>
        <w:gridCol w:w="170"/>
        <w:gridCol w:w="170"/>
        <w:gridCol w:w="875"/>
        <w:gridCol w:w="170"/>
        <w:gridCol w:w="170"/>
        <w:gridCol w:w="920"/>
      </w:tblGrid>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$183,750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$191,100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10,500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17,237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61,000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40,194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 w:right="0" w:hanging="0"/>
              <w:jc w:val="left"/>
              <w:rPr>
                <w:color w:val="000000"/>
                <w:bdr w:val="single" w:sz="8" w:space="2" w:color="000000"/>
              </w:rPr>
            </w:pPr>
            <w:r>
              <w:rPr>
                <w:color w:val="000000"/>
                <w:bdr w:val="single" w:sz="8" w:space="2" w:color="00000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$255,250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$248,531</w:t>
            </w:r>
          </w:p>
        </w:tc>
      </w:tr>
      <w:tr>
        <w:trPr/>
        <w:tc>
          <w:tcPr>
            <w:tcW w:w="18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 xml:space="preserve">Audit Fees. </w:t>
            </w:r>
            <w:r>
              <w:rPr>
                <w:rFonts w:ascii="Times New Roman;Times;serif" w:hAnsi="Times New Roman;Times;serif"/>
                <w:color w:val="000000"/>
                <w:sz w:val="16"/>
              </w:rPr>
              <w:t xml:space="preserve">These are fees for professional services for the audit of our annual financial statements dated December 31, 2025 and 2024 included in our Annual Reports on Form 10-K for fiscal years then ended, and review of financial statements included in our Quarterly Reports on Form 10-Q for each fiscal quarter during the 2025 and 2024 fiscal years.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Audit-Related Fees.</w:t>
            </w:r>
            <w:r>
              <w:rPr>
                <w:rFonts w:ascii="Times New Roman;Times;serif" w:hAnsi="Times New Roman;Times;serif"/>
                <w:color w:val="000000"/>
                <w:sz w:val="16"/>
              </w:rPr>
              <w:t xml:space="preserve"> These are fees for assurance and related services that are reasonably related to the performance of the audit or review of our 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considered whether the provision of non-core audit services to Galectin Therapeutics by Cherry Bekaert LLP is compatible with maintaining independence.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Pre-Approval Policy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Chief Financial Officer reports quarterly to the Audit Committee on the status of pre-approved services, including projected fees. All of the services reflected in the above table were approved by the Audit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63" w:name="ny20080978x2_def14a_114-stock_pg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4" w:name="tPOS"/>
      <w:bookmarkEnd w:id="64"/>
      <w:r>
        <w:rPr>
          <w:rFonts w:ascii="Times New Roman;Times;serif" w:hAnsi="Times New Roman;Times;serif"/>
          <w:b/>
          <w:color w:val="000000"/>
          <w:sz w:val="20"/>
        </w:rPr>
        <w:t xml:space="preserve">PROPOSALS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June 15, 2027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2027 nor earlier than August 5, 2027, in order to be considered timely.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the date of the 2027 annual meeting of stockholders is scheduled to take place on a date that is more than 30 calendar days from the one year anniversary of the 2026 Annual Meeting of Stockholders, then we will promptly disclose, in a Quarterly Report on Form 10-Q or in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also advised to review our bylaws, which contain additional requirements about advance notice of stockholder proposals and director nominations.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comply with the universal proxy rules, stockholders who intend to solicit proxies in support of director nominees other than the Company’s nominees must provide notice that sets forth the information required by Rule 14a-19 under the Exchange Act no later than October 4, 2027 (60 calendar days prior to the anniversary date of the 2026 Annual Meeting). This requirement is in addition to the advance notice requirements under the Company’s bylaws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65" w:name="ny20080978x2_def14a_114-stock_pg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AR"/>
      <w:bookmarkEnd w:id="66"/>
      <w:r>
        <w:rPr>
          <w:rFonts w:ascii="Times New Roman;Times;serif" w:hAnsi="Times New Roman;Times;serif"/>
          <w:b/>
          <w:color w:val="000000"/>
          <w:sz w:val="20"/>
        </w:rPr>
        <w:t xml:space="preserve">ANNUAL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on Form 10-K, filed with the SEC for the fiscal year ended December 31, 2025, may be obtained by our stockholders without charge, upon written request to our Corporate Secretary. You may also download a copy of our Annual Report on Form 10-K by vising our corporate website at investor.galectintherapeutics.com/financial-information or at www.proxyvote.com.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 </w:t>
      </w:r>
    </w:p>
    <w:tbl>
      <w:tblPr>
        <w:tblW w:w="3440" w:type="dxa"/>
        <w:jc w:val="left"/>
        <w:tblInd w:w="0" w:type="dxa"/>
        <w:tblLayout w:type="fixed"/>
        <w:tblCellMar>
          <w:top w:w="0" w:type="dxa"/>
          <w:left w:w="0" w:type="dxa"/>
          <w:bottom w:w="0" w:type="dxa"/>
          <w:right w:w="0" w:type="dxa"/>
        </w:tblCellMar>
      </w:tblPr>
      <w:tblGrid>
        <w:gridCol w:w="185"/>
        <w:gridCol w:w="170"/>
        <w:gridCol w:w="170"/>
        <w:gridCol w:w="29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285875"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85875" cy="4095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Jack W. Callicutt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67" w:name="ny20080978x2_def14a_114-stock_pg3"/>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HTA"/>
      <w:bookmarkEnd w:id="68"/>
      <w:r>
        <w:rPr>
          <w:rFonts w:ascii="Times New Roman;Times;serif" w:hAnsi="Times New Roman;Times;serif"/>
          <w:b/>
          <w:color w:val="000000"/>
          <w:sz w:val="20"/>
        </w:rPr>
        <w:t xml:space="preserve">HOW TO ATTEND THE 2026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year our annual meeting will be a virtual online-only meeting. There will be no physical meeting location. The meeting will only be conducted via live webcast. To participate in the 2026 Annual Meeting, visit www.virtualshareholdermeeting.com/GALT2026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2026. The meeting will begin promptly at 11:00 a.m. Eastern Standard Time on December 3,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want to submit question during the meeting, log into the virtual meeting platform at www.virtualshareholdermeeting.com/GALT2026,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2026 Annual Meeting has been designed to provide the same rights to participate as you would have at an in-person meeting. If you encounter any difficulties accessing the 2026 Annual Meeting during the check-in or meeting time, please call the technical support number that will be posted on the Virtual Shareholder Meeting log in page at www.virtualshareholdermeeting.com/GALT2026.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69" w:name="ny20080978x2_def14a_300-annexa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RESTATED ARTICLES OF INCORPORATION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GALECTIN THERAPEUTICS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(Pursuant to NRS 78.385 and 78.390 - After Issuance of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being the Chief Financial Officer and Corporate Secretary of Galectin Therapeutics, Inc. (the “Corporation”), for the purpose of amending the Restated Articles of Incorporation of the Corporation, filed with the Nevada Secretary of State on May 29, 2012 (the “Restated Articles of Incorporation”), in accordance with Nevada Revised Statutes 78.385 and 78.390, does hereby make and execute this Certificate of Amendment to the Restated Articles of Incorporation and does hereby certify that: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1. The name of the Corporation is Galectin Therapeutics, Inc.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2. This Certificate of Amendment amends the Restated Articles of Incorporation by deleting the first sentence of Article III of the Restated Articles of Incorporation and replacing such sentence in its entirety with the following: “The corporation shall have authority to issue an aggregate of 250,000,000 shares, which shall be common voting shares having a par value of $0.001 per share, and 20,000,000 undesignated shares having a par value of $0.01 per share.”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3. This amendment to the Restated Articles of Incorporation was proposed by the directors of the Corporation and adopted by the stockholders of the Corporation holding shares in the Corporation constituting a majority of the voting power required by the Amended and Restated Articles of Incorporation, including the holders of a majority of the shares of Series B Convertible Preferred Stock voting as a separate class, to approve and adopt such amendment.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declare under penalty of perjury under the laws of the State of Nevada that the foregoing is true and correct.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Executed on the </w:t>
      </w:r>
      <w:r>
        <w:rPr>
          <w:rFonts w:ascii="Times New Roman;Times;serif" w:hAnsi="Times New Roman;Times;serif"/>
          <w:color w:val="000000"/>
          <w:sz w:val="20"/>
          <w:u w:val="single"/>
        </w:rPr>
        <w:t>   </w:t>
      </w:r>
      <w:r>
        <w:rPr>
          <w:rFonts w:ascii="Times New Roman;Times;serif" w:hAnsi="Times New Roman;Times;serif"/>
          <w:color w:val="000000"/>
          <w:sz w:val="20"/>
        </w:rPr>
        <w:t xml:space="preserve"> day of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tbl>
      <w:tblPr>
        <w:tblW w:w="4473" w:type="dxa"/>
        <w:jc w:val="left"/>
        <w:tblInd w:w="0" w:type="dxa"/>
        <w:tblLayout w:type="fixed"/>
        <w:tblCellMar>
          <w:top w:w="0" w:type="dxa"/>
          <w:left w:w="0" w:type="dxa"/>
          <w:bottom w:w="0" w:type="dxa"/>
          <w:right w:w="0" w:type="dxa"/>
        </w:tblCellMar>
      </w:tblPr>
      <w:tblGrid>
        <w:gridCol w:w="185"/>
        <w:gridCol w:w="170"/>
        <w:gridCol w:w="170"/>
        <w:gridCol w:w="1497"/>
        <w:gridCol w:w="875"/>
        <w:gridCol w:w="875"/>
        <w:gridCol w:w="701"/>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48" w:type="dxa"/>
            <w:gridSpan w:val="4"/>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4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GALECTIN THERAPEUTICS, INC.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7" w:type="dxa"/>
            <w:tcBorders/>
            <w:vAlign w:val="center"/>
          </w:tcPr>
          <w:p>
            <w:pPr>
              <w:pStyle w:val="TableContents"/>
              <w:bidi w:val="0"/>
              <w:spacing w:before="0" w:after="0"/>
              <w:jc w:val="left"/>
              <w:rPr>
                <w:color w:val="000000"/>
              </w:rPr>
            </w:pPr>
            <w:r>
              <w:rPr>
                <w:color w:val="000000"/>
              </w:rPr>
              <w:t> </w:t>
            </w:r>
          </w:p>
        </w:tc>
        <w:tc>
          <w:tcPr>
            <w:tcW w:w="87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87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701"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4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Jack W. Callicutt.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 and Corporate Secretary</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48"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70" w:name="ny20080978x2_def14a_301-annexb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Annex B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GALECTIN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2019 OMNIBUS EQUITY INCENTIVE PLAN </w:t>
      </w:r>
    </w:p>
    <w:p>
      <w:pPr>
        <w:pStyle w:val="HorizontalLine"/>
        <w:bidi w:val="0"/>
        <w:spacing w:before="200" w:after="200"/>
        <w:jc w:val="left"/>
        <w:rPr/>
      </w:pPr>
      <w:r>
        <w:rPr/>
      </w:r>
    </w:p>
    <w:p>
      <w:pPr>
        <w:pStyle w:val="TextBody"/>
        <w:bidi w:val="0"/>
        <w:jc w:val="left"/>
        <w:rPr/>
      </w:pPr>
      <w:hyperlink w:anchor="TOC">
        <w:bookmarkStart w:id="71" w:name="ny20080978x2_def14a_301-annexb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tbl>
      <w:tblPr>
        <w:tblW w:w="5915" w:type="dxa"/>
        <w:jc w:val="left"/>
        <w:tblInd w:w="0" w:type="dxa"/>
        <w:tblLayout w:type="fixed"/>
        <w:tblCellMar>
          <w:top w:w="0" w:type="dxa"/>
          <w:left w:w="0" w:type="dxa"/>
          <w:bottom w:w="0" w:type="dxa"/>
          <w:right w:w="0" w:type="dxa"/>
        </w:tblCellMar>
      </w:tblPr>
      <w:tblGrid>
        <w:gridCol w:w="185"/>
        <w:gridCol w:w="170"/>
        <w:gridCol w:w="170"/>
        <w:gridCol w:w="410"/>
        <w:gridCol w:w="170"/>
        <w:gridCol w:w="170"/>
        <w:gridCol w:w="3695"/>
        <w:gridCol w:w="170"/>
        <w:gridCol w:w="170"/>
        <w:gridCol w:w="60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gridSpan w:val="4"/>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4970" w:type="dxa"/>
            <w:gridSpan w:val="7"/>
            <w:tcBorders/>
            <w:shd w:fill="CCEEFF" w:val="clear"/>
            <w:vAlign w:val="center"/>
          </w:tcPr>
          <w:p>
            <w:pPr>
              <w:pStyle w:val="TableContents"/>
              <w:bidi w:val="0"/>
              <w:spacing w:before="0" w:after="283"/>
              <w:ind w:left="0" w:right="0" w:hanging="0"/>
              <w:jc w:val="left"/>
              <w:rPr/>
            </w:pPr>
            <w:hyperlink w:anchor="tANXBA1">
              <w:r>
                <w:rPr>
                  <w:rStyle w:val="InternetLink"/>
                  <w:rFonts w:ascii="Times New Roman;Times;serif" w:hAnsi="Times New Roman;Times;serif"/>
                  <w:color w:val="000000"/>
                  <w:sz w:val="20"/>
                </w:rPr>
                <w:t>Article 1. Effective Date, Objectives and Duration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1">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11">
              <w:r>
                <w:rPr>
                  <w:rStyle w:val="InternetLink"/>
                  <w:rFonts w:ascii="Times New Roman;Times;serif" w:hAnsi="Times New Roman;Times;serif"/>
                  <w:color w:val="000000"/>
                  <w:sz w:val="20"/>
                </w:rPr>
                <w:t>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11">
              <w:r>
                <w:rPr>
                  <w:rStyle w:val="InternetLink"/>
                  <w:rFonts w:ascii="Times New Roman;Times;serif" w:hAnsi="Times New Roman;Times;serif"/>
                  <w:color w:val="000000"/>
                  <w:sz w:val="20"/>
                </w:rPr>
                <w:t>Effective Date of the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11">
              <w:r>
                <w:rPr>
                  <w:rStyle w:val="InternetLink"/>
                  <w:rFonts w:ascii="Times New Roman;Times;serif" w:hAnsi="Times New Roman;Times;serif"/>
                  <w:color w:val="000000"/>
                  <w:sz w:val="20"/>
                </w:rPr>
                <w:t xml:space="preserve">B-1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12">
              <w:r>
                <w:rPr>
                  <w:rStyle w:val="InternetLink"/>
                  <w:rFonts w:ascii="Times New Roman;Times;serif" w:hAnsi="Times New Roman;Times;serif"/>
                  <w:color w:val="000000"/>
                  <w:sz w:val="20"/>
                </w:rPr>
                <w:t>1.2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12">
              <w:r>
                <w:rPr>
                  <w:rStyle w:val="InternetLink"/>
                  <w:rFonts w:ascii="Times New Roman;Times;serif" w:hAnsi="Times New Roman;Times;serif"/>
                  <w:color w:val="000000"/>
                  <w:sz w:val="20"/>
                </w:rPr>
                <w:t>Objectives of the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12">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13">
              <w:r>
                <w:rPr>
                  <w:rStyle w:val="InternetLink"/>
                  <w:rFonts w:ascii="Times New Roman;Times;serif" w:hAnsi="Times New Roman;Times;serif"/>
                  <w:color w:val="000000"/>
                  <w:sz w:val="20"/>
                </w:rPr>
                <w:t>1.3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13">
              <w:r>
                <w:rPr>
                  <w:rStyle w:val="InternetLink"/>
                  <w:rFonts w:ascii="Times New Roman;Times;serif" w:hAnsi="Times New Roman;Times;serif"/>
                  <w:color w:val="000000"/>
                  <w:sz w:val="20"/>
                </w:rPr>
                <w:t>Duration of the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13">
              <w:r>
                <w:rPr>
                  <w:rStyle w:val="InternetLink"/>
                  <w:rFonts w:ascii="Times New Roman;Times;serif" w:hAnsi="Times New Roman;Times;serif"/>
                  <w:color w:val="000000"/>
                  <w:sz w:val="20"/>
                </w:rPr>
                <w:t>B-1</w:t>
              </w:r>
            </w:hyperlink>
          </w:p>
        </w:tc>
      </w:tr>
      <w:tr>
        <w:trPr/>
        <w:tc>
          <w:tcPr>
            <w:tcW w:w="4970" w:type="dxa"/>
            <w:gridSpan w:val="7"/>
            <w:tcBorders/>
            <w:shd w:fill="CCEEFF" w:val="clear"/>
            <w:vAlign w:val="center"/>
          </w:tcPr>
          <w:p>
            <w:pPr>
              <w:pStyle w:val="TableContents"/>
              <w:bidi w:val="0"/>
              <w:spacing w:before="0" w:after="283"/>
              <w:ind w:left="0" w:right="0" w:hanging="0"/>
              <w:jc w:val="left"/>
              <w:rPr/>
            </w:pPr>
            <w:hyperlink w:anchor="tANXBA2">
              <w:r>
                <w:rPr>
                  <w:rStyle w:val="InternetLink"/>
                  <w:rFonts w:ascii="Times New Roman;Times;serif" w:hAnsi="Times New Roman;Times;serif"/>
                  <w:color w:val="000000"/>
                  <w:sz w:val="20"/>
                </w:rPr>
                <w:t>Article 2. Definitions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2">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
              <w:r>
                <w:rPr>
                  <w:rStyle w:val="InternetLink"/>
                  <w:rFonts w:ascii="Times New Roman;Times;serif" w:hAnsi="Times New Roman;Times;serif"/>
                  <w:color w:val="000000"/>
                  <w:sz w:val="20"/>
                </w:rPr>
                <w:t>2.1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
              <w:r>
                <w:rPr>
                  <w:rStyle w:val="InternetLink"/>
                  <w:color w:val="000000"/>
                </w:rPr>
                <w:t>“</w:t>
              </w:r>
            </w:hyperlink>
            <w:hyperlink w:anchor="tANXBAS21">
              <w:r>
                <w:rPr>
                  <w:rStyle w:val="InternetLink"/>
                  <w:rFonts w:ascii="Times New Roman;Times;serif" w:hAnsi="Times New Roman;Times;serif"/>
                  <w:color w:val="000000"/>
                  <w:sz w:val="20"/>
                </w:rPr>
                <w:t>Affiliate”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
              <w:r>
                <w:rPr>
                  <w:rStyle w:val="InternetLink"/>
                  <w:rFonts w:ascii="Times New Roman;Times;serif" w:hAnsi="Times New Roman;Times;serif"/>
                  <w:color w:val="000000"/>
                  <w:sz w:val="20"/>
                </w:rPr>
                <w:t>B-1</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
              <w:r>
                <w:rPr>
                  <w:rStyle w:val="InternetLink"/>
                  <w:rFonts w:ascii="Times New Roman;Times;serif" w:hAnsi="Times New Roman;Times;serif"/>
                  <w:color w:val="000000"/>
                  <w:sz w:val="20"/>
                </w:rPr>
                <w:t>2.2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
              <w:r>
                <w:rPr>
                  <w:rStyle w:val="InternetLink"/>
                  <w:color w:val="000000"/>
                </w:rPr>
                <w:t>“</w:t>
              </w:r>
            </w:hyperlink>
            <w:hyperlink w:anchor="tANXBAS22">
              <w:r>
                <w:rPr>
                  <w:rStyle w:val="InternetLink"/>
                  <w:rFonts w:ascii="Times New Roman;Times;serif" w:hAnsi="Times New Roman;Times;serif"/>
                  <w:color w:val="000000"/>
                  <w:sz w:val="20"/>
                </w:rPr>
                <w:t>Award”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3">
              <w:r>
                <w:rPr>
                  <w:rStyle w:val="InternetLink"/>
                  <w:rFonts w:ascii="Times New Roman;Times;serif" w:hAnsi="Times New Roman;Times;serif"/>
                  <w:color w:val="000000"/>
                  <w:sz w:val="20"/>
                </w:rPr>
                <w:t>2.3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3">
              <w:r>
                <w:rPr>
                  <w:rStyle w:val="InternetLink"/>
                  <w:color w:val="000000"/>
                </w:rPr>
                <w:t>“</w:t>
              </w:r>
            </w:hyperlink>
            <w:hyperlink w:anchor="tANXBAS23">
              <w:r>
                <w:rPr>
                  <w:rStyle w:val="InternetLink"/>
                  <w:rFonts w:ascii="Times New Roman;Times;serif" w:hAnsi="Times New Roman;Times;serif"/>
                  <w:color w:val="000000"/>
                  <w:sz w:val="20"/>
                </w:rPr>
                <w:t>Award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3">
              <w:r>
                <w:rPr>
                  <w:rStyle w:val="InternetLink"/>
                  <w:rFonts w:ascii="Times New Roman;Times;serif" w:hAnsi="Times New Roman;Times;serif"/>
                  <w:color w:val="000000"/>
                  <w:sz w:val="20"/>
                </w:rPr>
                <w:t>B-1</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4">
              <w:r>
                <w:rPr>
                  <w:rStyle w:val="InternetLink"/>
                  <w:rFonts w:ascii="Times New Roman;Times;serif" w:hAnsi="Times New Roman;Times;serif"/>
                  <w:color w:val="000000"/>
                  <w:sz w:val="20"/>
                </w:rPr>
                <w:t>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4">
              <w:r>
                <w:rPr>
                  <w:rStyle w:val="InternetLink"/>
                  <w:color w:val="000000"/>
                </w:rPr>
                <w:t>“</w:t>
              </w:r>
            </w:hyperlink>
            <w:hyperlink w:anchor="tANXBAS24">
              <w:r>
                <w:rPr>
                  <w:rStyle w:val="InternetLink"/>
                  <w:rFonts w:ascii="Times New Roman;Times;serif" w:hAnsi="Times New Roman;Times;serif"/>
                  <w:color w:val="000000"/>
                  <w:sz w:val="20"/>
                </w:rPr>
                <w:t>Board”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4">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5">
              <w:r>
                <w:rPr>
                  <w:rStyle w:val="InternetLink"/>
                  <w:rFonts w:ascii="Times New Roman;Times;serif" w:hAnsi="Times New Roman;Times;serif"/>
                  <w:color w:val="000000"/>
                  <w:sz w:val="20"/>
                </w:rPr>
                <w:t>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5">
              <w:r>
                <w:rPr>
                  <w:rStyle w:val="InternetLink"/>
                  <w:color w:val="000000"/>
                </w:rPr>
                <w:t>“</w:t>
              </w:r>
            </w:hyperlink>
            <w:hyperlink w:anchor="tANXBAS25">
              <w:r>
                <w:rPr>
                  <w:rStyle w:val="InternetLink"/>
                  <w:rFonts w:ascii="Times New Roman;Times;serif" w:hAnsi="Times New Roman;Times;serif"/>
                  <w:color w:val="000000"/>
                  <w:sz w:val="20"/>
                </w:rPr>
                <w:t>Bonus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5">
              <w:r>
                <w:rPr>
                  <w:rStyle w:val="InternetLink"/>
                  <w:rFonts w:ascii="Times New Roman;Times;serif" w:hAnsi="Times New Roman;Times;serif"/>
                  <w:color w:val="000000"/>
                  <w:sz w:val="20"/>
                </w:rPr>
                <w:t>B-1</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6">
              <w:r>
                <w:rPr>
                  <w:rStyle w:val="InternetLink"/>
                  <w:rFonts w:ascii="Times New Roman;Times;serif" w:hAnsi="Times New Roman;Times;serif"/>
                  <w:color w:val="000000"/>
                  <w:sz w:val="20"/>
                </w:rPr>
                <w:t>2.6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6">
              <w:r>
                <w:rPr>
                  <w:rStyle w:val="InternetLink"/>
                  <w:color w:val="000000"/>
                </w:rPr>
                <w:t>“</w:t>
              </w:r>
            </w:hyperlink>
            <w:hyperlink w:anchor="tANXBAS26">
              <w:r>
                <w:rPr>
                  <w:rStyle w:val="InternetLink"/>
                  <w:rFonts w:ascii="Times New Roman;Times;serif" w:hAnsi="Times New Roman;Times;serif"/>
                  <w:color w:val="000000"/>
                  <w:sz w:val="20"/>
                </w:rPr>
                <w:t>Cause”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6">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7">
              <w:r>
                <w:rPr>
                  <w:rStyle w:val="InternetLink"/>
                  <w:rFonts w:ascii="Times New Roman;Times;serif" w:hAnsi="Times New Roman;Times;serif"/>
                  <w:color w:val="000000"/>
                  <w:sz w:val="20"/>
                </w:rPr>
                <w:t>2.7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7">
              <w:r>
                <w:rPr>
                  <w:rStyle w:val="InternetLink"/>
                  <w:color w:val="000000"/>
                </w:rPr>
                <w:t>“</w:t>
              </w:r>
            </w:hyperlink>
            <w:hyperlink w:anchor="tANXBAS27">
              <w:r>
                <w:rPr>
                  <w:rStyle w:val="InternetLink"/>
                  <w:rFonts w:ascii="Times New Roman;Times;serif" w:hAnsi="Times New Roman;Times;serif"/>
                  <w:color w:val="000000"/>
                  <w:sz w:val="20"/>
                </w:rPr>
                <w:t>CEO”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7">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8">
              <w:r>
                <w:rPr>
                  <w:rStyle w:val="InternetLink"/>
                  <w:rFonts w:ascii="Times New Roman;Times;serif" w:hAnsi="Times New Roman;Times;serif"/>
                  <w:color w:val="000000"/>
                  <w:sz w:val="20"/>
                </w:rPr>
                <w:t>2.8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8">
              <w:r>
                <w:rPr>
                  <w:rStyle w:val="InternetLink"/>
                  <w:color w:val="000000"/>
                </w:rPr>
                <w:t>“</w:t>
              </w:r>
            </w:hyperlink>
            <w:hyperlink w:anchor="tANXBAS28">
              <w:r>
                <w:rPr>
                  <w:rStyle w:val="InternetLink"/>
                  <w:rFonts w:ascii="Times New Roman;Times;serif" w:hAnsi="Times New Roman;Times;serif"/>
                  <w:color w:val="000000"/>
                  <w:sz w:val="20"/>
                </w:rPr>
                <w:t>Change in Control”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8">
              <w:r>
                <w:rPr>
                  <w:rStyle w:val="InternetLink"/>
                  <w:rFonts w:ascii="Times New Roman;Times;serif" w:hAnsi="Times New Roman;Times;serif"/>
                  <w:color w:val="000000"/>
                  <w:sz w:val="20"/>
                </w:rPr>
                <w:t>B-2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9">
              <w:r>
                <w:rPr>
                  <w:rStyle w:val="InternetLink"/>
                  <w:rFonts w:ascii="Times New Roman;Times;serif" w:hAnsi="Times New Roman;Times;serif"/>
                  <w:color w:val="000000"/>
                  <w:sz w:val="20"/>
                </w:rPr>
                <w:t>2.9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9">
              <w:r>
                <w:rPr>
                  <w:rStyle w:val="InternetLink"/>
                  <w:color w:val="000000"/>
                </w:rPr>
                <w:t>“</w:t>
              </w:r>
            </w:hyperlink>
            <w:hyperlink w:anchor="tANXBAS29">
              <w:r>
                <w:rPr>
                  <w:rStyle w:val="InternetLink"/>
                  <w:rFonts w:ascii="Times New Roman;Times;serif" w:hAnsi="Times New Roman;Times;serif"/>
                  <w:color w:val="000000"/>
                  <w:sz w:val="20"/>
                </w:rPr>
                <w:t>Code”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9">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10">
              <w:r>
                <w:rPr>
                  <w:rStyle w:val="InternetLink"/>
                  <w:rFonts w:ascii="Times New Roman;Times;serif" w:hAnsi="Times New Roman;Times;serif"/>
                  <w:color w:val="000000"/>
                  <w:sz w:val="20"/>
                </w:rPr>
                <w:t>2.10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10">
              <w:r>
                <w:rPr>
                  <w:rStyle w:val="InternetLink"/>
                  <w:color w:val="000000"/>
                </w:rPr>
                <w:t>“</w:t>
              </w:r>
            </w:hyperlink>
            <w:hyperlink w:anchor="tANXBAS210">
              <w:r>
                <w:rPr>
                  <w:rStyle w:val="InternetLink"/>
                  <w:rFonts w:ascii="Times New Roman;Times;serif" w:hAnsi="Times New Roman;Times;serif"/>
                  <w:color w:val="000000"/>
                  <w:sz w:val="20"/>
                </w:rPr>
                <w:t>Committee” or “Incentive Plan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10">
              <w:r>
                <w:rPr>
                  <w:rStyle w:val="InternetLink"/>
                  <w:rFonts w:ascii="Times New Roman;Times;serif" w:hAnsi="Times New Roman;Times;serif"/>
                  <w:color w:val="000000"/>
                  <w:sz w:val="20"/>
                </w:rPr>
                <w:t>B-2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1">
              <w:r>
                <w:rPr>
                  <w:rStyle w:val="InternetLink"/>
                  <w:rFonts w:ascii="Times New Roman;Times;serif" w:hAnsi="Times New Roman;Times;serif"/>
                  <w:color w:val="000000"/>
                  <w:sz w:val="20"/>
                </w:rPr>
                <w:t>2.11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1">
              <w:r>
                <w:rPr>
                  <w:rStyle w:val="InternetLink"/>
                  <w:color w:val="000000"/>
                </w:rPr>
                <w:t>“</w:t>
              </w:r>
            </w:hyperlink>
            <w:hyperlink w:anchor="tANXBAS211">
              <w:r>
                <w:rPr>
                  <w:rStyle w:val="InternetLink"/>
                  <w:rFonts w:ascii="Times New Roman;Times;serif" w:hAnsi="Times New Roman;Times;serif"/>
                  <w:color w:val="000000"/>
                  <w:sz w:val="20"/>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1">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12">
              <w:r>
                <w:rPr>
                  <w:rStyle w:val="InternetLink"/>
                  <w:rFonts w:ascii="Times New Roman;Times;serif" w:hAnsi="Times New Roman;Times;serif"/>
                  <w:color w:val="000000"/>
                  <w:sz w:val="20"/>
                </w:rPr>
                <w:t>2.12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12">
              <w:r>
                <w:rPr>
                  <w:rStyle w:val="InternetLink"/>
                  <w:color w:val="000000"/>
                </w:rPr>
                <w:t>“</w:t>
              </w:r>
            </w:hyperlink>
            <w:hyperlink w:anchor="tANXBAS212">
              <w:r>
                <w:rPr>
                  <w:rStyle w:val="InternetLink"/>
                  <w:rFonts w:ascii="Times New Roman;Times;serif" w:hAnsi="Times New Roman;Times;serif"/>
                  <w:color w:val="000000"/>
                  <w:sz w:val="20"/>
                </w:rPr>
                <w:t>Common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12">
              <w:r>
                <w:rPr>
                  <w:rStyle w:val="InternetLink"/>
                  <w:rFonts w:ascii="Times New Roman;Times;serif" w:hAnsi="Times New Roman;Times;serif"/>
                  <w:color w:val="000000"/>
                  <w:sz w:val="20"/>
                </w:rPr>
                <w:t>B-2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3">
              <w:r>
                <w:rPr>
                  <w:rStyle w:val="InternetLink"/>
                  <w:rFonts w:ascii="Times New Roman;Times;serif" w:hAnsi="Times New Roman;Times;serif"/>
                  <w:color w:val="000000"/>
                  <w:sz w:val="20"/>
                </w:rPr>
                <w:t>2.13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3">
              <w:r>
                <w:rPr>
                  <w:rStyle w:val="InternetLink"/>
                  <w:color w:val="000000"/>
                </w:rPr>
                <w:t>“</w:t>
              </w:r>
            </w:hyperlink>
            <w:hyperlink w:anchor="tANXBAS213">
              <w:r>
                <w:rPr>
                  <w:rStyle w:val="InternetLink"/>
                  <w:rFonts w:ascii="Times New Roman;Times;serif" w:hAnsi="Times New Roman;Times;serif"/>
                  <w:color w:val="000000"/>
                  <w:sz w:val="20"/>
                </w:rPr>
                <w:t>Corporate Transaction”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3">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14">
              <w:r>
                <w:rPr>
                  <w:rStyle w:val="InternetLink"/>
                  <w:rFonts w:ascii="Times New Roman;Times;serif" w:hAnsi="Times New Roman;Times;serif"/>
                  <w:color w:val="000000"/>
                  <w:sz w:val="20"/>
                </w:rPr>
                <w:t>2.14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14">
              <w:r>
                <w:rPr>
                  <w:rStyle w:val="InternetLink"/>
                  <w:color w:val="000000"/>
                </w:rPr>
                <w:t>“</w:t>
              </w:r>
            </w:hyperlink>
            <w:hyperlink w:anchor="tANXBAS214">
              <w:r>
                <w:rPr>
                  <w:rStyle w:val="InternetLink"/>
                  <w:rFonts w:ascii="Times New Roman;Times;serif" w:hAnsi="Times New Roman;Times;serif"/>
                  <w:color w:val="000000"/>
                  <w:sz w:val="20"/>
                </w:rPr>
                <w:t>Deferred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14">
              <w:r>
                <w:rPr>
                  <w:rStyle w:val="InternetLink"/>
                  <w:rFonts w:ascii="Times New Roman;Times;serif" w:hAnsi="Times New Roman;Times;serif"/>
                  <w:color w:val="000000"/>
                  <w:sz w:val="20"/>
                </w:rPr>
                <w:t>B-2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5">
              <w:r>
                <w:rPr>
                  <w:rStyle w:val="InternetLink"/>
                  <w:rFonts w:ascii="Times New Roman;Times;serif" w:hAnsi="Times New Roman;Times;serif"/>
                  <w:color w:val="000000"/>
                  <w:sz w:val="20"/>
                </w:rPr>
                <w:t>2.15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5">
              <w:r>
                <w:rPr>
                  <w:rStyle w:val="InternetLink"/>
                  <w:color w:val="000000"/>
                </w:rPr>
                <w:t>“</w:t>
              </w:r>
            </w:hyperlink>
            <w:hyperlink w:anchor="tANXBAS215">
              <w:r>
                <w:rPr>
                  <w:rStyle w:val="InternetLink"/>
                  <w:rFonts w:ascii="Times New Roman;Times;serif" w:hAnsi="Times New Roman;Times;serif"/>
                  <w:color w:val="000000"/>
                  <w:sz w:val="20"/>
                </w:rPr>
                <w:t>Disability” or “Disabled”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5">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16">
              <w:r>
                <w:rPr>
                  <w:rStyle w:val="InternetLink"/>
                  <w:rFonts w:ascii="Times New Roman;Times;serif" w:hAnsi="Times New Roman;Times;serif"/>
                  <w:color w:val="000000"/>
                  <w:sz w:val="20"/>
                </w:rPr>
                <w:t>2.16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16">
              <w:r>
                <w:rPr>
                  <w:rStyle w:val="InternetLink"/>
                  <w:color w:val="000000"/>
                </w:rPr>
                <w:t>“</w:t>
              </w:r>
            </w:hyperlink>
            <w:hyperlink w:anchor="tANXBAS216">
              <w:r>
                <w:rPr>
                  <w:rStyle w:val="InternetLink"/>
                  <w:rFonts w:ascii="Times New Roman;Times;serif" w:hAnsi="Times New Roman;Times;serif"/>
                  <w:color w:val="000000"/>
                  <w:sz w:val="20"/>
                </w:rPr>
                <w:t>Dividend Equivalent”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16">
              <w:r>
                <w:rPr>
                  <w:rStyle w:val="InternetLink"/>
                  <w:rFonts w:ascii="Times New Roman;Times;serif" w:hAnsi="Times New Roman;Times;serif"/>
                  <w:color w:val="000000"/>
                  <w:sz w:val="20"/>
                </w:rPr>
                <w:t>B-2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7">
              <w:r>
                <w:rPr>
                  <w:rStyle w:val="InternetLink"/>
                  <w:rFonts w:ascii="Times New Roman;Times;serif" w:hAnsi="Times New Roman;Times;serif"/>
                  <w:color w:val="000000"/>
                  <w:sz w:val="20"/>
                </w:rPr>
                <w:t>2.17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7">
              <w:r>
                <w:rPr>
                  <w:rStyle w:val="InternetLink"/>
                  <w:color w:val="000000"/>
                </w:rPr>
                <w:t>“</w:t>
              </w:r>
            </w:hyperlink>
            <w:hyperlink w:anchor="tANXBAS217">
              <w:r>
                <w:rPr>
                  <w:rStyle w:val="InternetLink"/>
                  <w:rFonts w:ascii="Times New Roman;Times;serif" w:hAnsi="Times New Roman;Times;serif"/>
                  <w:color w:val="000000"/>
                  <w:sz w:val="20"/>
                </w:rPr>
                <w:t>Effective Date”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7">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18">
              <w:r>
                <w:rPr>
                  <w:rStyle w:val="InternetLink"/>
                  <w:rFonts w:ascii="Times New Roman;Times;serif" w:hAnsi="Times New Roman;Times;serif"/>
                  <w:color w:val="000000"/>
                  <w:sz w:val="20"/>
                </w:rPr>
                <w:t>2.18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18">
              <w:r>
                <w:rPr>
                  <w:rStyle w:val="InternetLink"/>
                  <w:color w:val="000000"/>
                </w:rPr>
                <w:t>“</w:t>
              </w:r>
            </w:hyperlink>
            <w:hyperlink w:anchor="tANXBAS218">
              <w:r>
                <w:rPr>
                  <w:rStyle w:val="InternetLink"/>
                  <w:rFonts w:ascii="Times New Roman;Times;serif" w:hAnsi="Times New Roman;Times;serif"/>
                  <w:color w:val="000000"/>
                  <w:sz w:val="20"/>
                </w:rPr>
                <w:t>Eligible Person”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18">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9">
              <w:r>
                <w:rPr>
                  <w:rStyle w:val="InternetLink"/>
                  <w:rFonts w:ascii="Times New Roman;Times;serif" w:hAnsi="Times New Roman;Times;serif"/>
                  <w:color w:val="000000"/>
                  <w:sz w:val="20"/>
                </w:rPr>
                <w:t>2.19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9">
              <w:r>
                <w:rPr>
                  <w:rStyle w:val="InternetLink"/>
                  <w:color w:val="000000"/>
                </w:rPr>
                <w:t>“</w:t>
              </w:r>
            </w:hyperlink>
            <w:hyperlink w:anchor="tANXBAS219">
              <w:r>
                <w:rPr>
                  <w:rStyle w:val="InternetLink"/>
                  <w:rFonts w:ascii="Times New Roman;Times;serif" w:hAnsi="Times New Roman;Times;serif"/>
                  <w:color w:val="000000"/>
                  <w:sz w:val="20"/>
                </w:rPr>
                <w:t>Exchange Act”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9">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0">
              <w:r>
                <w:rPr>
                  <w:rStyle w:val="InternetLink"/>
                  <w:rFonts w:ascii="Times New Roman;Times;serif" w:hAnsi="Times New Roman;Times;serif"/>
                  <w:color w:val="000000"/>
                  <w:sz w:val="20"/>
                </w:rPr>
                <w:t>2.20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0">
              <w:r>
                <w:rPr>
                  <w:rStyle w:val="InternetLink"/>
                  <w:color w:val="000000"/>
                </w:rPr>
                <w:t>“</w:t>
              </w:r>
            </w:hyperlink>
            <w:hyperlink w:anchor="tANXBAS220">
              <w:r>
                <w:rPr>
                  <w:rStyle w:val="InternetLink"/>
                  <w:rFonts w:ascii="Times New Roman;Times;serif" w:hAnsi="Times New Roman;Times;serif"/>
                  <w:color w:val="000000"/>
                  <w:sz w:val="20"/>
                </w:rPr>
                <w:t>Exercise Price”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0">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21">
              <w:r>
                <w:rPr>
                  <w:rStyle w:val="InternetLink"/>
                  <w:rFonts w:ascii="Times New Roman;Times;serif" w:hAnsi="Times New Roman;Times;serif"/>
                  <w:color w:val="000000"/>
                  <w:sz w:val="20"/>
                </w:rPr>
                <w:t>2.21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21">
              <w:r>
                <w:rPr>
                  <w:rStyle w:val="InternetLink"/>
                  <w:color w:val="000000"/>
                </w:rPr>
                <w:t>“</w:t>
              </w:r>
            </w:hyperlink>
            <w:hyperlink w:anchor="tANXBAS221">
              <w:r>
                <w:rPr>
                  <w:rStyle w:val="InternetLink"/>
                  <w:rFonts w:ascii="Times New Roman;Times;serif" w:hAnsi="Times New Roman;Times;serif"/>
                  <w:color w:val="000000"/>
                  <w:sz w:val="20"/>
                </w:rPr>
                <w:t>Fair Market Value”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21">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2">
              <w:r>
                <w:rPr>
                  <w:rStyle w:val="InternetLink"/>
                  <w:rFonts w:ascii="Times New Roman;Times;serif" w:hAnsi="Times New Roman;Times;serif"/>
                  <w:color w:val="000000"/>
                  <w:sz w:val="20"/>
                </w:rPr>
                <w:t>2.22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2">
              <w:r>
                <w:rPr>
                  <w:rStyle w:val="InternetLink"/>
                  <w:color w:val="000000"/>
                </w:rPr>
                <w:t>“</w:t>
              </w:r>
            </w:hyperlink>
            <w:hyperlink w:anchor="tANXBAS222">
              <w:r>
                <w:rPr>
                  <w:rStyle w:val="InternetLink"/>
                  <w:rFonts w:ascii="Times New Roman;Times;serif" w:hAnsi="Times New Roman;Times;serif"/>
                  <w:color w:val="000000"/>
                  <w:sz w:val="20"/>
                </w:rPr>
                <w:t>Grant Date”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2">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23">
              <w:r>
                <w:rPr>
                  <w:rStyle w:val="InternetLink"/>
                  <w:rFonts w:ascii="Times New Roman;Times;serif" w:hAnsi="Times New Roman;Times;serif"/>
                  <w:color w:val="000000"/>
                  <w:sz w:val="20"/>
                </w:rPr>
                <w:t>2.23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23">
              <w:r>
                <w:rPr>
                  <w:rStyle w:val="InternetLink"/>
                  <w:color w:val="000000"/>
                </w:rPr>
                <w:t>“</w:t>
              </w:r>
            </w:hyperlink>
            <w:hyperlink w:anchor="tANXBAS223">
              <w:r>
                <w:rPr>
                  <w:rStyle w:val="InternetLink"/>
                  <w:rFonts w:ascii="Times New Roman;Times;serif" w:hAnsi="Times New Roman;Times;serif"/>
                  <w:color w:val="000000"/>
                  <w:sz w:val="20"/>
                </w:rPr>
                <w:t>Grantee”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23">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4">
              <w:r>
                <w:rPr>
                  <w:rStyle w:val="InternetLink"/>
                  <w:rFonts w:ascii="Times New Roman;Times;serif" w:hAnsi="Times New Roman;Times;serif"/>
                  <w:color w:val="000000"/>
                  <w:sz w:val="20"/>
                </w:rPr>
                <w:t>2.24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4">
              <w:r>
                <w:rPr>
                  <w:rStyle w:val="InternetLink"/>
                  <w:color w:val="000000"/>
                </w:rPr>
                <w:t>“</w:t>
              </w:r>
            </w:hyperlink>
            <w:hyperlink w:anchor="tANXBAS224">
              <w:r>
                <w:rPr>
                  <w:rStyle w:val="InternetLink"/>
                  <w:rFonts w:ascii="Times New Roman;Times;serif" w:hAnsi="Times New Roman;Times;serif"/>
                  <w:color w:val="000000"/>
                  <w:sz w:val="20"/>
                </w:rPr>
                <w:t>Incentive Stock Option”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4">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25">
              <w:r>
                <w:rPr>
                  <w:rStyle w:val="InternetLink"/>
                  <w:rFonts w:ascii="Times New Roman;Times;serif" w:hAnsi="Times New Roman;Times;serif"/>
                  <w:color w:val="000000"/>
                  <w:sz w:val="20"/>
                </w:rPr>
                <w:t>2.25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25">
              <w:r>
                <w:rPr>
                  <w:rStyle w:val="InternetLink"/>
                  <w:color w:val="000000"/>
                </w:rPr>
                <w:t>“</w:t>
              </w:r>
            </w:hyperlink>
            <w:hyperlink w:anchor="tANXBAS225">
              <w:r>
                <w:rPr>
                  <w:rStyle w:val="InternetLink"/>
                  <w:rFonts w:ascii="Times New Roman;Times;serif" w:hAnsi="Times New Roman;Times;serif"/>
                  <w:color w:val="000000"/>
                  <w:sz w:val="20"/>
                </w:rPr>
                <w:t>Including” or “includes”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25">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6">
              <w:r>
                <w:rPr>
                  <w:rStyle w:val="InternetLink"/>
                  <w:rFonts w:ascii="Times New Roman;Times;serif" w:hAnsi="Times New Roman;Times;serif"/>
                  <w:color w:val="000000"/>
                  <w:sz w:val="20"/>
                </w:rPr>
                <w:t>2.26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6">
              <w:r>
                <w:rPr>
                  <w:rStyle w:val="InternetLink"/>
                  <w:color w:val="000000"/>
                </w:rPr>
                <w:t>“</w:t>
              </w:r>
            </w:hyperlink>
            <w:hyperlink w:anchor="tANXBAS226">
              <w:r>
                <w:rPr>
                  <w:rStyle w:val="InternetLink"/>
                  <w:rFonts w:ascii="Times New Roman;Times;serif" w:hAnsi="Times New Roman;Times;serif"/>
                  <w:color w:val="000000"/>
                  <w:sz w:val="20"/>
                </w:rPr>
                <w:t>Management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6">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27">
              <w:r>
                <w:rPr>
                  <w:rStyle w:val="InternetLink"/>
                  <w:rFonts w:ascii="Times New Roman;Times;serif" w:hAnsi="Times New Roman;Times;serif"/>
                  <w:color w:val="000000"/>
                  <w:sz w:val="20"/>
                </w:rPr>
                <w:t>2.27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27">
              <w:r>
                <w:rPr>
                  <w:rStyle w:val="InternetLink"/>
                  <w:color w:val="000000"/>
                </w:rPr>
                <w:t>“</w:t>
              </w:r>
            </w:hyperlink>
            <w:hyperlink w:anchor="tANXBAS227">
              <w:r>
                <w:rPr>
                  <w:rStyle w:val="InternetLink"/>
                  <w:rFonts w:ascii="Times New Roman;Times;serif" w:hAnsi="Times New Roman;Times;serif"/>
                  <w:color w:val="000000"/>
                  <w:sz w:val="20"/>
                </w:rPr>
                <w:t>Non-Employee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27">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8">
              <w:r>
                <w:rPr>
                  <w:rStyle w:val="InternetLink"/>
                  <w:rFonts w:ascii="Times New Roman;Times;serif" w:hAnsi="Times New Roman;Times;serif"/>
                  <w:color w:val="000000"/>
                  <w:sz w:val="20"/>
                </w:rPr>
                <w:t>2.28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8">
              <w:r>
                <w:rPr>
                  <w:rStyle w:val="InternetLink"/>
                  <w:color w:val="000000"/>
                </w:rPr>
                <w:t>“</w:t>
              </w:r>
            </w:hyperlink>
            <w:hyperlink w:anchor="tANXBAS228">
              <w:r>
                <w:rPr>
                  <w:rStyle w:val="InternetLink"/>
                  <w:rFonts w:ascii="Times New Roman;Times;serif" w:hAnsi="Times New Roman;Times;serif"/>
                  <w:color w:val="000000"/>
                  <w:sz w:val="20"/>
                </w:rPr>
                <w:t>Option”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8">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29">
              <w:r>
                <w:rPr>
                  <w:rStyle w:val="InternetLink"/>
                  <w:rFonts w:ascii="Times New Roman;Times;serif" w:hAnsi="Times New Roman;Times;serif"/>
                  <w:color w:val="000000"/>
                  <w:sz w:val="20"/>
                </w:rPr>
                <w:t>2.29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29">
              <w:r>
                <w:rPr>
                  <w:rStyle w:val="InternetLink"/>
                  <w:color w:val="000000"/>
                </w:rPr>
                <w:t>“</w:t>
              </w:r>
            </w:hyperlink>
            <w:hyperlink w:anchor="tANXBAS229">
              <w:r>
                <w:rPr>
                  <w:rStyle w:val="InternetLink"/>
                  <w:rFonts w:ascii="Times New Roman;Times;serif" w:hAnsi="Times New Roman;Times;serif"/>
                  <w:color w:val="000000"/>
                  <w:sz w:val="20"/>
                </w:rPr>
                <w:t>Other Stock-Based Award”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29">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30">
              <w:r>
                <w:rPr>
                  <w:rStyle w:val="InternetLink"/>
                  <w:rFonts w:ascii="Times New Roman;Times;serif" w:hAnsi="Times New Roman;Times;serif"/>
                  <w:color w:val="000000"/>
                  <w:sz w:val="20"/>
                </w:rPr>
                <w:t>2.30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30">
              <w:r>
                <w:rPr>
                  <w:rStyle w:val="InternetLink"/>
                  <w:color w:val="000000"/>
                </w:rPr>
                <w:t>“</w:t>
              </w:r>
            </w:hyperlink>
            <w:hyperlink w:anchor="tANXBAS230">
              <w:r>
                <w:rPr>
                  <w:rStyle w:val="InternetLink"/>
                  <w:rFonts w:ascii="Times New Roman;Times;serif" w:hAnsi="Times New Roman;Times;serif"/>
                  <w:color w:val="000000"/>
                  <w:sz w:val="20"/>
                </w:rPr>
                <w:t>Performance Period”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30">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31">
              <w:r>
                <w:rPr>
                  <w:rStyle w:val="InternetLink"/>
                  <w:rFonts w:ascii="Times New Roman;Times;serif" w:hAnsi="Times New Roman;Times;serif"/>
                  <w:color w:val="000000"/>
                  <w:sz w:val="20"/>
                </w:rPr>
                <w:t>2.31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31">
              <w:r>
                <w:rPr>
                  <w:rStyle w:val="InternetLink"/>
                  <w:color w:val="000000"/>
                </w:rPr>
                <w:t>“</w:t>
              </w:r>
            </w:hyperlink>
            <w:hyperlink w:anchor="tANXBAS231">
              <w:r>
                <w:rPr>
                  <w:rStyle w:val="InternetLink"/>
                  <w:rFonts w:ascii="Times New Roman;Times;serif" w:hAnsi="Times New Roman;Times;serif"/>
                  <w:color w:val="000000"/>
                  <w:sz w:val="20"/>
                </w:rPr>
                <w:t>Performance Share”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31">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32">
              <w:r>
                <w:rPr>
                  <w:rStyle w:val="InternetLink"/>
                  <w:rFonts w:ascii="Times New Roman;Times;serif" w:hAnsi="Times New Roman;Times;serif"/>
                  <w:color w:val="000000"/>
                  <w:sz w:val="20"/>
                </w:rPr>
                <w:t>2.32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32">
              <w:r>
                <w:rPr>
                  <w:rStyle w:val="InternetLink"/>
                  <w:color w:val="000000"/>
                </w:rPr>
                <w:t>“</w:t>
              </w:r>
            </w:hyperlink>
            <w:hyperlink w:anchor="tANXBAS232">
              <w:r>
                <w:rPr>
                  <w:rStyle w:val="InternetLink"/>
                  <w:rFonts w:ascii="Times New Roman;Times;serif" w:hAnsi="Times New Roman;Times;serif"/>
                  <w:color w:val="000000"/>
                  <w:sz w:val="20"/>
                </w:rPr>
                <w:t>Performance Unit”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32">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33">
              <w:r>
                <w:rPr>
                  <w:rStyle w:val="InternetLink"/>
                  <w:rFonts w:ascii="Times New Roman;Times;serif" w:hAnsi="Times New Roman;Times;serif"/>
                  <w:color w:val="000000"/>
                  <w:sz w:val="20"/>
                </w:rPr>
                <w:t>2.33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33">
              <w:r>
                <w:rPr>
                  <w:rStyle w:val="InternetLink"/>
                  <w:color w:val="000000"/>
                </w:rPr>
                <w:t>“</w:t>
              </w:r>
            </w:hyperlink>
            <w:hyperlink w:anchor="tANXBAS233">
              <w:r>
                <w:rPr>
                  <w:rStyle w:val="InternetLink"/>
                  <w:rFonts w:ascii="Times New Roman;Times;serif" w:hAnsi="Times New Roman;Times;serif"/>
                  <w:color w:val="000000"/>
                  <w:sz w:val="20"/>
                </w:rPr>
                <w:t>Period of Restriction”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33">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34">
              <w:r>
                <w:rPr>
                  <w:rStyle w:val="InternetLink"/>
                  <w:rFonts w:ascii="Times New Roman;Times;serif" w:hAnsi="Times New Roman;Times;serif"/>
                  <w:color w:val="000000"/>
                  <w:sz w:val="20"/>
                </w:rPr>
                <w:t>2.34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34">
              <w:r>
                <w:rPr>
                  <w:rStyle w:val="InternetLink"/>
                  <w:color w:val="000000"/>
                </w:rPr>
                <w:t>“</w:t>
              </w:r>
            </w:hyperlink>
            <w:hyperlink w:anchor="tANXBAS234">
              <w:r>
                <w:rPr>
                  <w:rStyle w:val="InternetLink"/>
                  <w:rFonts w:ascii="Times New Roman;Times;serif" w:hAnsi="Times New Roman;Times;serif"/>
                  <w:color w:val="000000"/>
                  <w:sz w:val="20"/>
                </w:rPr>
                <w:t>Person”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34">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S235">
              <w:r>
                <w:rPr>
                  <w:rStyle w:val="InternetLink"/>
                  <w:rFonts w:ascii="Times New Roman;Times;serif" w:hAnsi="Times New Roman;Times;serif"/>
                  <w:color w:val="000000"/>
                  <w:sz w:val="20"/>
                </w:rPr>
                <w:t>2.35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S235">
              <w:r>
                <w:rPr>
                  <w:rStyle w:val="InternetLink"/>
                  <w:color w:val="000000"/>
                </w:rPr>
                <w:t>“</w:t>
              </w:r>
            </w:hyperlink>
            <w:hyperlink w:anchor="tANXBS235">
              <w:r>
                <w:rPr>
                  <w:rStyle w:val="InternetLink"/>
                  <w:rFonts w:ascii="Times New Roman;Times;serif" w:hAnsi="Times New Roman;Times;serif"/>
                  <w:color w:val="000000"/>
                  <w:sz w:val="20"/>
                </w:rPr>
                <w:t>Restricted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S235">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36">
              <w:r>
                <w:rPr>
                  <w:rStyle w:val="InternetLink"/>
                  <w:rFonts w:ascii="Times New Roman;Times;serif" w:hAnsi="Times New Roman;Times;serif"/>
                  <w:color w:val="000000"/>
                  <w:sz w:val="20"/>
                </w:rPr>
                <w:t>2.36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36">
              <w:r>
                <w:rPr>
                  <w:rStyle w:val="InternetLink"/>
                  <w:color w:val="000000"/>
                </w:rPr>
                <w:t>“</w:t>
              </w:r>
            </w:hyperlink>
            <w:hyperlink w:anchor="tANXBAS236">
              <w:r>
                <w:rPr>
                  <w:rStyle w:val="InternetLink"/>
                  <w:rFonts w:ascii="Times New Roman;Times;serif" w:hAnsi="Times New Roman;Times;serif"/>
                  <w:color w:val="000000"/>
                  <w:sz w:val="20"/>
                </w:rPr>
                <w:t>Restricted Stock Units”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36">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37">
              <w:r>
                <w:rPr>
                  <w:rStyle w:val="InternetLink"/>
                  <w:rFonts w:ascii="Times New Roman;Times;serif" w:hAnsi="Times New Roman;Times;serif"/>
                  <w:color w:val="000000"/>
                  <w:sz w:val="20"/>
                </w:rPr>
                <w:t>2.37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37">
              <w:r>
                <w:rPr>
                  <w:rStyle w:val="InternetLink"/>
                  <w:color w:val="000000"/>
                </w:rPr>
                <w:t>“</w:t>
              </w:r>
            </w:hyperlink>
            <w:hyperlink w:anchor="tANXBAS237">
              <w:r>
                <w:rPr>
                  <w:rStyle w:val="InternetLink"/>
                  <w:rFonts w:ascii="Times New Roman;Times;serif" w:hAnsi="Times New Roman;Times;serif"/>
                  <w:color w:val="000000"/>
                  <w:sz w:val="20"/>
                </w:rPr>
                <w:t>Rule 16b-3”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37">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38">
              <w:r>
                <w:rPr>
                  <w:rStyle w:val="InternetLink"/>
                  <w:rFonts w:ascii="Times New Roman;Times;serif" w:hAnsi="Times New Roman;Times;serif"/>
                  <w:color w:val="000000"/>
                  <w:sz w:val="20"/>
                </w:rPr>
                <w:t>2.38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38">
              <w:r>
                <w:rPr>
                  <w:rStyle w:val="InternetLink"/>
                  <w:color w:val="000000"/>
                </w:rPr>
                <w:t>“</w:t>
              </w:r>
            </w:hyperlink>
            <w:hyperlink w:anchor="tANXBAS238">
              <w:r>
                <w:rPr>
                  <w:rStyle w:val="InternetLink"/>
                  <w:rFonts w:ascii="Times New Roman;Times;serif" w:hAnsi="Times New Roman;Times;serif"/>
                  <w:color w:val="000000"/>
                  <w:sz w:val="20"/>
                </w:rPr>
                <w:t>SEC”</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38">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39">
              <w:r>
                <w:rPr>
                  <w:rStyle w:val="InternetLink"/>
                  <w:rFonts w:ascii="Times New Roman;Times;serif" w:hAnsi="Times New Roman;Times;serif"/>
                  <w:color w:val="000000"/>
                  <w:sz w:val="20"/>
                </w:rPr>
                <w:t>2.39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39">
              <w:r>
                <w:rPr>
                  <w:rStyle w:val="InternetLink"/>
                  <w:color w:val="000000"/>
                </w:rPr>
                <w:t>“</w:t>
              </w:r>
            </w:hyperlink>
            <w:hyperlink w:anchor="tANXBAS239">
              <w:r>
                <w:rPr>
                  <w:rStyle w:val="InternetLink"/>
                  <w:rFonts w:ascii="Times New Roman;Times;serif" w:hAnsi="Times New Roman;Times;serif"/>
                  <w:color w:val="000000"/>
                  <w:sz w:val="20"/>
                </w:rPr>
                <w:t>Section 16 Non-Employee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39">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40">
              <w:r>
                <w:rPr>
                  <w:rStyle w:val="InternetLink"/>
                  <w:rFonts w:ascii="Times New Roman;Times;serif" w:hAnsi="Times New Roman;Times;serif"/>
                  <w:color w:val="000000"/>
                  <w:sz w:val="20"/>
                </w:rPr>
                <w:t>2.40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40">
              <w:r>
                <w:rPr>
                  <w:rStyle w:val="InternetLink"/>
                  <w:color w:val="000000"/>
                </w:rPr>
                <w:t>“</w:t>
              </w:r>
            </w:hyperlink>
            <w:hyperlink w:anchor="tANXBAS240">
              <w:r>
                <w:rPr>
                  <w:rStyle w:val="InternetLink"/>
                  <w:rFonts w:ascii="Times New Roman;Times;serif" w:hAnsi="Times New Roman;Times;serif"/>
                  <w:color w:val="000000"/>
                  <w:sz w:val="20"/>
                </w:rPr>
                <w:t>Section 16 Person”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40">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41">
              <w:r>
                <w:rPr>
                  <w:rStyle w:val="InternetLink"/>
                  <w:rFonts w:ascii="Times New Roman;Times;serif" w:hAnsi="Times New Roman;Times;serif"/>
                  <w:color w:val="000000"/>
                  <w:sz w:val="20"/>
                </w:rPr>
                <w:t>2.41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41">
              <w:r>
                <w:rPr>
                  <w:rStyle w:val="InternetLink"/>
                  <w:color w:val="000000"/>
                </w:rPr>
                <w:t>“</w:t>
              </w:r>
            </w:hyperlink>
            <w:hyperlink w:anchor="tANXBAS241">
              <w:r>
                <w:rPr>
                  <w:rStyle w:val="InternetLink"/>
                  <w:rFonts w:ascii="Times New Roman;Times;serif" w:hAnsi="Times New Roman;Times;serif"/>
                  <w:color w:val="000000"/>
                  <w:sz w:val="20"/>
                </w:rPr>
                <w:t>Separation from Service”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41">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42">
              <w:r>
                <w:rPr>
                  <w:rStyle w:val="InternetLink"/>
                  <w:rFonts w:ascii="Times New Roman;Times;serif" w:hAnsi="Times New Roman;Times;serif"/>
                  <w:color w:val="000000"/>
                  <w:sz w:val="20"/>
                </w:rPr>
                <w:t>2.42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42">
              <w:r>
                <w:rPr>
                  <w:rStyle w:val="InternetLink"/>
                  <w:color w:val="000000"/>
                </w:rPr>
                <w:t>“</w:t>
              </w:r>
            </w:hyperlink>
            <w:hyperlink w:anchor="tANXBAS242">
              <w:r>
                <w:rPr>
                  <w:rStyle w:val="InternetLink"/>
                  <w:rFonts w:ascii="Times New Roman;Times;serif" w:hAnsi="Times New Roman;Times;serif"/>
                  <w:color w:val="000000"/>
                  <w:sz w:val="20"/>
                </w:rPr>
                <w:t>Share”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42">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43">
              <w:r>
                <w:rPr>
                  <w:rStyle w:val="InternetLink"/>
                  <w:rFonts w:ascii="Times New Roman;Times;serif" w:hAnsi="Times New Roman;Times;serif"/>
                  <w:color w:val="000000"/>
                  <w:sz w:val="20"/>
                </w:rPr>
                <w:t>2.43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43">
              <w:r>
                <w:rPr>
                  <w:rStyle w:val="InternetLink"/>
                  <w:color w:val="000000"/>
                </w:rPr>
                <w:t>“</w:t>
              </w:r>
            </w:hyperlink>
            <w:hyperlink w:anchor="tANXBAS243">
              <w:r>
                <w:rPr>
                  <w:rStyle w:val="InternetLink"/>
                  <w:rFonts w:ascii="Times New Roman;Times;serif" w:hAnsi="Times New Roman;Times;serif"/>
                  <w:color w:val="000000"/>
                  <w:sz w:val="20"/>
                </w:rPr>
                <w:t>Stock Appreciation Right” or “SAR”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43">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44">
              <w:r>
                <w:rPr>
                  <w:rStyle w:val="InternetLink"/>
                  <w:rFonts w:ascii="Times New Roman;Times;serif" w:hAnsi="Times New Roman;Times;serif"/>
                  <w:color w:val="000000"/>
                  <w:sz w:val="20"/>
                </w:rPr>
                <w:t>2.44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44">
              <w:r>
                <w:rPr>
                  <w:rStyle w:val="InternetLink"/>
                  <w:color w:val="000000"/>
                </w:rPr>
                <w:t>“</w:t>
              </w:r>
            </w:hyperlink>
            <w:hyperlink w:anchor="tANXBAS244">
              <w:r>
                <w:rPr>
                  <w:rStyle w:val="InternetLink"/>
                  <w:rFonts w:ascii="Times New Roman;Times;serif" w:hAnsi="Times New Roman;Times;serif"/>
                  <w:color w:val="000000"/>
                  <w:sz w:val="20"/>
                </w:rPr>
                <w:t>Subsidiary Corporation”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44">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w:t>
      </w:r>
    </w:p>
    <w:p>
      <w:pPr>
        <w:pStyle w:val="HorizontalLine"/>
        <w:bidi w:val="0"/>
        <w:spacing w:before="200" w:after="200"/>
        <w:jc w:val="left"/>
        <w:rPr/>
      </w:pPr>
      <w:r>
        <w:rPr/>
      </w:r>
    </w:p>
    <w:p>
      <w:pPr>
        <w:pStyle w:val="TextBody"/>
        <w:bidi w:val="0"/>
        <w:jc w:val="left"/>
        <w:rPr/>
      </w:pPr>
      <w:hyperlink w:anchor="TOC">
        <w:bookmarkStart w:id="72" w:name="ny20080978x2_def14a_301-annexb_pg3"/>
        <w:bookmarkEnd w:id="7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70"/>
        <w:gridCol w:w="170"/>
        <w:gridCol w:w="410"/>
        <w:gridCol w:w="170"/>
        <w:gridCol w:w="170"/>
        <w:gridCol w:w="7985"/>
        <w:gridCol w:w="170"/>
        <w:gridCol w:w="170"/>
        <w:gridCol w:w="60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5" w:type="dxa"/>
            <w:gridSpan w:val="4"/>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245">
              <w:r>
                <w:rPr>
                  <w:rStyle w:val="InternetLink"/>
                  <w:rFonts w:ascii="Times New Roman;Times;serif" w:hAnsi="Times New Roman;Times;serif"/>
                  <w:color w:val="000000"/>
                  <w:sz w:val="20"/>
                </w:rPr>
                <w:t>2.45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245">
              <w:r>
                <w:rPr>
                  <w:rStyle w:val="InternetLink"/>
                  <w:color w:val="000000"/>
                </w:rPr>
                <w:t>“</w:t>
              </w:r>
            </w:hyperlink>
            <w:hyperlink w:anchor="tANXBAS245">
              <w:r>
                <w:rPr>
                  <w:rStyle w:val="InternetLink"/>
                  <w:rFonts w:ascii="Times New Roman;Times;serif" w:hAnsi="Times New Roman;Times;serif"/>
                  <w:color w:val="000000"/>
                  <w:sz w:val="20"/>
                </w:rPr>
                <w:t>Surviving Company”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245">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246">
              <w:r>
                <w:rPr>
                  <w:rStyle w:val="InternetLink"/>
                  <w:rFonts w:ascii="Times New Roman;Times;serif" w:hAnsi="Times New Roman;Times;serif"/>
                  <w:color w:val="000000"/>
                  <w:sz w:val="20"/>
                </w:rPr>
                <w:t>2.46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246">
              <w:r>
                <w:rPr>
                  <w:rStyle w:val="InternetLink"/>
                  <w:color w:val="000000"/>
                </w:rPr>
                <w:t>“</w:t>
              </w:r>
            </w:hyperlink>
            <w:hyperlink w:anchor="tANXBAS246">
              <w:r>
                <w:rPr>
                  <w:rStyle w:val="InternetLink"/>
                  <w:rFonts w:ascii="Times New Roman;Times;serif" w:hAnsi="Times New Roman;Times;serif"/>
                  <w:color w:val="000000"/>
                  <w:sz w:val="20"/>
                </w:rPr>
                <w:t>Term”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246">
              <w:r>
                <w:rPr>
                  <w:rStyle w:val="InternetLink"/>
                  <w:rFonts w:ascii="Times New Roman;Times;serif" w:hAnsi="Times New Roman;Times;serif"/>
                  <w:color w:val="000000"/>
                  <w:sz w:val="20"/>
                </w:rPr>
                <w:t>B-5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247">
              <w:r>
                <w:rPr>
                  <w:rStyle w:val="InternetLink"/>
                  <w:rFonts w:ascii="Times New Roman;Times;serif" w:hAnsi="Times New Roman;Times;serif"/>
                  <w:color w:val="000000"/>
                  <w:sz w:val="20"/>
                </w:rPr>
                <w:t>2.47</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247">
              <w:r>
                <w:rPr>
                  <w:rStyle w:val="InternetLink"/>
                  <w:color w:val="000000"/>
                </w:rPr>
                <w:t>“</w:t>
              </w:r>
            </w:hyperlink>
            <w:hyperlink w:anchor="tANXBAS247">
              <w:r>
                <w:rPr>
                  <w:rStyle w:val="InternetLink"/>
                  <w:rFonts w:ascii="Times New Roman;Times;serif" w:hAnsi="Times New Roman;Times;serif"/>
                  <w:color w:val="000000"/>
                  <w:sz w:val="20"/>
                </w:rPr>
                <w:t>Termination of Affiliation”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247">
              <w:r>
                <w:rPr>
                  <w:rStyle w:val="InternetLink"/>
                  <w:rFonts w:ascii="Times New Roman;Times;serif" w:hAnsi="Times New Roman;Times;serif"/>
                  <w:color w:val="000000"/>
                  <w:sz w:val="20"/>
                </w:rPr>
                <w:t>B-5</w:t>
              </w:r>
            </w:hyperlink>
          </w:p>
        </w:tc>
      </w:tr>
      <w:tr>
        <w:trPr/>
        <w:tc>
          <w:tcPr>
            <w:tcW w:w="9260" w:type="dxa"/>
            <w:gridSpan w:val="7"/>
            <w:tcBorders/>
            <w:vAlign w:val="center"/>
          </w:tcPr>
          <w:p>
            <w:pPr>
              <w:pStyle w:val="TableContents"/>
              <w:bidi w:val="0"/>
              <w:spacing w:before="0" w:after="283"/>
              <w:ind w:left="0" w:right="0" w:hanging="0"/>
              <w:jc w:val="left"/>
              <w:rPr/>
            </w:pPr>
            <w:hyperlink w:anchor="tANXBA3">
              <w:r>
                <w:rPr>
                  <w:rStyle w:val="InternetLink"/>
                  <w:rFonts w:ascii="Times New Roman;Times;serif" w:hAnsi="Times New Roman;Times;serif"/>
                  <w:color w:val="000000"/>
                  <w:sz w:val="20"/>
                </w:rPr>
                <w:t>Article 3. Administration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3">
              <w:r>
                <w:rPr>
                  <w:rStyle w:val="InternetLink"/>
                  <w:rFonts w:ascii="Times New Roman;Times;serif" w:hAnsi="Times New Roman;Times;serif"/>
                  <w:color w:val="000000"/>
                  <w:sz w:val="20"/>
                </w:rPr>
                <w:t>B-5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31">
              <w:r>
                <w:rPr>
                  <w:rStyle w:val="InternetLink"/>
                  <w:rFonts w:ascii="Times New Roman;Times;serif" w:hAnsi="Times New Roman;Times;serif"/>
                  <w:color w:val="000000"/>
                  <w:sz w:val="20"/>
                </w:rPr>
                <w:t>3.1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31">
              <w:r>
                <w:rPr>
                  <w:rStyle w:val="InternetLink"/>
                  <w:rFonts w:ascii="Times New Roman;Times;serif" w:hAnsi="Times New Roman;Times;serif"/>
                  <w:color w:val="000000"/>
                  <w:sz w:val="20"/>
                </w:rPr>
                <w:t>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31">
              <w:r>
                <w:rPr>
                  <w:rStyle w:val="InternetLink"/>
                  <w:rFonts w:ascii="Times New Roman;Times;serif" w:hAnsi="Times New Roman;Times;serif"/>
                  <w:color w:val="000000"/>
                  <w:sz w:val="20"/>
                </w:rPr>
                <w:t>B-5</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32">
              <w:r>
                <w:rPr>
                  <w:rStyle w:val="InternetLink"/>
                  <w:rFonts w:ascii="Times New Roman;Times;serif" w:hAnsi="Times New Roman;Times;serif"/>
                  <w:color w:val="000000"/>
                  <w:sz w:val="20"/>
                </w:rPr>
                <w:t>3.2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32">
              <w:r>
                <w:rPr>
                  <w:rStyle w:val="InternetLink"/>
                  <w:rFonts w:ascii="Times New Roman;Times;serif" w:hAnsi="Times New Roman;Times;serif"/>
                  <w:color w:val="000000"/>
                  <w:sz w:val="20"/>
                </w:rPr>
                <w:t>Powers of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32">
              <w:r>
                <w:rPr>
                  <w:rStyle w:val="InternetLink"/>
                  <w:rFonts w:ascii="Times New Roman;Times;serif" w:hAnsi="Times New Roman;Times;serif"/>
                  <w:color w:val="000000"/>
                  <w:sz w:val="20"/>
                </w:rPr>
                <w:t>B-5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33">
              <w:r>
                <w:rPr>
                  <w:rStyle w:val="InternetLink"/>
                  <w:rFonts w:ascii="Times New Roman;Times;serif" w:hAnsi="Times New Roman;Times;serif"/>
                  <w:color w:val="000000"/>
                  <w:sz w:val="20"/>
                </w:rPr>
                <w:t>3.3</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33">
              <w:r>
                <w:rPr>
                  <w:rStyle w:val="InternetLink"/>
                  <w:rFonts w:ascii="Times New Roman;Times;serif" w:hAnsi="Times New Roman;Times;serif"/>
                  <w:color w:val="000000"/>
                  <w:sz w:val="20"/>
                </w:rPr>
                <w:t>No Repricings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33">
              <w:r>
                <w:rPr>
                  <w:rStyle w:val="InternetLink"/>
                  <w:rFonts w:ascii="Times New Roman;Times;serif" w:hAnsi="Times New Roman;Times;serif"/>
                  <w:color w:val="000000"/>
                  <w:sz w:val="20"/>
                </w:rPr>
                <w:t>B-7</w:t>
              </w:r>
            </w:hyperlink>
          </w:p>
        </w:tc>
      </w:tr>
      <w:tr>
        <w:trPr/>
        <w:tc>
          <w:tcPr>
            <w:tcW w:w="9260" w:type="dxa"/>
            <w:gridSpan w:val="7"/>
            <w:tcBorders/>
            <w:vAlign w:val="center"/>
          </w:tcPr>
          <w:p>
            <w:pPr>
              <w:pStyle w:val="TableContents"/>
              <w:bidi w:val="0"/>
              <w:spacing w:before="0" w:after="283"/>
              <w:ind w:left="0" w:right="0" w:hanging="0"/>
              <w:jc w:val="left"/>
              <w:rPr/>
            </w:pPr>
            <w:hyperlink w:anchor="tANXBA4">
              <w:r>
                <w:rPr>
                  <w:rStyle w:val="InternetLink"/>
                  <w:rFonts w:ascii="Times New Roman;Times;serif" w:hAnsi="Times New Roman;Times;serif"/>
                  <w:color w:val="000000"/>
                  <w:sz w:val="20"/>
                </w:rPr>
                <w:t>Article 4. Shares Subject to the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4">
              <w:r>
                <w:rPr>
                  <w:rStyle w:val="InternetLink"/>
                  <w:rFonts w:ascii="Times New Roman;Times;serif" w:hAnsi="Times New Roman;Times;serif"/>
                  <w:color w:val="000000"/>
                  <w:sz w:val="20"/>
                </w:rPr>
                <w:t>B-7</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41">
              <w:r>
                <w:rPr>
                  <w:rStyle w:val="InternetLink"/>
                  <w:rFonts w:ascii="Times New Roman;Times;serif" w:hAnsi="Times New Roman;Times;serif"/>
                  <w:color w:val="000000"/>
                  <w:sz w:val="20"/>
                </w:rPr>
                <w:t>4.1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41">
              <w:r>
                <w:rPr>
                  <w:rStyle w:val="InternetLink"/>
                  <w:rFonts w:ascii="Times New Roman;Times;serif" w:hAnsi="Times New Roman;Times;serif"/>
                  <w:color w:val="000000"/>
                  <w:sz w:val="20"/>
                </w:rPr>
                <w:t>Number of Shares Available for Grants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41">
              <w:r>
                <w:rPr>
                  <w:rStyle w:val="InternetLink"/>
                  <w:rFonts w:ascii="Times New Roman;Times;serif" w:hAnsi="Times New Roman;Times;serif"/>
                  <w:color w:val="000000"/>
                  <w:sz w:val="20"/>
                </w:rPr>
                <w:t>B-7</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42">
              <w:r>
                <w:rPr>
                  <w:rStyle w:val="InternetLink"/>
                  <w:rFonts w:ascii="Times New Roman;Times;serif" w:hAnsi="Times New Roman;Times;serif"/>
                  <w:color w:val="000000"/>
                  <w:sz w:val="20"/>
                </w:rPr>
                <w:t>4.2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42">
              <w:r>
                <w:rPr>
                  <w:rStyle w:val="InternetLink"/>
                  <w:rFonts w:ascii="Times New Roman;Times;serif" w:hAnsi="Times New Roman;Times;serif"/>
                  <w:color w:val="000000"/>
                  <w:sz w:val="20"/>
                </w:rPr>
                <w:t>Adjustments in Authorized Shares and Awards; Corporate Transaction, Liquidation or Dissolution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42">
              <w:r>
                <w:rPr>
                  <w:rStyle w:val="InternetLink"/>
                  <w:rFonts w:ascii="Times New Roman;Times;serif" w:hAnsi="Times New Roman;Times;serif"/>
                  <w:color w:val="000000"/>
                  <w:sz w:val="20"/>
                </w:rPr>
                <w:t>B-7</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5">
              <w:r>
                <w:rPr>
                  <w:rStyle w:val="InternetLink"/>
                  <w:rFonts w:ascii="Times New Roman;Times;serif" w:hAnsi="Times New Roman;Times;serif"/>
                  <w:color w:val="000000"/>
                  <w:sz w:val="20"/>
                </w:rPr>
                <w:t>Article 5. Eligibility and General Conditions of Awards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5">
              <w:r>
                <w:rPr>
                  <w:rStyle w:val="InternetLink"/>
                  <w:rFonts w:ascii="Times New Roman;Times;serif" w:hAnsi="Times New Roman;Times;serif"/>
                  <w:color w:val="000000"/>
                  <w:sz w:val="20"/>
                </w:rPr>
                <w:t>B-8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51">
              <w:r>
                <w:rPr>
                  <w:rStyle w:val="InternetLink"/>
                  <w:rFonts w:ascii="Times New Roman;Times;serif" w:hAnsi="Times New Roman;Times;serif"/>
                  <w:color w:val="000000"/>
                  <w:sz w:val="20"/>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51">
              <w:r>
                <w:rPr>
                  <w:rStyle w:val="InternetLink"/>
                  <w:rFonts w:ascii="Times New Roman;Times;serif" w:hAnsi="Times New Roman;Times;serif"/>
                  <w:color w:val="000000"/>
                  <w:sz w:val="20"/>
                </w:rPr>
                <w:t>Eligibility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51">
              <w:r>
                <w:rPr>
                  <w:rStyle w:val="InternetLink"/>
                  <w:rFonts w:ascii="Times New Roman;Times;serif" w:hAnsi="Times New Roman;Times;serif"/>
                  <w:color w:val="000000"/>
                  <w:sz w:val="20"/>
                </w:rPr>
                <w:t>B-8</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52">
              <w:r>
                <w:rPr>
                  <w:rStyle w:val="InternetLink"/>
                  <w:rFonts w:ascii="Times New Roman;Times;serif" w:hAnsi="Times New Roman;Times;serif"/>
                  <w:color w:val="000000"/>
                  <w:sz w:val="20"/>
                </w:rPr>
                <w:t>5.2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52">
              <w:r>
                <w:rPr>
                  <w:rStyle w:val="InternetLink"/>
                  <w:rFonts w:ascii="Times New Roman;Times;serif" w:hAnsi="Times New Roman;Times;serif"/>
                  <w:color w:val="000000"/>
                  <w:sz w:val="20"/>
                </w:rPr>
                <w:t>Award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52">
              <w:r>
                <w:rPr>
                  <w:rStyle w:val="InternetLink"/>
                  <w:rFonts w:ascii="Times New Roman;Times;serif" w:hAnsi="Times New Roman;Times;serif"/>
                  <w:color w:val="000000"/>
                  <w:sz w:val="20"/>
                </w:rPr>
                <w:t>B-8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53">
              <w:r>
                <w:rPr>
                  <w:rStyle w:val="InternetLink"/>
                  <w:rFonts w:ascii="Times New Roman;Times;serif" w:hAnsi="Times New Roman;Times;serif"/>
                  <w:color w:val="000000"/>
                  <w:sz w:val="20"/>
                </w:rPr>
                <w:t>5.3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53">
              <w:r>
                <w:rPr>
                  <w:rStyle w:val="InternetLink"/>
                  <w:rFonts w:ascii="Times New Roman;Times;serif" w:hAnsi="Times New Roman;Times;serif"/>
                  <w:color w:val="000000"/>
                  <w:sz w:val="20"/>
                </w:rPr>
                <w:t>General Terms and Termination of Affiliation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53">
              <w:r>
                <w:rPr>
                  <w:rStyle w:val="InternetLink"/>
                  <w:rFonts w:ascii="Times New Roman;Times;serif" w:hAnsi="Times New Roman;Times;serif"/>
                  <w:color w:val="000000"/>
                  <w:sz w:val="20"/>
                </w:rPr>
                <w:t>B-8</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54">
              <w:r>
                <w:rPr>
                  <w:rStyle w:val="InternetLink"/>
                  <w:rFonts w:ascii="Times New Roman;Times;serif" w:hAnsi="Times New Roman;Times;serif"/>
                  <w:color w:val="000000"/>
                  <w:sz w:val="20"/>
                </w:rPr>
                <w:t>5.4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54">
              <w:r>
                <w:rPr>
                  <w:rStyle w:val="InternetLink"/>
                  <w:rFonts w:ascii="Times New Roman;Times;serif" w:hAnsi="Times New Roman;Times;serif"/>
                  <w:color w:val="000000"/>
                  <w:sz w:val="20"/>
                </w:rPr>
                <w:t>Nontransferability of Awards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54">
              <w:r>
                <w:rPr>
                  <w:rStyle w:val="InternetLink"/>
                  <w:rFonts w:ascii="Times New Roman;Times;serif" w:hAnsi="Times New Roman;Times;serif"/>
                  <w:color w:val="000000"/>
                  <w:sz w:val="20"/>
                </w:rPr>
                <w:t>B-8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55">
              <w:r>
                <w:rPr>
                  <w:rStyle w:val="InternetLink"/>
                  <w:rFonts w:ascii="Times New Roman;Times;serif" w:hAnsi="Times New Roman;Times;serif"/>
                  <w:color w:val="000000"/>
                  <w:sz w:val="20"/>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55">
              <w:r>
                <w:rPr>
                  <w:rStyle w:val="InternetLink"/>
                  <w:rFonts w:ascii="Times New Roman;Times;serif" w:hAnsi="Times New Roman;Times;serif"/>
                  <w:color w:val="000000"/>
                  <w:sz w:val="20"/>
                </w:rPr>
                <w:t>Cancellation and Rescission of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55">
              <w:r>
                <w:rPr>
                  <w:rStyle w:val="InternetLink"/>
                  <w:rFonts w:ascii="Times New Roman;Times;serif" w:hAnsi="Times New Roman;Times;serif"/>
                  <w:color w:val="000000"/>
                  <w:sz w:val="20"/>
                </w:rPr>
                <w:t>B-9</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56">
              <w:r>
                <w:rPr>
                  <w:rStyle w:val="InternetLink"/>
                  <w:rFonts w:ascii="Times New Roman;Times;serif" w:hAnsi="Times New Roman;Times;serif"/>
                  <w:color w:val="000000"/>
                  <w:sz w:val="20"/>
                </w:rPr>
                <w:t>5.6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56">
              <w:r>
                <w:rPr>
                  <w:rStyle w:val="InternetLink"/>
                  <w:rFonts w:ascii="Times New Roman;Times;serif" w:hAnsi="Times New Roman;Times;serif"/>
                  <w:color w:val="000000"/>
                  <w:sz w:val="20"/>
                </w:rPr>
                <w:t>Stand-Alone, Tandem and Substitute Awards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56">
              <w:r>
                <w:rPr>
                  <w:rStyle w:val="InternetLink"/>
                  <w:rFonts w:ascii="Times New Roman;Times;serif" w:hAnsi="Times New Roman;Times;serif"/>
                  <w:color w:val="000000"/>
                  <w:sz w:val="20"/>
                </w:rPr>
                <w:t>B-9</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57">
              <w:r>
                <w:rPr>
                  <w:rStyle w:val="InternetLink"/>
                  <w:rFonts w:ascii="Times New Roman;Times;serif" w:hAnsi="Times New Roman;Times;serif"/>
                  <w:color w:val="000000"/>
                  <w:sz w:val="20"/>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57">
              <w:r>
                <w:rPr>
                  <w:rStyle w:val="InternetLink"/>
                  <w:rFonts w:ascii="Times New Roman;Times;serif" w:hAnsi="Times New Roman;Times;serif"/>
                  <w:color w:val="000000"/>
                  <w:sz w:val="20"/>
                </w:rPr>
                <w:t>Compliance with Rule 16b-3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57">
              <w:r>
                <w:rPr>
                  <w:rStyle w:val="InternetLink"/>
                  <w:rFonts w:ascii="Times New Roman;Times;serif" w:hAnsi="Times New Roman;Times;serif"/>
                  <w:color w:val="000000"/>
                  <w:sz w:val="20"/>
                </w:rPr>
                <w:t>B-10</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58">
              <w:r>
                <w:rPr>
                  <w:rStyle w:val="InternetLink"/>
                  <w:rFonts w:ascii="Times New Roman;Times;serif" w:hAnsi="Times New Roman;Times;serif"/>
                  <w:color w:val="000000"/>
                  <w:sz w:val="20"/>
                </w:rPr>
                <w:t>5.8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58">
              <w:r>
                <w:rPr>
                  <w:rStyle w:val="InternetLink"/>
                  <w:rFonts w:ascii="Times New Roman;Times;serif" w:hAnsi="Times New Roman;Times;serif"/>
                  <w:color w:val="000000"/>
                  <w:sz w:val="20"/>
                </w:rPr>
                <w:t>Deferral of Award Payouts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58">
              <w:r>
                <w:rPr>
                  <w:rStyle w:val="InternetLink"/>
                  <w:rFonts w:ascii="Times New Roman;Times;serif" w:hAnsi="Times New Roman;Times;serif"/>
                  <w:color w:val="000000"/>
                  <w:sz w:val="20"/>
                </w:rPr>
                <w:t>B-10</w:t>
              </w:r>
            </w:hyperlink>
          </w:p>
        </w:tc>
      </w:tr>
      <w:tr>
        <w:trPr/>
        <w:tc>
          <w:tcPr>
            <w:tcW w:w="9260" w:type="dxa"/>
            <w:gridSpan w:val="7"/>
            <w:tcBorders/>
            <w:vAlign w:val="center"/>
          </w:tcPr>
          <w:p>
            <w:pPr>
              <w:pStyle w:val="TableContents"/>
              <w:bidi w:val="0"/>
              <w:spacing w:before="0" w:after="283"/>
              <w:ind w:left="0" w:right="0" w:hanging="0"/>
              <w:jc w:val="left"/>
              <w:rPr/>
            </w:pPr>
            <w:hyperlink w:anchor="tANXBA6">
              <w:r>
                <w:rPr>
                  <w:rStyle w:val="InternetLink"/>
                  <w:rFonts w:ascii="Times New Roman;Times;serif" w:hAnsi="Times New Roman;Times;serif"/>
                  <w:color w:val="000000"/>
                  <w:sz w:val="20"/>
                </w:rPr>
                <w:t>Article 6. Stock Options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6">
              <w:r>
                <w:rPr>
                  <w:rStyle w:val="InternetLink"/>
                  <w:rFonts w:ascii="Times New Roman;Times;serif" w:hAnsi="Times New Roman;Times;serif"/>
                  <w:color w:val="000000"/>
                  <w:sz w:val="20"/>
                </w:rPr>
                <w:t>B-10</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61">
              <w:r>
                <w:rPr>
                  <w:rStyle w:val="InternetLink"/>
                  <w:rFonts w:ascii="Times New Roman;Times;serif" w:hAnsi="Times New Roman;Times;serif"/>
                  <w:color w:val="000000"/>
                  <w:sz w:val="20"/>
                </w:rPr>
                <w:t>6.1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61">
              <w:r>
                <w:rPr>
                  <w:rStyle w:val="InternetLink"/>
                  <w:rFonts w:ascii="Times New Roman;Times;serif" w:hAnsi="Times New Roman;Times;serif"/>
                  <w:color w:val="000000"/>
                  <w:sz w:val="20"/>
                </w:rPr>
                <w:t>Grant of Options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61">
              <w:r>
                <w:rPr>
                  <w:rStyle w:val="InternetLink"/>
                  <w:rFonts w:ascii="Times New Roman;Times;serif" w:hAnsi="Times New Roman;Times;serif"/>
                  <w:color w:val="000000"/>
                  <w:sz w:val="20"/>
                </w:rPr>
                <w:t>B-10</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62">
              <w:r>
                <w:rPr>
                  <w:rStyle w:val="InternetLink"/>
                  <w:rFonts w:ascii="Times New Roman;Times;serif" w:hAnsi="Times New Roman;Times;serif"/>
                  <w:color w:val="000000"/>
                  <w:sz w:val="20"/>
                </w:rPr>
                <w:t>6.2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62">
              <w:r>
                <w:rPr>
                  <w:rStyle w:val="InternetLink"/>
                  <w:rFonts w:ascii="Times New Roman;Times;serif" w:hAnsi="Times New Roman;Times;serif"/>
                  <w:color w:val="000000"/>
                  <w:sz w:val="20"/>
                </w:rPr>
                <w:t>Award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62">
              <w:r>
                <w:rPr>
                  <w:rStyle w:val="InternetLink"/>
                  <w:rFonts w:ascii="Times New Roman;Times;serif" w:hAnsi="Times New Roman;Times;serif"/>
                  <w:color w:val="000000"/>
                  <w:sz w:val="20"/>
                </w:rPr>
                <w:t>B-10</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63">
              <w:r>
                <w:rPr>
                  <w:rStyle w:val="InternetLink"/>
                  <w:rFonts w:ascii="Times New Roman;Times;serif" w:hAnsi="Times New Roman;Times;serif"/>
                  <w:color w:val="000000"/>
                  <w:sz w:val="20"/>
                </w:rPr>
                <w:t>6.3</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63">
              <w:r>
                <w:rPr>
                  <w:rStyle w:val="InternetLink"/>
                  <w:rFonts w:ascii="Times New Roman;Times;serif" w:hAnsi="Times New Roman;Times;serif"/>
                  <w:color w:val="000000"/>
                  <w:sz w:val="20"/>
                </w:rPr>
                <w:t>Option Exercise Price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63">
              <w:r>
                <w:rPr>
                  <w:rStyle w:val="InternetLink"/>
                  <w:rFonts w:ascii="Times New Roman;Times;serif" w:hAnsi="Times New Roman;Times;serif"/>
                  <w:color w:val="000000"/>
                  <w:sz w:val="20"/>
                </w:rPr>
                <w:t>B-10</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64">
              <w:r>
                <w:rPr>
                  <w:rStyle w:val="InternetLink"/>
                  <w:rFonts w:ascii="Times New Roman;Times;serif" w:hAnsi="Times New Roman;Times;serif"/>
                  <w:color w:val="000000"/>
                  <w:sz w:val="20"/>
                </w:rPr>
                <w:t>6.4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64">
              <w:r>
                <w:rPr>
                  <w:rStyle w:val="InternetLink"/>
                  <w:rFonts w:ascii="Times New Roman;Times;serif" w:hAnsi="Times New Roman;Times;serif"/>
                  <w:color w:val="000000"/>
                  <w:sz w:val="20"/>
                </w:rPr>
                <w:t>Grant of Incentive Stock Options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64">
              <w:r>
                <w:rPr>
                  <w:rStyle w:val="InternetLink"/>
                  <w:rFonts w:ascii="Times New Roman;Times;serif" w:hAnsi="Times New Roman;Times;serif"/>
                  <w:color w:val="000000"/>
                  <w:sz w:val="20"/>
                </w:rPr>
                <w:t>B-11</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65">
              <w:r>
                <w:rPr>
                  <w:rStyle w:val="InternetLink"/>
                  <w:rFonts w:ascii="Times New Roman;Times;serif" w:hAnsi="Times New Roman;Times;serif"/>
                  <w:color w:val="000000"/>
                  <w:sz w:val="20"/>
                </w:rPr>
                <w:t>6.5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65">
              <w:r>
                <w:rPr>
                  <w:rStyle w:val="InternetLink"/>
                  <w:rFonts w:ascii="Times New Roman;Times;serif" w:hAnsi="Times New Roman;Times;serif"/>
                  <w:color w:val="000000"/>
                  <w:sz w:val="20"/>
                </w:rPr>
                <w:t>Payment of Exercise Price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65">
              <w:r>
                <w:rPr>
                  <w:rStyle w:val="InternetLink"/>
                  <w:rFonts w:ascii="Times New Roman;Times;serif" w:hAnsi="Times New Roman;Times;serif"/>
                  <w:color w:val="000000"/>
                  <w:sz w:val="20"/>
                </w:rPr>
                <w:t>B-11</w:t>
              </w:r>
            </w:hyperlink>
          </w:p>
        </w:tc>
      </w:tr>
      <w:tr>
        <w:trPr/>
        <w:tc>
          <w:tcPr>
            <w:tcW w:w="9260" w:type="dxa"/>
            <w:gridSpan w:val="7"/>
            <w:tcBorders/>
            <w:vAlign w:val="center"/>
          </w:tcPr>
          <w:p>
            <w:pPr>
              <w:pStyle w:val="TableContents"/>
              <w:bidi w:val="0"/>
              <w:spacing w:before="0" w:after="283"/>
              <w:ind w:left="0" w:right="0" w:hanging="0"/>
              <w:jc w:val="left"/>
              <w:rPr/>
            </w:pPr>
            <w:hyperlink w:anchor="tANXBA7">
              <w:r>
                <w:rPr>
                  <w:rStyle w:val="InternetLink"/>
                  <w:rFonts w:ascii="Times New Roman;Times;serif" w:hAnsi="Times New Roman;Times;serif"/>
                  <w:color w:val="000000"/>
                  <w:sz w:val="20"/>
                </w:rPr>
                <w:t>Article 7. Stock Appreciation Rights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7">
              <w:r>
                <w:rPr>
                  <w:rStyle w:val="InternetLink"/>
                  <w:rFonts w:ascii="Times New Roman;Times;serif" w:hAnsi="Times New Roman;Times;serif"/>
                  <w:color w:val="000000"/>
                  <w:sz w:val="20"/>
                </w:rPr>
                <w:t>B-12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71">
              <w:r>
                <w:rPr>
                  <w:rStyle w:val="InternetLink"/>
                  <w:rFonts w:ascii="Times New Roman;Times;serif" w:hAnsi="Times New Roman;Times;serif"/>
                  <w:color w:val="000000"/>
                  <w:sz w:val="20"/>
                </w:rPr>
                <w:t>7.1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71">
              <w:r>
                <w:rPr>
                  <w:rStyle w:val="InternetLink"/>
                  <w:rFonts w:ascii="Times New Roman;Times;serif" w:hAnsi="Times New Roman;Times;serif"/>
                  <w:color w:val="000000"/>
                  <w:sz w:val="20"/>
                </w:rPr>
                <w:t>Issuance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71">
              <w:r>
                <w:rPr>
                  <w:rStyle w:val="InternetLink"/>
                  <w:rFonts w:ascii="Times New Roman;Times;serif" w:hAnsi="Times New Roman;Times;serif"/>
                  <w:color w:val="000000"/>
                  <w:sz w:val="20"/>
                </w:rPr>
                <w:t>B-12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72">
              <w:r>
                <w:rPr>
                  <w:rStyle w:val="InternetLink"/>
                  <w:rFonts w:ascii="Times New Roman;Times;serif" w:hAnsi="Times New Roman;Times;serif"/>
                  <w:color w:val="000000"/>
                  <w:sz w:val="20"/>
                </w:rPr>
                <w:t>7.2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72">
              <w:r>
                <w:rPr>
                  <w:rStyle w:val="InternetLink"/>
                  <w:rFonts w:ascii="Times New Roman;Times;serif" w:hAnsi="Times New Roman;Times;serif"/>
                  <w:color w:val="000000"/>
                  <w:sz w:val="20"/>
                </w:rPr>
                <w:t>Award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72">
              <w:r>
                <w:rPr>
                  <w:rStyle w:val="InternetLink"/>
                  <w:rFonts w:ascii="Times New Roman;Times;serif" w:hAnsi="Times New Roman;Times;serif"/>
                  <w:color w:val="000000"/>
                  <w:sz w:val="20"/>
                </w:rPr>
                <w:t>B-12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73">
              <w:r>
                <w:rPr>
                  <w:rStyle w:val="InternetLink"/>
                  <w:rFonts w:ascii="Times New Roman;Times;serif" w:hAnsi="Times New Roman;Times;serif"/>
                  <w:color w:val="000000"/>
                  <w:sz w:val="20"/>
                </w:rPr>
                <w:t>7.3</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73">
              <w:r>
                <w:rPr>
                  <w:rStyle w:val="InternetLink"/>
                  <w:rFonts w:ascii="Times New Roman;Times;serif" w:hAnsi="Times New Roman;Times;serif"/>
                  <w:color w:val="000000"/>
                  <w:sz w:val="20"/>
                </w:rPr>
                <w:t>SAR Exercise Price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73">
              <w:r>
                <w:rPr>
                  <w:rStyle w:val="InternetLink"/>
                  <w:rFonts w:ascii="Times New Roman;Times;serif" w:hAnsi="Times New Roman;Times;serif"/>
                  <w:color w:val="000000"/>
                  <w:sz w:val="20"/>
                </w:rPr>
                <w:t>B-12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74">
              <w:r>
                <w:rPr>
                  <w:rStyle w:val="InternetLink"/>
                  <w:rFonts w:ascii="Times New Roman;Times;serif" w:hAnsi="Times New Roman;Times;serif"/>
                  <w:color w:val="000000"/>
                  <w:sz w:val="20"/>
                </w:rPr>
                <w:t>7.4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74">
              <w:r>
                <w:rPr>
                  <w:rStyle w:val="InternetLink"/>
                  <w:rFonts w:ascii="Times New Roman;Times;serif" w:hAnsi="Times New Roman;Times;serif"/>
                  <w:color w:val="000000"/>
                  <w:sz w:val="20"/>
                </w:rPr>
                <w:t>Exercise and Payment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74">
              <w:r>
                <w:rPr>
                  <w:rStyle w:val="InternetLink"/>
                  <w:rFonts w:ascii="Times New Roman;Times;serif" w:hAnsi="Times New Roman;Times;serif"/>
                  <w:color w:val="000000"/>
                  <w:sz w:val="20"/>
                </w:rPr>
                <w:t>B-12</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8">
              <w:r>
                <w:rPr>
                  <w:rStyle w:val="InternetLink"/>
                  <w:rFonts w:ascii="Times New Roman;Times;serif" w:hAnsi="Times New Roman;Times;serif"/>
                  <w:color w:val="000000"/>
                  <w:sz w:val="20"/>
                </w:rPr>
                <w:t>Article 8. Restricted Shares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8">
              <w:r>
                <w:rPr>
                  <w:rStyle w:val="InternetLink"/>
                  <w:rFonts w:ascii="Times New Roman;Times;serif" w:hAnsi="Times New Roman;Times;serif"/>
                  <w:color w:val="000000"/>
                  <w:sz w:val="20"/>
                </w:rPr>
                <w:t>B-12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81">
              <w:r>
                <w:rPr>
                  <w:rStyle w:val="InternetLink"/>
                  <w:rFonts w:ascii="Times New Roman;Times;serif" w:hAnsi="Times New Roman;Times;serif"/>
                  <w:color w:val="000000"/>
                  <w:sz w:val="20"/>
                </w:rPr>
                <w:t>8.1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81">
              <w:r>
                <w:rPr>
                  <w:rStyle w:val="InternetLink"/>
                  <w:rFonts w:ascii="Times New Roman;Times;serif" w:hAnsi="Times New Roman;Times;serif"/>
                  <w:color w:val="000000"/>
                  <w:sz w:val="20"/>
                </w:rPr>
                <w:t>Grant of Restricted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81">
              <w:r>
                <w:rPr>
                  <w:rStyle w:val="InternetLink"/>
                  <w:rFonts w:ascii="Times New Roman;Times;serif" w:hAnsi="Times New Roman;Times;serif"/>
                  <w:color w:val="000000"/>
                  <w:sz w:val="20"/>
                </w:rPr>
                <w:t>B-12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82">
              <w:r>
                <w:rPr>
                  <w:rStyle w:val="InternetLink"/>
                  <w:rFonts w:ascii="Times New Roman;Times;serif" w:hAnsi="Times New Roman;Times;serif"/>
                  <w:color w:val="000000"/>
                  <w:sz w:val="20"/>
                </w:rPr>
                <w:t>8.2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82">
              <w:r>
                <w:rPr>
                  <w:rStyle w:val="InternetLink"/>
                  <w:rFonts w:ascii="Times New Roman;Times;serif" w:hAnsi="Times New Roman;Times;serif"/>
                  <w:color w:val="000000"/>
                  <w:sz w:val="20"/>
                </w:rPr>
                <w:t>Award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82">
              <w:r>
                <w:rPr>
                  <w:rStyle w:val="InternetLink"/>
                  <w:rFonts w:ascii="Times New Roman;Times;serif" w:hAnsi="Times New Roman;Times;serif"/>
                  <w:color w:val="000000"/>
                  <w:sz w:val="20"/>
                </w:rPr>
                <w:t>B-12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83">
              <w:r>
                <w:rPr>
                  <w:rStyle w:val="InternetLink"/>
                  <w:rFonts w:ascii="Times New Roman;Times;serif" w:hAnsi="Times New Roman;Times;serif"/>
                  <w:color w:val="000000"/>
                  <w:sz w:val="20"/>
                </w:rPr>
                <w:t>8.3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83">
              <w:r>
                <w:rPr>
                  <w:rStyle w:val="InternetLink"/>
                  <w:rFonts w:ascii="Times New Roman;Times;serif" w:hAnsi="Times New Roman;Times;serif"/>
                  <w:color w:val="000000"/>
                  <w:sz w:val="20"/>
                </w:rPr>
                <w:t>Consideration for Restricted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83">
              <w:r>
                <w:rPr>
                  <w:rStyle w:val="InternetLink"/>
                  <w:rFonts w:ascii="Times New Roman;Times;serif" w:hAnsi="Times New Roman;Times;serif"/>
                  <w:color w:val="000000"/>
                  <w:sz w:val="20"/>
                </w:rPr>
                <w:t>B-12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84">
              <w:r>
                <w:rPr>
                  <w:rStyle w:val="InternetLink"/>
                  <w:rFonts w:ascii="Times New Roman;Times;serif" w:hAnsi="Times New Roman;Times;serif"/>
                  <w:color w:val="000000"/>
                  <w:sz w:val="20"/>
                </w:rPr>
                <w:t>8.4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84">
              <w:r>
                <w:rPr>
                  <w:rStyle w:val="InternetLink"/>
                  <w:rFonts w:ascii="Times New Roman;Times;serif" w:hAnsi="Times New Roman;Times;serif"/>
                  <w:color w:val="000000"/>
                  <w:sz w:val="20"/>
                </w:rPr>
                <w:t>Effect of Forfeiture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84">
              <w:r>
                <w:rPr>
                  <w:rStyle w:val="InternetLink"/>
                  <w:rFonts w:ascii="Times New Roman;Times;serif" w:hAnsi="Times New Roman;Times;serif"/>
                  <w:color w:val="000000"/>
                  <w:sz w:val="20"/>
                </w:rPr>
                <w:t>B-12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85">
              <w:r>
                <w:rPr>
                  <w:rStyle w:val="InternetLink"/>
                  <w:rFonts w:ascii="Times New Roman;Times;serif" w:hAnsi="Times New Roman;Times;serif"/>
                  <w:color w:val="000000"/>
                  <w:sz w:val="20"/>
                </w:rPr>
                <w:t>8.5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85">
              <w:r>
                <w:rPr>
                  <w:rStyle w:val="InternetLink"/>
                  <w:rFonts w:ascii="Times New Roman;Times;serif" w:hAnsi="Times New Roman;Times;serif"/>
                  <w:color w:val="000000"/>
                  <w:sz w:val="20"/>
                </w:rPr>
                <w:t>Escrow; Legends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85">
              <w:r>
                <w:rPr>
                  <w:rStyle w:val="InternetLink"/>
                  <w:rFonts w:ascii="Times New Roman;Times;serif" w:hAnsi="Times New Roman;Times;serif"/>
                  <w:color w:val="000000"/>
                  <w:sz w:val="20"/>
                </w:rPr>
                <w:t>B-13</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9">
              <w:r>
                <w:rPr>
                  <w:rStyle w:val="InternetLink"/>
                  <w:rFonts w:ascii="Times New Roman;Times;serif" w:hAnsi="Times New Roman;Times;serif"/>
                  <w:color w:val="000000"/>
                  <w:sz w:val="20"/>
                </w:rPr>
                <w:t>Article 9. Performance Units and Performance Shares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9">
              <w:r>
                <w:rPr>
                  <w:rStyle w:val="InternetLink"/>
                  <w:rFonts w:ascii="Times New Roman;Times;serif" w:hAnsi="Times New Roman;Times;serif"/>
                  <w:color w:val="000000"/>
                  <w:sz w:val="20"/>
                </w:rPr>
                <w:t>B-13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91">
              <w:r>
                <w:rPr>
                  <w:rStyle w:val="InternetLink"/>
                  <w:rFonts w:ascii="Times New Roman;Times;serif" w:hAnsi="Times New Roman;Times;serif"/>
                  <w:color w:val="000000"/>
                  <w:sz w:val="20"/>
                </w:rPr>
                <w:t>9.1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91">
              <w:r>
                <w:rPr>
                  <w:rStyle w:val="InternetLink"/>
                  <w:rFonts w:ascii="Times New Roman;Times;serif" w:hAnsi="Times New Roman;Times;serif"/>
                  <w:color w:val="000000"/>
                  <w:sz w:val="20"/>
                </w:rPr>
                <w:t>Grant of Performance Units and Performance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91">
              <w:r>
                <w:rPr>
                  <w:rStyle w:val="InternetLink"/>
                  <w:rFonts w:ascii="Times New Roman;Times;serif" w:hAnsi="Times New Roman;Times;serif"/>
                  <w:color w:val="000000"/>
                  <w:sz w:val="20"/>
                </w:rPr>
                <w:t>B-13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92">
              <w:r>
                <w:rPr>
                  <w:rStyle w:val="InternetLink"/>
                  <w:rFonts w:ascii="Times New Roman;Times;serif" w:hAnsi="Times New Roman;Times;serif"/>
                  <w:color w:val="000000"/>
                  <w:sz w:val="20"/>
                </w:rPr>
                <w:t>9.2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92">
              <w:r>
                <w:rPr>
                  <w:rStyle w:val="InternetLink"/>
                  <w:rFonts w:ascii="Times New Roman;Times;serif" w:hAnsi="Times New Roman;Times;serif"/>
                  <w:color w:val="000000"/>
                  <w:sz w:val="20"/>
                </w:rPr>
                <w:t>Value/Performance Goals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92">
              <w:r>
                <w:rPr>
                  <w:rStyle w:val="InternetLink"/>
                  <w:rFonts w:ascii="Times New Roman;Times;serif" w:hAnsi="Times New Roman;Times;serif"/>
                  <w:color w:val="000000"/>
                  <w:sz w:val="20"/>
                </w:rPr>
                <w:t>B-13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93">
              <w:r>
                <w:rPr>
                  <w:rStyle w:val="InternetLink"/>
                  <w:rFonts w:ascii="Times New Roman;Times;serif" w:hAnsi="Times New Roman;Times;serif"/>
                  <w:color w:val="000000"/>
                  <w:sz w:val="20"/>
                </w:rPr>
                <w:t>9.3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93">
              <w:r>
                <w:rPr>
                  <w:rStyle w:val="InternetLink"/>
                  <w:rFonts w:ascii="Times New Roman;Times;serif" w:hAnsi="Times New Roman;Times;serif"/>
                  <w:color w:val="000000"/>
                  <w:sz w:val="20"/>
                </w:rPr>
                <w:t>Earning of Performance Units and Performance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93">
              <w:r>
                <w:rPr>
                  <w:rStyle w:val="InternetLink"/>
                  <w:rFonts w:ascii="Times New Roman;Times;serif" w:hAnsi="Times New Roman;Times;serif"/>
                  <w:color w:val="000000"/>
                  <w:sz w:val="20"/>
                </w:rPr>
                <w:t>B-13</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10">
              <w:r>
                <w:rPr>
                  <w:rStyle w:val="InternetLink"/>
                  <w:rFonts w:ascii="Times New Roman;Times;serif" w:hAnsi="Times New Roman;Times;serif"/>
                  <w:color w:val="000000"/>
                  <w:sz w:val="20"/>
                </w:rPr>
                <w:t>Article 10. Deferred Stock and Restricted Stock Units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10">
              <w:r>
                <w:rPr>
                  <w:rStyle w:val="InternetLink"/>
                  <w:rFonts w:ascii="Times New Roman;Times;serif" w:hAnsi="Times New Roman;Times;serif"/>
                  <w:color w:val="000000"/>
                  <w:sz w:val="20"/>
                </w:rPr>
                <w:t>B-13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101">
              <w:r>
                <w:rPr>
                  <w:rStyle w:val="InternetLink"/>
                  <w:rFonts w:ascii="Times New Roman;Times;serif" w:hAnsi="Times New Roman;Times;serif"/>
                  <w:color w:val="000000"/>
                  <w:sz w:val="20"/>
                </w:rPr>
                <w:t>10.1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101">
              <w:r>
                <w:rPr>
                  <w:rStyle w:val="InternetLink"/>
                  <w:rFonts w:ascii="Times New Roman;Times;serif" w:hAnsi="Times New Roman;Times;serif"/>
                  <w:color w:val="000000"/>
                  <w:sz w:val="20"/>
                </w:rPr>
                <w:t>Grant of Deferred Stock and Restricted Stock Units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01">
              <w:r>
                <w:rPr>
                  <w:rStyle w:val="InternetLink"/>
                  <w:rFonts w:ascii="Times New Roman;Times;serif" w:hAnsi="Times New Roman;Times;serif"/>
                  <w:color w:val="000000"/>
                  <w:sz w:val="20"/>
                </w:rPr>
                <w:t>B-13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102">
              <w:r>
                <w:rPr>
                  <w:rStyle w:val="InternetLink"/>
                  <w:rFonts w:ascii="Times New Roman;Times;serif" w:hAnsi="Times New Roman;Times;serif"/>
                  <w:color w:val="000000"/>
                  <w:sz w:val="20"/>
                </w:rPr>
                <w:t>10.2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102">
              <w:r>
                <w:rPr>
                  <w:rStyle w:val="InternetLink"/>
                  <w:rFonts w:ascii="Times New Roman;Times;serif" w:hAnsi="Times New Roman;Times;serif"/>
                  <w:color w:val="000000"/>
                  <w:sz w:val="20"/>
                </w:rPr>
                <w:t>Vesting and Delivery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02">
              <w:r>
                <w:rPr>
                  <w:rStyle w:val="InternetLink"/>
                  <w:rFonts w:ascii="Times New Roman;Times;serif" w:hAnsi="Times New Roman;Times;serif"/>
                  <w:color w:val="000000"/>
                  <w:sz w:val="20"/>
                </w:rPr>
                <w:t>B-13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103">
              <w:r>
                <w:rPr>
                  <w:rStyle w:val="InternetLink"/>
                  <w:rFonts w:ascii="Times New Roman;Times;serif" w:hAnsi="Times New Roman;Times;serif"/>
                  <w:color w:val="000000"/>
                  <w:sz w:val="20"/>
                </w:rPr>
                <w:t>10.3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103">
              <w:r>
                <w:rPr>
                  <w:rStyle w:val="InternetLink"/>
                  <w:rFonts w:ascii="Times New Roman;Times;serif" w:hAnsi="Times New Roman;Times;serif"/>
                  <w:color w:val="000000"/>
                  <w:sz w:val="20"/>
                </w:rPr>
                <w:t>Voting and Dividend Equivalent Rights Attributable to Deferred Stock and Restricted Stock Units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03">
              <w:r>
                <w:rPr>
                  <w:rStyle w:val="InternetLink"/>
                  <w:rFonts w:ascii="Times New Roman;Times;serif" w:hAnsi="Times New Roman;Times;serif"/>
                  <w:color w:val="000000"/>
                  <w:sz w:val="20"/>
                </w:rPr>
                <w:t>B-14</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11">
              <w:r>
                <w:rPr>
                  <w:rStyle w:val="InternetLink"/>
                  <w:rFonts w:ascii="Times New Roman;Times;serif" w:hAnsi="Times New Roman;Times;serif"/>
                  <w:color w:val="000000"/>
                  <w:sz w:val="20"/>
                </w:rPr>
                <w:t>Article 11. Dividend Equivalents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11">
              <w:r>
                <w:rPr>
                  <w:rStyle w:val="InternetLink"/>
                  <w:rFonts w:ascii="Times New Roman;Times;serif" w:hAnsi="Times New Roman;Times;serif"/>
                  <w:color w:val="000000"/>
                  <w:sz w:val="20"/>
                </w:rPr>
                <w:t>B-14</w:t>
              </w:r>
            </w:hyperlink>
          </w:p>
        </w:tc>
      </w:tr>
      <w:tr>
        <w:trPr/>
        <w:tc>
          <w:tcPr>
            <w:tcW w:w="9260" w:type="dxa"/>
            <w:gridSpan w:val="7"/>
            <w:tcBorders/>
            <w:vAlign w:val="center"/>
          </w:tcPr>
          <w:p>
            <w:pPr>
              <w:pStyle w:val="TableContents"/>
              <w:bidi w:val="0"/>
              <w:spacing w:before="0" w:after="283"/>
              <w:ind w:left="0" w:right="0" w:hanging="0"/>
              <w:jc w:val="left"/>
              <w:rPr/>
            </w:pPr>
            <w:hyperlink w:anchor="tANXBA12">
              <w:r>
                <w:rPr>
                  <w:rStyle w:val="InternetLink"/>
                  <w:rFonts w:ascii="Times New Roman;Times;serif" w:hAnsi="Times New Roman;Times;serif"/>
                  <w:color w:val="000000"/>
                  <w:sz w:val="20"/>
                </w:rPr>
                <w:t>Article 12. Bonus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12">
              <w:r>
                <w:rPr>
                  <w:rStyle w:val="InternetLink"/>
                  <w:rFonts w:ascii="Times New Roman;Times;serif" w:hAnsi="Times New Roman;Times;serif"/>
                  <w:color w:val="000000"/>
                  <w:sz w:val="20"/>
                </w:rPr>
                <w:t>B-14</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13">
              <w:r>
                <w:rPr>
                  <w:rStyle w:val="InternetLink"/>
                  <w:rFonts w:ascii="Times New Roman;Times;serif" w:hAnsi="Times New Roman;Times;serif"/>
                  <w:color w:val="000000"/>
                  <w:sz w:val="20"/>
                </w:rPr>
                <w:t>Article 13. Other Stock-Based Awards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13">
              <w:r>
                <w:rPr>
                  <w:rStyle w:val="InternetLink"/>
                  <w:rFonts w:ascii="Times New Roman;Times;serif" w:hAnsi="Times New Roman;Times;serif"/>
                  <w:color w:val="000000"/>
                  <w:sz w:val="20"/>
                </w:rPr>
                <w:t>B-14</w:t>
              </w:r>
            </w:hyperlink>
          </w:p>
        </w:tc>
      </w:tr>
      <w:tr>
        <w:trPr/>
        <w:tc>
          <w:tcPr>
            <w:tcW w:w="9260" w:type="dxa"/>
            <w:gridSpan w:val="7"/>
            <w:tcBorders/>
            <w:vAlign w:val="center"/>
          </w:tcPr>
          <w:p>
            <w:pPr>
              <w:pStyle w:val="TableContents"/>
              <w:bidi w:val="0"/>
              <w:spacing w:before="0" w:after="283"/>
              <w:ind w:left="0" w:right="0" w:hanging="0"/>
              <w:jc w:val="left"/>
              <w:rPr/>
            </w:pPr>
            <w:hyperlink w:anchor="tANXBA14">
              <w:r>
                <w:rPr>
                  <w:rStyle w:val="InternetLink"/>
                  <w:rFonts w:ascii="Times New Roman;Times;serif" w:hAnsi="Times New Roman;Times;serif"/>
                  <w:color w:val="000000"/>
                  <w:sz w:val="20"/>
                </w:rPr>
                <w:t>Article 14. Non-Employee Director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14">
              <w:r>
                <w:rPr>
                  <w:rStyle w:val="InternetLink"/>
                  <w:rFonts w:ascii="Times New Roman;Times;serif" w:hAnsi="Times New Roman;Times;serif"/>
                  <w:color w:val="000000"/>
                  <w:sz w:val="20"/>
                </w:rPr>
                <w:t>B-15</w:t>
              </w:r>
            </w:hyperlink>
          </w:p>
        </w:tc>
      </w:tr>
      <w:tr>
        <w:trPr/>
        <w:tc>
          <w:tcPr>
            <w:tcW w:w="926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B-ii</w:t>
      </w:r>
    </w:p>
    <w:p>
      <w:pPr>
        <w:pStyle w:val="HorizontalLine"/>
        <w:bidi w:val="0"/>
        <w:spacing w:before="200" w:after="200"/>
        <w:jc w:val="left"/>
        <w:rPr/>
      </w:pPr>
      <w:r>
        <w:rPr/>
      </w:r>
    </w:p>
    <w:p>
      <w:pPr>
        <w:pStyle w:val="TextBody"/>
        <w:bidi w:val="0"/>
        <w:jc w:val="left"/>
        <w:rPr/>
      </w:pPr>
      <w:hyperlink w:anchor="TOC">
        <w:bookmarkStart w:id="73" w:name="ny20080978x2_def14a_301-annexb_pg4"/>
        <w:bookmarkEnd w:id="73"/>
        <w:r>
          <w:rPr>
            <w:rStyle w:val="InternetLink"/>
            <w:rFonts w:ascii="Times New Roman;Times;Serif" w:hAnsi="Times New Roman;Times;Serif"/>
            <w:b/>
            <w:caps w:val="false"/>
            <w:smallCaps w:val="false"/>
            <w:color w:val="000000"/>
            <w:sz w:val="16"/>
          </w:rPr>
          <w:t>TABLE OF CONTENTS</w:t>
        </w:r>
      </w:hyperlink>
    </w:p>
    <w:tbl>
      <w:tblPr>
        <w:tblW w:w="6140" w:type="dxa"/>
        <w:jc w:val="left"/>
        <w:tblInd w:w="0" w:type="dxa"/>
        <w:tblLayout w:type="fixed"/>
        <w:tblCellMar>
          <w:top w:w="0" w:type="dxa"/>
          <w:left w:w="0" w:type="dxa"/>
          <w:bottom w:w="0" w:type="dxa"/>
          <w:right w:w="0" w:type="dxa"/>
        </w:tblCellMar>
      </w:tblPr>
      <w:tblGrid>
        <w:gridCol w:w="185"/>
        <w:gridCol w:w="170"/>
        <w:gridCol w:w="170"/>
        <w:gridCol w:w="515"/>
        <w:gridCol w:w="170"/>
        <w:gridCol w:w="170"/>
        <w:gridCol w:w="3815"/>
        <w:gridCol w:w="170"/>
        <w:gridCol w:w="170"/>
        <w:gridCol w:w="60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4"/>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195" w:type="dxa"/>
            <w:gridSpan w:val="7"/>
            <w:tcBorders/>
            <w:shd w:fill="CCEEFF" w:val="clear"/>
            <w:vAlign w:val="center"/>
          </w:tcPr>
          <w:p>
            <w:pPr>
              <w:pStyle w:val="TableContents"/>
              <w:bidi w:val="0"/>
              <w:spacing w:before="0" w:after="283"/>
              <w:ind w:left="0" w:right="0" w:hanging="0"/>
              <w:jc w:val="left"/>
              <w:rPr/>
            </w:pPr>
            <w:hyperlink w:anchor="tANXBA15">
              <w:r>
                <w:rPr>
                  <w:rStyle w:val="InternetLink"/>
                  <w:rFonts w:ascii="Times New Roman;Times;serif" w:hAnsi="Times New Roman;Times;serif"/>
                  <w:color w:val="000000"/>
                  <w:sz w:val="20"/>
                </w:rPr>
                <w:t>Article 15. Amendment, Modification, and Termination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15">
              <w:r>
                <w:rPr>
                  <w:rStyle w:val="InternetLink"/>
                  <w:rFonts w:ascii="Times New Roman;Times;serif" w:hAnsi="Times New Roman;Times;serif"/>
                  <w:color w:val="000000"/>
                  <w:sz w:val="20"/>
                </w:rPr>
                <w:t>B-15</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51">
              <w:r>
                <w:rPr>
                  <w:rStyle w:val="InternetLink"/>
                  <w:rFonts w:ascii="Times New Roman;Times;serif" w:hAnsi="Times New Roman;Times;serif"/>
                  <w:color w:val="000000"/>
                  <w:sz w:val="20"/>
                </w:rPr>
                <w:t>15.1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51">
              <w:r>
                <w:rPr>
                  <w:rStyle w:val="InternetLink"/>
                  <w:rFonts w:ascii="Times New Roman;Times;serif" w:hAnsi="Times New Roman;Times;serif"/>
                  <w:color w:val="000000"/>
                  <w:sz w:val="20"/>
                </w:rPr>
                <w:t>Amendment, Modification, and Termination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51">
              <w:r>
                <w:rPr>
                  <w:rStyle w:val="InternetLink"/>
                  <w:rFonts w:ascii="Times New Roman;Times;serif" w:hAnsi="Times New Roman;Times;serif"/>
                  <w:color w:val="000000"/>
                  <w:sz w:val="20"/>
                </w:rPr>
                <w:t>B-15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52">
              <w:r>
                <w:rPr>
                  <w:rStyle w:val="InternetLink"/>
                  <w:rFonts w:ascii="Times New Roman;Times;serif" w:hAnsi="Times New Roman;Times;serif"/>
                  <w:color w:val="000000"/>
                  <w:sz w:val="20"/>
                </w:rPr>
                <w:t>15.2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52">
              <w:r>
                <w:rPr>
                  <w:rStyle w:val="InternetLink"/>
                  <w:rFonts w:ascii="Times New Roman;Times;serif" w:hAnsi="Times New Roman;Times;serif"/>
                  <w:color w:val="000000"/>
                  <w:sz w:val="20"/>
                </w:rPr>
                <w:t>Awards Previously Granted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52">
              <w:r>
                <w:rPr>
                  <w:rStyle w:val="InternetLink"/>
                  <w:rFonts w:ascii="Times New Roman;Times;serif" w:hAnsi="Times New Roman;Times;serif"/>
                  <w:color w:val="000000"/>
                  <w:sz w:val="20"/>
                </w:rPr>
                <w:t>B-15</w:t>
              </w:r>
            </w:hyperlink>
          </w:p>
        </w:tc>
      </w:tr>
      <w:tr>
        <w:trPr/>
        <w:tc>
          <w:tcPr>
            <w:tcW w:w="5195" w:type="dxa"/>
            <w:gridSpan w:val="7"/>
            <w:tcBorders/>
            <w:vAlign w:val="center"/>
          </w:tcPr>
          <w:p>
            <w:pPr>
              <w:pStyle w:val="TableContents"/>
              <w:bidi w:val="0"/>
              <w:spacing w:before="0" w:after="283"/>
              <w:ind w:left="0" w:right="0" w:hanging="0"/>
              <w:jc w:val="left"/>
              <w:rPr/>
            </w:pPr>
            <w:hyperlink w:anchor="tANXBA16">
              <w:r>
                <w:rPr>
                  <w:rStyle w:val="InternetLink"/>
                  <w:rFonts w:ascii="Times New Roman;Times;serif" w:hAnsi="Times New Roman;Times;serif"/>
                  <w:color w:val="000000"/>
                  <w:sz w:val="20"/>
                </w:rPr>
                <w:t>Article 16. Compliance with Code Section 409A</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16">
              <w:r>
                <w:rPr>
                  <w:rStyle w:val="InternetLink"/>
                  <w:rFonts w:ascii="Times New Roman;Times;serif" w:hAnsi="Times New Roman;Times;serif"/>
                  <w:color w:val="000000"/>
                  <w:sz w:val="20"/>
                </w:rPr>
                <w:t>B-15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61">
              <w:r>
                <w:rPr>
                  <w:rStyle w:val="InternetLink"/>
                  <w:rFonts w:ascii="Times New Roman;Times;serif" w:hAnsi="Times New Roman;Times;serif"/>
                  <w:color w:val="000000"/>
                  <w:sz w:val="20"/>
                </w:rPr>
                <w:t>16.1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61">
              <w:r>
                <w:rPr>
                  <w:rStyle w:val="InternetLink"/>
                  <w:rFonts w:ascii="Times New Roman;Times;serif" w:hAnsi="Times New Roman;Times;serif"/>
                  <w:color w:val="000000"/>
                  <w:sz w:val="20"/>
                </w:rPr>
                <w:t>Awards Subject to Code Section 409A</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61">
              <w:r>
                <w:rPr>
                  <w:rStyle w:val="InternetLink"/>
                  <w:rFonts w:ascii="Times New Roman;Times;serif" w:hAnsi="Times New Roman;Times;serif"/>
                  <w:color w:val="000000"/>
                  <w:sz w:val="20"/>
                </w:rPr>
                <w:t>B-15</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62">
              <w:r>
                <w:rPr>
                  <w:rStyle w:val="InternetLink"/>
                  <w:rFonts w:ascii="Times New Roman;Times;serif" w:hAnsi="Times New Roman;Times;serif"/>
                  <w:color w:val="000000"/>
                  <w:sz w:val="20"/>
                </w:rPr>
                <w:t>16.2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62">
              <w:r>
                <w:rPr>
                  <w:rStyle w:val="InternetLink"/>
                  <w:rFonts w:ascii="Times New Roman;Times;serif" w:hAnsi="Times New Roman;Times;serif"/>
                  <w:color w:val="000000"/>
                  <w:sz w:val="20"/>
                </w:rPr>
                <w:t>Deferral and/or Distribution Elections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62">
              <w:r>
                <w:rPr>
                  <w:rStyle w:val="InternetLink"/>
                  <w:rFonts w:ascii="Times New Roman;Times;serif" w:hAnsi="Times New Roman;Times;serif"/>
                  <w:color w:val="000000"/>
                  <w:sz w:val="20"/>
                </w:rPr>
                <w:t>B-15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63">
              <w:r>
                <w:rPr>
                  <w:rStyle w:val="InternetLink"/>
                  <w:rFonts w:ascii="Times New Roman;Times;serif" w:hAnsi="Times New Roman;Times;serif"/>
                  <w:color w:val="000000"/>
                  <w:sz w:val="20"/>
                </w:rPr>
                <w:t>16.3</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63">
              <w:r>
                <w:rPr>
                  <w:rStyle w:val="InternetLink"/>
                  <w:rFonts w:ascii="Times New Roman;Times;serif" w:hAnsi="Times New Roman;Times;serif"/>
                  <w:color w:val="000000"/>
                  <w:sz w:val="20"/>
                </w:rPr>
                <w:t>Subsequent Elections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63">
              <w:r>
                <w:rPr>
                  <w:rStyle w:val="InternetLink"/>
                  <w:rFonts w:ascii="Times New Roman;Times;serif" w:hAnsi="Times New Roman;Times;serif"/>
                  <w:color w:val="000000"/>
                  <w:sz w:val="20"/>
                </w:rPr>
                <w:t>B-15</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64">
              <w:r>
                <w:rPr>
                  <w:rStyle w:val="InternetLink"/>
                  <w:rFonts w:ascii="Times New Roman;Times;serif" w:hAnsi="Times New Roman;Times;serif"/>
                  <w:color w:val="000000"/>
                  <w:sz w:val="20"/>
                </w:rPr>
                <w:t>16.4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64">
              <w:r>
                <w:rPr>
                  <w:rStyle w:val="InternetLink"/>
                  <w:rFonts w:ascii="Times New Roman;Times;serif" w:hAnsi="Times New Roman;Times;serif"/>
                  <w:color w:val="000000"/>
                  <w:sz w:val="20"/>
                </w:rPr>
                <w:t>Distributions Pursuant to Deferral Elections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64">
              <w:r>
                <w:rPr>
                  <w:rStyle w:val="InternetLink"/>
                  <w:rFonts w:ascii="Times New Roman;Times;serif" w:hAnsi="Times New Roman;Times;serif"/>
                  <w:color w:val="000000"/>
                  <w:sz w:val="20"/>
                </w:rPr>
                <w:t>B-16</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65">
              <w:r>
                <w:rPr>
                  <w:rStyle w:val="InternetLink"/>
                  <w:rFonts w:ascii="Times New Roman;Times;serif" w:hAnsi="Times New Roman;Times;serif"/>
                  <w:color w:val="000000"/>
                  <w:sz w:val="20"/>
                </w:rPr>
                <w:t>16.5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65">
              <w:r>
                <w:rPr>
                  <w:rStyle w:val="InternetLink"/>
                  <w:rFonts w:ascii="Times New Roman;Times;serif" w:hAnsi="Times New Roman;Times;serif"/>
                  <w:color w:val="000000"/>
                  <w:sz w:val="20"/>
                </w:rPr>
                <w:t>Six Month Delay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65">
              <w:r>
                <w:rPr>
                  <w:rStyle w:val="InternetLink"/>
                  <w:rFonts w:ascii="Times New Roman;Times;serif" w:hAnsi="Times New Roman;Times;serif"/>
                  <w:color w:val="000000"/>
                  <w:sz w:val="20"/>
                </w:rPr>
                <w:t>B-16</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66">
              <w:r>
                <w:rPr>
                  <w:rStyle w:val="InternetLink"/>
                  <w:rFonts w:ascii="Times New Roman;Times;serif" w:hAnsi="Times New Roman;Times;serif"/>
                  <w:color w:val="000000"/>
                  <w:sz w:val="20"/>
                </w:rPr>
                <w:t>16.6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66">
              <w:r>
                <w:rPr>
                  <w:rStyle w:val="InternetLink"/>
                  <w:rFonts w:ascii="Times New Roman;Times;serif" w:hAnsi="Times New Roman;Times;serif"/>
                  <w:color w:val="000000"/>
                  <w:sz w:val="20"/>
                </w:rPr>
                <w:t>Death or Disability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66">
              <w:r>
                <w:rPr>
                  <w:rStyle w:val="InternetLink"/>
                  <w:rFonts w:ascii="Times New Roman;Times;serif" w:hAnsi="Times New Roman;Times;serif"/>
                  <w:color w:val="000000"/>
                  <w:sz w:val="20"/>
                </w:rPr>
                <w:t>B-16</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67">
              <w:r>
                <w:rPr>
                  <w:rStyle w:val="InternetLink"/>
                  <w:rFonts w:ascii="Times New Roman;Times;serif" w:hAnsi="Times New Roman;Times;serif"/>
                  <w:color w:val="000000"/>
                  <w:sz w:val="20"/>
                </w:rPr>
                <w:t>16.7</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67">
              <w:r>
                <w:rPr>
                  <w:rStyle w:val="InternetLink"/>
                  <w:rFonts w:ascii="Times New Roman;Times;serif" w:hAnsi="Times New Roman;Times;serif"/>
                  <w:color w:val="000000"/>
                  <w:sz w:val="20"/>
                </w:rPr>
                <w:t>No Acceleration of Distributions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67">
              <w:r>
                <w:rPr>
                  <w:rStyle w:val="InternetLink"/>
                  <w:rFonts w:ascii="Times New Roman;Times;serif" w:hAnsi="Times New Roman;Times;serif"/>
                  <w:color w:val="000000"/>
                  <w:sz w:val="20"/>
                </w:rPr>
                <w:t>B-16</w:t>
              </w:r>
            </w:hyperlink>
          </w:p>
        </w:tc>
      </w:tr>
      <w:tr>
        <w:trPr/>
        <w:tc>
          <w:tcPr>
            <w:tcW w:w="5195" w:type="dxa"/>
            <w:gridSpan w:val="7"/>
            <w:tcBorders/>
            <w:vAlign w:val="center"/>
          </w:tcPr>
          <w:p>
            <w:pPr>
              <w:pStyle w:val="TableContents"/>
              <w:bidi w:val="0"/>
              <w:spacing w:before="0" w:after="283"/>
              <w:ind w:left="0" w:right="0" w:hanging="0"/>
              <w:jc w:val="left"/>
              <w:rPr/>
            </w:pPr>
            <w:hyperlink w:anchor="tANXBA17">
              <w:r>
                <w:rPr>
                  <w:rStyle w:val="InternetLink"/>
                  <w:rFonts w:ascii="Times New Roman;Times;serif" w:hAnsi="Times New Roman;Times;serif"/>
                  <w:color w:val="000000"/>
                  <w:sz w:val="20"/>
                </w:rPr>
                <w:t>Article 17. Withholding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17">
              <w:r>
                <w:rPr>
                  <w:rStyle w:val="InternetLink"/>
                  <w:rFonts w:ascii="Times New Roman;Times;serif" w:hAnsi="Times New Roman;Times;serif"/>
                  <w:color w:val="000000"/>
                  <w:sz w:val="20"/>
                </w:rPr>
                <w:t>B-16</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71">
              <w:r>
                <w:rPr>
                  <w:rStyle w:val="InternetLink"/>
                  <w:rFonts w:ascii="Times New Roman;Times;serif" w:hAnsi="Times New Roman;Times;serif"/>
                  <w:color w:val="000000"/>
                  <w:sz w:val="20"/>
                </w:rPr>
                <w:t>17.1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71">
              <w:r>
                <w:rPr>
                  <w:rStyle w:val="InternetLink"/>
                  <w:rFonts w:ascii="Times New Roman;Times;serif" w:hAnsi="Times New Roman;Times;serif"/>
                  <w:color w:val="000000"/>
                  <w:sz w:val="20"/>
                </w:rPr>
                <w:t>Required Withholding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71">
              <w:r>
                <w:rPr>
                  <w:rStyle w:val="InternetLink"/>
                  <w:rFonts w:ascii="Times New Roman;Times;serif" w:hAnsi="Times New Roman;Times;serif"/>
                  <w:color w:val="000000"/>
                  <w:sz w:val="20"/>
                </w:rPr>
                <w:t>B-16</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72">
              <w:r>
                <w:rPr>
                  <w:rStyle w:val="InternetLink"/>
                  <w:rFonts w:ascii="Times New Roman;Times;serif" w:hAnsi="Times New Roman;Times;serif"/>
                  <w:color w:val="000000"/>
                  <w:sz w:val="20"/>
                </w:rPr>
                <w:t>17.2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72">
              <w:r>
                <w:rPr>
                  <w:rStyle w:val="InternetLink"/>
                  <w:rFonts w:ascii="Times New Roman;Times;serif" w:hAnsi="Times New Roman;Times;serif"/>
                  <w:color w:val="000000"/>
                  <w:sz w:val="20"/>
                </w:rPr>
                <w:t>Notification under Code Section 83(b)</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72">
              <w:r>
                <w:rPr>
                  <w:rStyle w:val="InternetLink"/>
                  <w:rFonts w:ascii="Times New Roman;Times;serif" w:hAnsi="Times New Roman;Times;serif"/>
                  <w:color w:val="000000"/>
                  <w:sz w:val="20"/>
                </w:rPr>
                <w:t>B-17</w:t>
              </w:r>
            </w:hyperlink>
          </w:p>
        </w:tc>
      </w:tr>
      <w:tr>
        <w:trPr/>
        <w:tc>
          <w:tcPr>
            <w:tcW w:w="5195" w:type="dxa"/>
            <w:gridSpan w:val="7"/>
            <w:tcBorders/>
            <w:shd w:fill="CCEEFF" w:val="clear"/>
            <w:vAlign w:val="center"/>
          </w:tcPr>
          <w:p>
            <w:pPr>
              <w:pStyle w:val="TableContents"/>
              <w:bidi w:val="0"/>
              <w:spacing w:before="0" w:after="283"/>
              <w:ind w:left="0" w:right="0" w:hanging="0"/>
              <w:jc w:val="left"/>
              <w:rPr/>
            </w:pPr>
            <w:hyperlink w:anchor="tANXBA18">
              <w:r>
                <w:rPr>
                  <w:rStyle w:val="InternetLink"/>
                  <w:rFonts w:ascii="Times New Roman;Times;serif" w:hAnsi="Times New Roman;Times;serif"/>
                  <w:color w:val="000000"/>
                  <w:sz w:val="20"/>
                </w:rPr>
                <w:t>Article 18. Additional Provisions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18">
              <w:r>
                <w:rPr>
                  <w:rStyle w:val="InternetLink"/>
                  <w:rFonts w:ascii="Times New Roman;Times;serif" w:hAnsi="Times New Roman;Times;serif"/>
                  <w:color w:val="000000"/>
                  <w:sz w:val="20"/>
                </w:rPr>
                <w:t>B-17</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1">
              <w:r>
                <w:rPr>
                  <w:rStyle w:val="InternetLink"/>
                  <w:rFonts w:ascii="Times New Roman;Times;serif" w:hAnsi="Times New Roman;Times;serif"/>
                  <w:color w:val="000000"/>
                  <w:sz w:val="20"/>
                </w:rPr>
                <w:t>18.1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1">
              <w:r>
                <w:rPr>
                  <w:rStyle w:val="InternetLink"/>
                  <w:rFonts w:ascii="Times New Roman;Times;serif" w:hAnsi="Times New Roman;Times;serif"/>
                  <w:color w:val="000000"/>
                  <w:sz w:val="20"/>
                </w:rPr>
                <w:t>Successors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1">
              <w:r>
                <w:rPr>
                  <w:rStyle w:val="InternetLink"/>
                  <w:rFonts w:ascii="Times New Roman;Times;serif" w:hAnsi="Times New Roman;Times;serif"/>
                  <w:color w:val="000000"/>
                  <w:sz w:val="20"/>
                </w:rPr>
                <w:t>B-17</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2">
              <w:r>
                <w:rPr>
                  <w:rStyle w:val="InternetLink"/>
                  <w:rFonts w:ascii="Times New Roman;Times;serif" w:hAnsi="Times New Roman;Times;serif"/>
                  <w:color w:val="000000"/>
                  <w:sz w:val="20"/>
                </w:rPr>
                <w:t>18.2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2">
              <w:r>
                <w:rPr>
                  <w:rStyle w:val="InternetLink"/>
                  <w:rFonts w:ascii="Times New Roman;Times;serif" w:hAnsi="Times New Roman;Times;serif"/>
                  <w:color w:val="000000"/>
                  <w:sz w:val="20"/>
                </w:rPr>
                <w:t>Severability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2">
              <w:r>
                <w:rPr>
                  <w:rStyle w:val="InternetLink"/>
                  <w:rFonts w:ascii="Times New Roman;Times;serif" w:hAnsi="Times New Roman;Times;serif"/>
                  <w:color w:val="000000"/>
                  <w:sz w:val="20"/>
                </w:rPr>
                <w:t>B-17</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3">
              <w:r>
                <w:rPr>
                  <w:rStyle w:val="InternetLink"/>
                  <w:rFonts w:ascii="Times New Roman;Times;serif" w:hAnsi="Times New Roman;Times;serif"/>
                  <w:color w:val="000000"/>
                  <w:sz w:val="20"/>
                </w:rPr>
                <w:t>18.3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3">
              <w:r>
                <w:rPr>
                  <w:rStyle w:val="InternetLink"/>
                  <w:rFonts w:ascii="Times New Roman;Times;serif" w:hAnsi="Times New Roman;Times;serif"/>
                  <w:color w:val="000000"/>
                  <w:sz w:val="20"/>
                </w:rPr>
                <w:t>Requirements of Law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3">
              <w:r>
                <w:rPr>
                  <w:rStyle w:val="InternetLink"/>
                  <w:rFonts w:ascii="Times New Roman;Times;serif" w:hAnsi="Times New Roman;Times;serif"/>
                  <w:color w:val="000000"/>
                  <w:sz w:val="20"/>
                </w:rPr>
                <w:t>B-17</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4">
              <w:r>
                <w:rPr>
                  <w:rStyle w:val="InternetLink"/>
                  <w:rFonts w:ascii="Times New Roman;Times;serif" w:hAnsi="Times New Roman;Times;serif"/>
                  <w:color w:val="000000"/>
                  <w:sz w:val="20"/>
                </w:rPr>
                <w:t>18.4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4">
              <w:r>
                <w:rPr>
                  <w:rStyle w:val="InternetLink"/>
                  <w:rFonts w:ascii="Times New Roman;Times;serif" w:hAnsi="Times New Roman;Times;serif"/>
                  <w:color w:val="000000"/>
                  <w:sz w:val="20"/>
                </w:rPr>
                <w:t>Securities Law Compliance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4">
              <w:r>
                <w:rPr>
                  <w:rStyle w:val="InternetLink"/>
                  <w:rFonts w:ascii="Times New Roman;Times;serif" w:hAnsi="Times New Roman;Times;serif"/>
                  <w:color w:val="000000"/>
                  <w:sz w:val="20"/>
                </w:rPr>
                <w:t>B-17</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5">
              <w:r>
                <w:rPr>
                  <w:rStyle w:val="InternetLink"/>
                  <w:rFonts w:ascii="Times New Roman;Times;serif" w:hAnsi="Times New Roman;Times;serif"/>
                  <w:color w:val="000000"/>
                  <w:sz w:val="20"/>
                </w:rPr>
                <w:t>18.5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5">
              <w:r>
                <w:rPr>
                  <w:rStyle w:val="InternetLink"/>
                  <w:rFonts w:ascii="Times New Roman;Times;serif" w:hAnsi="Times New Roman;Times;serif"/>
                  <w:color w:val="000000"/>
                  <w:sz w:val="20"/>
                </w:rPr>
                <w:t>Forfeiture Events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5">
              <w:r>
                <w:rPr>
                  <w:rStyle w:val="InternetLink"/>
                  <w:rFonts w:ascii="Times New Roman;Times;serif" w:hAnsi="Times New Roman;Times;serif"/>
                  <w:color w:val="000000"/>
                  <w:sz w:val="20"/>
                </w:rPr>
                <w:t>B-18</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6">
              <w:r>
                <w:rPr>
                  <w:rStyle w:val="InternetLink"/>
                  <w:rFonts w:ascii="Times New Roman;Times;serif" w:hAnsi="Times New Roman;Times;serif"/>
                  <w:color w:val="000000"/>
                  <w:sz w:val="20"/>
                </w:rPr>
                <w:t>18.6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6">
              <w:r>
                <w:rPr>
                  <w:rStyle w:val="InternetLink"/>
                  <w:rFonts w:ascii="Times New Roman;Times;serif" w:hAnsi="Times New Roman;Times;serif"/>
                  <w:color w:val="000000"/>
                  <w:sz w:val="20"/>
                </w:rPr>
                <w:t>No Rights as a Stockholder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6">
              <w:r>
                <w:rPr>
                  <w:rStyle w:val="InternetLink"/>
                  <w:rFonts w:ascii="Times New Roman;Times;serif" w:hAnsi="Times New Roman;Times;serif"/>
                  <w:color w:val="000000"/>
                  <w:sz w:val="20"/>
                </w:rPr>
                <w:t>B-18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7">
              <w:r>
                <w:rPr>
                  <w:rStyle w:val="InternetLink"/>
                  <w:rFonts w:ascii="Times New Roman;Times;serif" w:hAnsi="Times New Roman;Times;serif"/>
                  <w:color w:val="000000"/>
                  <w:sz w:val="20"/>
                </w:rPr>
                <w:t>18.7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7">
              <w:r>
                <w:rPr>
                  <w:rStyle w:val="InternetLink"/>
                  <w:rFonts w:ascii="Times New Roman;Times;serif" w:hAnsi="Times New Roman;Times;serif"/>
                  <w:color w:val="000000"/>
                  <w:sz w:val="20"/>
                </w:rPr>
                <w:t>Nature of Payments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7">
              <w:r>
                <w:rPr>
                  <w:rStyle w:val="InternetLink"/>
                  <w:rFonts w:ascii="Times New Roman;Times;serif" w:hAnsi="Times New Roman;Times;serif"/>
                  <w:color w:val="000000"/>
                  <w:sz w:val="20"/>
                </w:rPr>
                <w:t>B-18</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8">
              <w:r>
                <w:rPr>
                  <w:rStyle w:val="InternetLink"/>
                  <w:rFonts w:ascii="Times New Roman;Times;serif" w:hAnsi="Times New Roman;Times;serif"/>
                  <w:color w:val="000000"/>
                  <w:sz w:val="20"/>
                </w:rPr>
                <w:t>18.8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8">
              <w:r>
                <w:rPr>
                  <w:rStyle w:val="InternetLink"/>
                  <w:rFonts w:ascii="Times New Roman;Times;serif" w:hAnsi="Times New Roman;Times;serif"/>
                  <w:color w:val="000000"/>
                  <w:sz w:val="20"/>
                </w:rPr>
                <w:t>Non-Exclusivity of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8">
              <w:r>
                <w:rPr>
                  <w:rStyle w:val="InternetLink"/>
                  <w:rFonts w:ascii="Times New Roman;Times;serif" w:hAnsi="Times New Roman;Times;serif"/>
                  <w:color w:val="000000"/>
                  <w:sz w:val="20"/>
                </w:rPr>
                <w:t>B-18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9">
              <w:r>
                <w:rPr>
                  <w:rStyle w:val="InternetLink"/>
                  <w:rFonts w:ascii="Times New Roman;Times;serif" w:hAnsi="Times New Roman;Times;serif"/>
                  <w:color w:val="000000"/>
                  <w:sz w:val="20"/>
                </w:rPr>
                <w:t>18.9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9">
              <w:r>
                <w:rPr>
                  <w:rStyle w:val="InternetLink"/>
                  <w:rFonts w:ascii="Times New Roman;Times;serif" w:hAnsi="Times New Roman;Times;serif"/>
                  <w:color w:val="000000"/>
                  <w:sz w:val="20"/>
                </w:rPr>
                <w:t>Governing Law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9">
              <w:r>
                <w:rPr>
                  <w:rStyle w:val="InternetLink"/>
                  <w:rFonts w:ascii="Times New Roman;Times;serif" w:hAnsi="Times New Roman;Times;serif"/>
                  <w:color w:val="000000"/>
                  <w:sz w:val="20"/>
                </w:rPr>
                <w:t>B-18</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10">
              <w:r>
                <w:rPr>
                  <w:rStyle w:val="InternetLink"/>
                  <w:rFonts w:ascii="Times New Roman;Times;serif" w:hAnsi="Times New Roman;Times;serif"/>
                  <w:color w:val="000000"/>
                  <w:sz w:val="20"/>
                </w:rPr>
                <w:t>18.10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10">
              <w:r>
                <w:rPr>
                  <w:rStyle w:val="InternetLink"/>
                  <w:rFonts w:ascii="Times New Roman;Times;serif" w:hAnsi="Times New Roman;Times;serif"/>
                  <w:color w:val="000000"/>
                  <w:sz w:val="20"/>
                </w:rPr>
                <w:t>Unfunded Status of Awards; Creation of Trusts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10">
              <w:r>
                <w:rPr>
                  <w:rStyle w:val="InternetLink"/>
                  <w:rFonts w:ascii="Times New Roman;Times;serif" w:hAnsi="Times New Roman;Times;serif"/>
                  <w:color w:val="000000"/>
                  <w:sz w:val="20"/>
                </w:rPr>
                <w:t>B-18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11">
              <w:r>
                <w:rPr>
                  <w:rStyle w:val="InternetLink"/>
                  <w:rFonts w:ascii="Times New Roman;Times;serif" w:hAnsi="Times New Roman;Times;serif"/>
                  <w:color w:val="000000"/>
                  <w:sz w:val="20"/>
                </w:rPr>
                <w:t>18.11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11">
              <w:r>
                <w:rPr>
                  <w:rStyle w:val="InternetLink"/>
                  <w:rFonts w:ascii="Times New Roman;Times;serif" w:hAnsi="Times New Roman;Times;serif"/>
                  <w:color w:val="000000"/>
                  <w:sz w:val="20"/>
                </w:rPr>
                <w:t>Affiliation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11">
              <w:r>
                <w:rPr>
                  <w:rStyle w:val="InternetLink"/>
                  <w:rFonts w:ascii="Times New Roman;Times;serif" w:hAnsi="Times New Roman;Times;serif"/>
                  <w:color w:val="000000"/>
                  <w:sz w:val="20"/>
                </w:rPr>
                <w:t>B-19</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12">
              <w:r>
                <w:rPr>
                  <w:rStyle w:val="InternetLink"/>
                  <w:rFonts w:ascii="Times New Roman;Times;serif" w:hAnsi="Times New Roman;Times;serif"/>
                  <w:color w:val="000000"/>
                  <w:sz w:val="20"/>
                </w:rPr>
                <w:t>18.12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12">
              <w:r>
                <w:rPr>
                  <w:rStyle w:val="InternetLink"/>
                  <w:rFonts w:ascii="Times New Roman;Times;serif" w:hAnsi="Times New Roman;Times;serif"/>
                  <w:color w:val="000000"/>
                  <w:sz w:val="20"/>
                </w:rPr>
                <w:t>Participation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12">
              <w:r>
                <w:rPr>
                  <w:rStyle w:val="InternetLink"/>
                  <w:rFonts w:ascii="Times New Roman;Times;serif" w:hAnsi="Times New Roman;Times;serif"/>
                  <w:color w:val="000000"/>
                  <w:sz w:val="20"/>
                </w:rPr>
                <w:t>B-19</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13">
              <w:r>
                <w:rPr>
                  <w:rStyle w:val="InternetLink"/>
                  <w:rFonts w:ascii="Times New Roman;Times;serif" w:hAnsi="Times New Roman;Times;serif"/>
                  <w:color w:val="000000"/>
                  <w:sz w:val="20"/>
                </w:rPr>
                <w:t>18.13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13">
              <w:r>
                <w:rPr>
                  <w:rStyle w:val="InternetLink"/>
                  <w:rFonts w:ascii="Times New Roman;Times;serif" w:hAnsi="Times New Roman;Times;serif"/>
                  <w:color w:val="000000"/>
                  <w:sz w:val="20"/>
                </w:rPr>
                <w:t>Military Service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13">
              <w:r>
                <w:rPr>
                  <w:rStyle w:val="InternetLink"/>
                  <w:rFonts w:ascii="Times New Roman;Times;serif" w:hAnsi="Times New Roman;Times;serif"/>
                  <w:color w:val="000000"/>
                  <w:sz w:val="20"/>
                </w:rPr>
                <w:t>B-19</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14">
              <w:r>
                <w:rPr>
                  <w:rStyle w:val="InternetLink"/>
                  <w:rFonts w:ascii="Times New Roman;Times;serif" w:hAnsi="Times New Roman;Times;serif"/>
                  <w:color w:val="000000"/>
                  <w:sz w:val="20"/>
                </w:rPr>
                <w:t>18.14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14">
              <w:r>
                <w:rPr>
                  <w:rStyle w:val="InternetLink"/>
                  <w:rFonts w:ascii="Times New Roman;Times;serif" w:hAnsi="Times New Roman;Times;serif"/>
                  <w:color w:val="000000"/>
                  <w:sz w:val="20"/>
                </w:rPr>
                <w:t>Construction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14">
              <w:r>
                <w:rPr>
                  <w:rStyle w:val="InternetLink"/>
                  <w:rFonts w:ascii="Times New Roman;Times;serif" w:hAnsi="Times New Roman;Times;serif"/>
                  <w:color w:val="000000"/>
                  <w:sz w:val="20"/>
                </w:rPr>
                <w:t>B-19</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15">
              <w:r>
                <w:rPr>
                  <w:rStyle w:val="InternetLink"/>
                  <w:rFonts w:ascii="Times New Roman;Times;serif" w:hAnsi="Times New Roman;Times;serif"/>
                  <w:color w:val="000000"/>
                  <w:sz w:val="20"/>
                </w:rPr>
                <w:t>18.15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15">
              <w:r>
                <w:rPr>
                  <w:rStyle w:val="InternetLink"/>
                  <w:rFonts w:ascii="Times New Roman;Times;serif" w:hAnsi="Times New Roman;Times;serif"/>
                  <w:color w:val="000000"/>
                  <w:sz w:val="20"/>
                </w:rPr>
                <w:t>Headings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15">
              <w:r>
                <w:rPr>
                  <w:rStyle w:val="InternetLink"/>
                  <w:rFonts w:ascii="Times New Roman;Times;serif" w:hAnsi="Times New Roman;Times;serif"/>
                  <w:color w:val="000000"/>
                  <w:sz w:val="20"/>
                </w:rPr>
                <w:t>B-19</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16">
              <w:r>
                <w:rPr>
                  <w:rStyle w:val="InternetLink"/>
                  <w:rFonts w:ascii="Times New Roman;Times;serif" w:hAnsi="Times New Roman;Times;serif"/>
                  <w:color w:val="000000"/>
                  <w:sz w:val="20"/>
                </w:rPr>
                <w:t>18.16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16">
              <w:r>
                <w:rPr>
                  <w:rStyle w:val="InternetLink"/>
                  <w:rFonts w:ascii="Times New Roman;Times;serif" w:hAnsi="Times New Roman;Times;serif"/>
                  <w:color w:val="000000"/>
                  <w:sz w:val="20"/>
                </w:rPr>
                <w:t>Obligations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16">
              <w:r>
                <w:rPr>
                  <w:rStyle w:val="InternetLink"/>
                  <w:rFonts w:ascii="Times New Roman;Times;serif" w:hAnsi="Times New Roman;Times;serif"/>
                  <w:color w:val="000000"/>
                  <w:sz w:val="20"/>
                </w:rPr>
                <w:t>B-19</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17">
              <w:r>
                <w:rPr>
                  <w:rStyle w:val="InternetLink"/>
                  <w:rFonts w:ascii="Times New Roman;Times;serif" w:hAnsi="Times New Roman;Times;serif"/>
                  <w:color w:val="000000"/>
                  <w:sz w:val="20"/>
                </w:rPr>
                <w:t>18.17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17">
              <w:r>
                <w:rPr>
                  <w:rStyle w:val="InternetLink"/>
                  <w:rFonts w:ascii="Times New Roman;Times;serif" w:hAnsi="Times New Roman;Times;serif"/>
                  <w:color w:val="000000"/>
                  <w:sz w:val="20"/>
                </w:rPr>
                <w:t>Stockholder Approval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17">
              <w:r>
                <w:rPr>
                  <w:rStyle w:val="InternetLink"/>
                  <w:rFonts w:ascii="Times New Roman;Times;serif" w:hAnsi="Times New Roman;Times;serif"/>
                  <w:color w:val="000000"/>
                  <w:sz w:val="20"/>
                </w:rPr>
                <w:t>B-19</w:t>
              </w:r>
            </w:hyperlink>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B-iii</w:t>
      </w:r>
    </w:p>
    <w:p>
      <w:pPr>
        <w:pStyle w:val="HorizontalLine"/>
        <w:bidi w:val="0"/>
        <w:spacing w:before="200" w:after="200"/>
        <w:jc w:val="left"/>
        <w:rPr/>
      </w:pPr>
      <w:r>
        <w:rPr/>
      </w:r>
    </w:p>
    <w:p>
      <w:pPr>
        <w:pStyle w:val="TextBody"/>
        <w:bidi w:val="0"/>
        <w:jc w:val="left"/>
        <w:rPr/>
      </w:pPr>
      <w:hyperlink w:anchor="TOC">
        <w:bookmarkStart w:id="74" w:name="ny20080978x2_def14a_301-annexb_pg5"/>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GALECTIN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2019 OMNIBUS EQUITY INCENTIVE PLAN </w:t>
      </w:r>
    </w:p>
    <w:p>
      <w:pPr>
        <w:pStyle w:val="TextBody"/>
        <w:bidi w:val="0"/>
        <w:spacing w:before="370" w:after="283"/>
        <w:jc w:val="center"/>
        <w:rPr>
          <w:rFonts w:ascii="Times New Roman;Times;serif" w:hAnsi="Times New Roman;Times;serif"/>
          <w:b/>
          <w:color w:val="000000"/>
          <w:sz w:val="20"/>
        </w:rPr>
      </w:pPr>
      <w:bookmarkStart w:id="75" w:name="tANXBA1"/>
      <w:bookmarkEnd w:id="75"/>
      <w:r>
        <w:rPr>
          <w:rFonts w:ascii="Times New Roman;Times;serif" w:hAnsi="Times New Roman;Times;serif"/>
          <w:b/>
          <w:color w:val="000000"/>
          <w:sz w:val="20"/>
        </w:rPr>
        <w:t xml:space="preserve">Article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Effective Date, Objectives and Duration </w:t>
      </w:r>
    </w:p>
    <w:p>
      <w:pPr>
        <w:pStyle w:val="TextBody"/>
        <w:bidi w:val="0"/>
        <w:spacing w:before="120" w:after="283"/>
        <w:ind w:left="0" w:right="0" w:firstLine="400"/>
        <w:jc w:val="left"/>
        <w:rPr>
          <w:rFonts w:ascii="Times New Roman;Times;serif" w:hAnsi="Times New Roman;Times;serif"/>
          <w:color w:val="000000"/>
          <w:sz w:val="20"/>
        </w:rPr>
      </w:pPr>
      <w:bookmarkStart w:id="76" w:name="tANXBAS11"/>
      <w:bookmarkEnd w:id="76"/>
      <w:r>
        <w:rPr>
          <w:rFonts w:ascii="Times New Roman;Times;serif" w:hAnsi="Times New Roman;Times;serif"/>
          <w:color w:val="000000"/>
          <w:sz w:val="20"/>
        </w:rPr>
        <w:t>1.1 </w:t>
      </w:r>
      <w:r>
        <w:rPr>
          <w:rFonts w:ascii="Times New Roman;Times;serif" w:hAnsi="Times New Roman;Times;serif"/>
          <w:color w:val="000000"/>
          <w:sz w:val="20"/>
          <w:u w:val="single"/>
        </w:rPr>
        <w:t>Effective Date of the Plan</w:t>
      </w:r>
      <w:r>
        <w:rPr>
          <w:rFonts w:ascii="Times New Roman;Times;serif" w:hAnsi="Times New Roman;Times;serif"/>
          <w:color w:val="000000"/>
          <w:sz w:val="20"/>
        </w:rPr>
        <w:t>. The Board of Directors of Galectin Therapeutics Inc., a Nevada corporation (the “Company”), adopted the 2019 Omnibus Equity Incentive Plan (the “Plan”) effective as of September 25, 2019 (the “Effective Date”), subject to approval by the Company’s stockholders, as may be amended from time to time.</w:t>
      </w:r>
    </w:p>
    <w:p>
      <w:pPr>
        <w:pStyle w:val="TextBody"/>
        <w:bidi w:val="0"/>
        <w:spacing w:before="120" w:after="283"/>
        <w:ind w:left="0" w:right="0" w:firstLine="400"/>
        <w:jc w:val="left"/>
        <w:rPr>
          <w:rFonts w:ascii="Times New Roman;Times;serif" w:hAnsi="Times New Roman;Times;serif"/>
          <w:color w:val="000000"/>
          <w:sz w:val="20"/>
        </w:rPr>
      </w:pPr>
      <w:bookmarkStart w:id="77" w:name="tANXBAS12"/>
      <w:bookmarkEnd w:id="77"/>
      <w:r>
        <w:rPr>
          <w:rFonts w:ascii="Times New Roman;Times;serif" w:hAnsi="Times New Roman;Times;serif"/>
          <w:color w:val="000000"/>
          <w:sz w:val="20"/>
        </w:rPr>
        <w:t>1.2 </w:t>
      </w:r>
      <w:r>
        <w:rPr>
          <w:rFonts w:ascii="Times New Roman;Times;serif" w:hAnsi="Times New Roman;Times;serif"/>
          <w:color w:val="000000"/>
          <w:sz w:val="20"/>
          <w:u w:val="single"/>
        </w:rPr>
        <w:t>Objectives of the Plan</w:t>
      </w:r>
      <w:r>
        <w:rPr>
          <w:rFonts w:ascii="Times New Roman;Times;serif" w:hAnsi="Times New Roman;Times;serif"/>
          <w:color w:val="000000"/>
          <w:sz w:val="20"/>
        </w:rPr>
        <w:t xml:space="preserve">.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 </w:t>
      </w:r>
    </w:p>
    <w:p>
      <w:pPr>
        <w:pStyle w:val="TextBody"/>
        <w:bidi w:val="0"/>
        <w:spacing w:before="120" w:after="283"/>
        <w:ind w:left="0" w:right="0" w:firstLine="400"/>
        <w:jc w:val="left"/>
        <w:rPr>
          <w:rFonts w:ascii="Times New Roman;Times;serif" w:hAnsi="Times New Roman;Times;serif"/>
          <w:color w:val="000000"/>
          <w:sz w:val="20"/>
        </w:rPr>
      </w:pPr>
      <w:bookmarkStart w:id="78" w:name="tANXBAS13"/>
      <w:bookmarkEnd w:id="78"/>
      <w:r>
        <w:rPr>
          <w:rFonts w:ascii="Times New Roman;Times;serif" w:hAnsi="Times New Roman;Times;serif"/>
          <w:color w:val="000000"/>
          <w:sz w:val="20"/>
        </w:rPr>
        <w:t>1.3 </w:t>
      </w:r>
      <w:r>
        <w:rPr>
          <w:rFonts w:ascii="Times New Roman;Times;serif" w:hAnsi="Times New Roman;Times;serif"/>
          <w:color w:val="000000"/>
          <w:sz w:val="20"/>
          <w:u w:val="single"/>
        </w:rPr>
        <w:t>Duration of the Plan</w:t>
      </w:r>
      <w:r>
        <w:rPr>
          <w:rFonts w:ascii="Times New Roman;Times;serif" w:hAnsi="Times New Roman;Times;serif"/>
          <w:color w:val="000000"/>
          <w:sz w:val="20"/>
        </w:rPr>
        <w:t xml:space="preserve">.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w:t>
      </w:r>
    </w:p>
    <w:p>
      <w:pPr>
        <w:pStyle w:val="TextBody"/>
        <w:bidi w:val="0"/>
        <w:spacing w:before="390" w:after="283"/>
        <w:jc w:val="center"/>
        <w:rPr>
          <w:rFonts w:ascii="Times New Roman;Times;serif" w:hAnsi="Times New Roman;Times;serif"/>
          <w:b/>
          <w:color w:val="000000"/>
          <w:sz w:val="20"/>
        </w:rPr>
      </w:pPr>
      <w:bookmarkStart w:id="79" w:name="tANXBA2"/>
      <w:bookmarkEnd w:id="79"/>
      <w:r>
        <w:rPr>
          <w:rFonts w:ascii="Times New Roman;Times;serif" w:hAnsi="Times New Roman;Times;serif"/>
          <w:b/>
          <w:color w:val="000000"/>
          <w:sz w:val="20"/>
        </w:rPr>
        <w:t xml:space="preserve">Article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used in the Plan, the following terms shall have the meanings set forth below: </w:t>
      </w:r>
    </w:p>
    <w:p>
      <w:pPr>
        <w:pStyle w:val="TextBody"/>
        <w:bidi w:val="0"/>
        <w:spacing w:before="120" w:after="283"/>
        <w:ind w:left="0" w:right="0" w:firstLine="400"/>
        <w:jc w:val="left"/>
        <w:rPr>
          <w:rFonts w:ascii="Times New Roman;Times;serif" w:hAnsi="Times New Roman;Times;serif"/>
          <w:color w:val="000000"/>
          <w:sz w:val="20"/>
        </w:rPr>
      </w:pPr>
      <w:bookmarkStart w:id="80" w:name="tANXBAS21"/>
      <w:bookmarkEnd w:id="80"/>
      <w:r>
        <w:rPr>
          <w:rFonts w:ascii="Times New Roman;Times;serif" w:hAnsi="Times New Roman;Times;serif"/>
          <w:color w:val="000000"/>
          <w:sz w:val="20"/>
        </w:rPr>
        <w:t>2.1 “</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 </w:t>
      </w:r>
    </w:p>
    <w:p>
      <w:pPr>
        <w:pStyle w:val="TextBody"/>
        <w:bidi w:val="0"/>
        <w:spacing w:before="120" w:after="283"/>
        <w:ind w:left="0" w:right="0" w:firstLine="400"/>
        <w:jc w:val="left"/>
        <w:rPr>
          <w:rFonts w:ascii="Times New Roman;Times;serif" w:hAnsi="Times New Roman;Times;serif"/>
          <w:color w:val="000000"/>
          <w:sz w:val="20"/>
        </w:rPr>
      </w:pPr>
      <w:bookmarkStart w:id="81" w:name="tANXBAS22"/>
      <w:bookmarkEnd w:id="81"/>
      <w:r>
        <w:rPr>
          <w:rFonts w:ascii="Times New Roman;Times;serif" w:hAnsi="Times New Roman;Times;serif"/>
          <w:color w:val="000000"/>
          <w:sz w:val="20"/>
        </w:rPr>
        <w:t>2.2 “</w:t>
      </w:r>
      <w:r>
        <w:rPr>
          <w:rFonts w:ascii="Times New Roman;Times;serif" w:hAnsi="Times New Roman;Times;serif"/>
          <w:color w:val="000000"/>
          <w:sz w:val="20"/>
          <w:u w:val="single"/>
        </w:rPr>
        <w:t>Award</w:t>
      </w:r>
      <w:r>
        <w:rPr>
          <w:rFonts w:ascii="Times New Roman;Times;serif" w:hAnsi="Times New Roman;Times;serif"/>
          <w:color w:val="000000"/>
          <w:sz w:val="20"/>
        </w:rPr>
        <w:t xml:space="preserve">”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 </w:t>
      </w:r>
    </w:p>
    <w:p>
      <w:pPr>
        <w:pStyle w:val="TextBody"/>
        <w:bidi w:val="0"/>
        <w:spacing w:before="120" w:after="283"/>
        <w:ind w:left="0" w:right="0" w:firstLine="400"/>
        <w:jc w:val="left"/>
        <w:rPr>
          <w:rFonts w:ascii="Times New Roman;Times;serif" w:hAnsi="Times New Roman;Times;serif"/>
          <w:color w:val="000000"/>
          <w:sz w:val="20"/>
        </w:rPr>
      </w:pPr>
      <w:bookmarkStart w:id="82" w:name="tANXBAS23"/>
      <w:bookmarkEnd w:id="82"/>
      <w:r>
        <w:rPr>
          <w:rFonts w:ascii="Times New Roman;Times;serif" w:hAnsi="Times New Roman;Times;serif"/>
          <w:color w:val="000000"/>
          <w:sz w:val="20"/>
        </w:rPr>
        <w:t>2.3 “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 </w:t>
      </w:r>
    </w:p>
    <w:p>
      <w:pPr>
        <w:pStyle w:val="TextBody"/>
        <w:bidi w:val="0"/>
        <w:spacing w:before="160" w:after="283"/>
        <w:ind w:left="0" w:right="0" w:firstLine="400"/>
        <w:jc w:val="left"/>
        <w:rPr>
          <w:rFonts w:ascii="Times New Roman;Times;serif" w:hAnsi="Times New Roman;Times;serif"/>
          <w:color w:val="000000"/>
          <w:sz w:val="20"/>
        </w:rPr>
      </w:pPr>
      <w:bookmarkStart w:id="83" w:name="tANXBAS24"/>
      <w:bookmarkEnd w:id="83"/>
      <w:r>
        <w:rPr>
          <w:rFonts w:ascii="Times New Roman;Times;serif" w:hAnsi="Times New Roman;Times;serif"/>
          <w:color w:val="000000"/>
          <w:sz w:val="20"/>
        </w:rPr>
        <w:t>2.4 “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means the Board of Directors of the Company. </w:t>
      </w:r>
    </w:p>
    <w:p>
      <w:pPr>
        <w:pStyle w:val="TextBody"/>
        <w:bidi w:val="0"/>
        <w:spacing w:before="120" w:after="283"/>
        <w:ind w:left="0" w:right="0" w:firstLine="400"/>
        <w:jc w:val="left"/>
        <w:rPr>
          <w:rFonts w:ascii="Times New Roman;Times;serif" w:hAnsi="Times New Roman;Times;serif"/>
          <w:color w:val="000000"/>
          <w:sz w:val="20"/>
        </w:rPr>
      </w:pPr>
      <w:bookmarkStart w:id="84" w:name="tANXBAS25"/>
      <w:bookmarkEnd w:id="84"/>
      <w:r>
        <w:rPr>
          <w:rFonts w:ascii="Times New Roman;Times;serif" w:hAnsi="Times New Roman;Times;serif"/>
          <w:color w:val="000000"/>
          <w:sz w:val="20"/>
        </w:rPr>
        <w:t>2.5 “</w:t>
      </w:r>
      <w:r>
        <w:rPr>
          <w:rFonts w:ascii="Times New Roman;Times;serif" w:hAnsi="Times New Roman;Times;serif"/>
          <w:color w:val="000000"/>
          <w:sz w:val="20"/>
          <w:u w:val="single"/>
        </w:rPr>
        <w:t>Bonus Shares</w:t>
      </w:r>
      <w:r>
        <w:rPr>
          <w:rFonts w:ascii="Times New Roman;Times;serif" w:hAnsi="Times New Roman;Times;serif"/>
          <w:color w:val="000000"/>
          <w:sz w:val="20"/>
        </w:rPr>
        <w:t xml:space="preserve">”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 </w:t>
      </w:r>
    </w:p>
    <w:p>
      <w:pPr>
        <w:pStyle w:val="TextBody"/>
        <w:bidi w:val="0"/>
        <w:spacing w:before="160" w:after="283"/>
        <w:ind w:left="0" w:right="0" w:firstLine="400"/>
        <w:jc w:val="left"/>
        <w:rPr>
          <w:rFonts w:ascii="Times New Roman;Times;serif" w:hAnsi="Times New Roman;Times;serif"/>
          <w:color w:val="000000"/>
          <w:sz w:val="20"/>
        </w:rPr>
      </w:pPr>
      <w:bookmarkStart w:id="85" w:name="tANXBAS26"/>
      <w:bookmarkEnd w:id="85"/>
      <w:r>
        <w:rPr>
          <w:rFonts w:ascii="Times New Roman;Times;serif" w:hAnsi="Times New Roman;Times;serif"/>
          <w:color w:val="000000"/>
          <w:sz w:val="20"/>
        </w:rPr>
        <w:t>2.6 “</w:t>
      </w:r>
      <w:r>
        <w:rPr>
          <w:rFonts w:ascii="Times New Roman;Times;serif" w:hAnsi="Times New Roman;Times;serif"/>
          <w:color w:val="000000"/>
          <w:sz w:val="20"/>
          <w:u w:val="single"/>
        </w:rPr>
        <w:t>Cause</w:t>
      </w:r>
      <w:r>
        <w:rPr>
          <w:rFonts w:ascii="Times New Roman;Times;serif" w:hAnsi="Times New Roman;Times;serif"/>
          <w:color w:val="000000"/>
          <w:sz w:val="20"/>
        </w:rPr>
        <w:t xml:space="preserve">” means, except as otherwise defined in an Award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failure by the Grantee to perform, in a reasonable manner, his or her duties as assigned by the Company or an Affiliate,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86" w:name="ny20080978x2_def14a_301-annexb_pg6"/>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(b) any violation or breach by the Grantee of his or her employment, consulting or other similar agreement with the Company or an Affiliate, if 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(c) any violation or breach by the Grantee of any non-competition, non-solicitation, non-disclosure and/or other similar agreement with the Company or an Affiliate,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(d) any act by the Grantee of dishonesty or bad faith with respect to the Company or an Affiliate,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(e) use of alcohol, drugs or other similar substances in a manner that adversely affects the Grantee’s work performance,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 commission by the Grantee of any act, misdemeanor, or crime reflecting unfavorably upon the Grantee or the Company or any Affiliate;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(g) any material misconduct in violation of the Company’s or an Affiliate’s written policies regarding ethical standards, conduct in workplace or safety;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 however</w:t>
      </w:r>
      <w:r>
        <w:rPr>
          <w:rFonts w:ascii="Times New Roman;Times;serif" w:hAnsi="Times New Roman;Times;serif"/>
          <w:i w:val="false"/>
          <w:caps w:val="false"/>
          <w:smallCaps w:val="false"/>
          <w:color w:val="000000"/>
          <w:sz w:val="20"/>
        </w:rPr>
        <w:t xml:space="preserve">, that if the Grantee has a written employment or consulting agreement with the Company or any of its Affiliates or participates in any severance plan established by the Company that includes a definition of “cause,” Cause shall have the meaning set forth in such employment or consulting agreement or severance plan. The good faith determination by the Committee of whether a Grantee’s actions or omissions constitute grounds to terminate his or her service with the Company or an Affiliate for “Cause” shall be final and binding for all purposes hereunder. </w:t>
      </w:r>
    </w:p>
    <w:p>
      <w:pPr>
        <w:pStyle w:val="TextBody"/>
        <w:bidi w:val="0"/>
        <w:spacing w:before="170" w:after="283"/>
        <w:ind w:left="0" w:right="0" w:firstLine="400"/>
        <w:jc w:val="left"/>
        <w:rPr>
          <w:rFonts w:ascii="Times New Roman;Times;serif" w:hAnsi="Times New Roman;Times;serif"/>
          <w:color w:val="000000"/>
          <w:sz w:val="20"/>
        </w:rPr>
      </w:pPr>
      <w:bookmarkStart w:id="87" w:name="tANXBAS27"/>
      <w:bookmarkEnd w:id="87"/>
      <w:r>
        <w:rPr>
          <w:rFonts w:ascii="Times New Roman;Times;serif" w:hAnsi="Times New Roman;Times;serif"/>
          <w:color w:val="000000"/>
          <w:sz w:val="20"/>
        </w:rPr>
        <w:t>2.7 “</w:t>
      </w:r>
      <w:r>
        <w:rPr>
          <w:rFonts w:ascii="Times New Roman;Times;serif" w:hAnsi="Times New Roman;Times;serif"/>
          <w:color w:val="000000"/>
          <w:sz w:val="20"/>
          <w:u w:val="single"/>
        </w:rPr>
        <w:t>CEO</w:t>
      </w:r>
      <w:r>
        <w:rPr>
          <w:rFonts w:ascii="Times New Roman;Times;serif" w:hAnsi="Times New Roman;Times;serif"/>
          <w:color w:val="000000"/>
          <w:sz w:val="20"/>
        </w:rPr>
        <w:t xml:space="preserve">” means the Chief Executive Officer of the Company. </w:t>
      </w:r>
    </w:p>
    <w:p>
      <w:pPr>
        <w:pStyle w:val="TextBody"/>
        <w:bidi w:val="0"/>
        <w:spacing w:before="170" w:after="283"/>
        <w:ind w:left="0" w:right="0" w:firstLine="400"/>
        <w:jc w:val="left"/>
        <w:rPr>
          <w:rFonts w:ascii="Times New Roman;Times;serif" w:hAnsi="Times New Roman;Times;serif"/>
          <w:color w:val="000000"/>
          <w:sz w:val="20"/>
        </w:rPr>
      </w:pPr>
      <w:bookmarkStart w:id="88" w:name="tANXBAS28"/>
      <w:bookmarkEnd w:id="88"/>
      <w:r>
        <w:rPr>
          <w:rFonts w:ascii="Times New Roman;Times;serif" w:hAnsi="Times New Roman;Times;serif"/>
          <w:color w:val="000000"/>
          <w:sz w:val="20"/>
        </w:rPr>
        <w:t>2.8 “</w:t>
      </w:r>
      <w:r>
        <w:rPr>
          <w:rFonts w:ascii="Times New Roman;Times;serif" w:hAnsi="Times New Roman;Times;serif"/>
          <w:color w:val="000000"/>
          <w:sz w:val="20"/>
          <w:u w:val="single"/>
        </w:rPr>
        <w:t>Change in Control</w:t>
      </w:r>
      <w:r>
        <w:rPr>
          <w:rFonts w:ascii="Times New Roman;Times;serif" w:hAnsi="Times New Roman;Times;serif"/>
          <w:color w:val="000000"/>
          <w:sz w:val="20"/>
        </w:rPr>
        <w:t xml:space="preserve">” shall have the meaning set forth in Section 16.4(e). </w:t>
      </w:r>
    </w:p>
    <w:p>
      <w:pPr>
        <w:pStyle w:val="TextBody"/>
        <w:bidi w:val="0"/>
        <w:spacing w:before="120" w:after="283"/>
        <w:ind w:left="0" w:right="0" w:firstLine="400"/>
        <w:jc w:val="left"/>
        <w:rPr>
          <w:rFonts w:ascii="Times New Roman;Times;serif" w:hAnsi="Times New Roman;Times;serif"/>
          <w:color w:val="000000"/>
          <w:sz w:val="20"/>
        </w:rPr>
      </w:pPr>
      <w:bookmarkStart w:id="89" w:name="tANXBAS29"/>
      <w:bookmarkEnd w:id="89"/>
      <w:r>
        <w:rPr>
          <w:rFonts w:ascii="Times New Roman;Times;serif" w:hAnsi="Times New Roman;Times;serif"/>
          <w:color w:val="000000"/>
          <w:sz w:val="20"/>
        </w:rPr>
        <w:t>2.9 “</w:t>
      </w:r>
      <w:r>
        <w:rPr>
          <w:rFonts w:ascii="Times New Roman;Times;serif" w:hAnsi="Times New Roman;Times;serif"/>
          <w:color w:val="000000"/>
          <w:sz w:val="20"/>
          <w:u w:val="single"/>
        </w:rPr>
        <w:t>Code</w:t>
      </w:r>
      <w:r>
        <w:rPr>
          <w:rFonts w:ascii="Times New Roman;Times;serif" w:hAnsi="Times New Roman;Times;serif"/>
          <w:color w:val="000000"/>
          <w:sz w:val="20"/>
        </w:rPr>
        <w:t xml:space="preserve">” means the Internal Revenue Code of 1986, as amended from time to time. References to a particular section of the Code include references to regulations and rulings thereunder and to successor provisions. </w:t>
      </w:r>
    </w:p>
    <w:p>
      <w:pPr>
        <w:pStyle w:val="TextBody"/>
        <w:bidi w:val="0"/>
        <w:spacing w:before="170" w:after="283"/>
        <w:ind w:left="0" w:right="0" w:firstLine="400"/>
        <w:jc w:val="left"/>
        <w:rPr>
          <w:rFonts w:ascii="Times New Roman;Times;serif" w:hAnsi="Times New Roman;Times;serif"/>
          <w:color w:val="000000"/>
          <w:sz w:val="20"/>
        </w:rPr>
      </w:pPr>
      <w:bookmarkStart w:id="90" w:name="tANXBAS210"/>
      <w:bookmarkEnd w:id="90"/>
      <w:r>
        <w:rPr>
          <w:rFonts w:ascii="Times New Roman;Times;serif" w:hAnsi="Times New Roman;Times;serif"/>
          <w:color w:val="000000"/>
          <w:sz w:val="20"/>
        </w:rPr>
        <w:t>2.10 “</w:t>
      </w:r>
      <w:r>
        <w:rPr>
          <w:rFonts w:ascii="Times New Roman;Times;serif" w:hAnsi="Times New Roman;Times;serif"/>
          <w:color w:val="000000"/>
          <w:sz w:val="20"/>
          <w:u w:val="single"/>
        </w:rPr>
        <w:t>Committee</w:t>
      </w:r>
      <w:r>
        <w:rPr>
          <w:rFonts w:ascii="Times New Roman;Times;serif" w:hAnsi="Times New Roman;Times;serif"/>
          <w:color w:val="000000"/>
          <w:sz w:val="20"/>
        </w:rPr>
        <w:t>” or “</w:t>
      </w:r>
      <w:r>
        <w:rPr>
          <w:rFonts w:ascii="Times New Roman;Times;serif" w:hAnsi="Times New Roman;Times;serif"/>
          <w:color w:val="000000"/>
          <w:sz w:val="20"/>
          <w:u w:val="single"/>
        </w:rPr>
        <w:t>Incentive Plan Committee</w:t>
      </w:r>
      <w:r>
        <w:rPr>
          <w:rFonts w:ascii="Times New Roman;Times;serif" w:hAnsi="Times New Roman;Times;serif"/>
          <w:color w:val="000000"/>
          <w:sz w:val="20"/>
        </w:rPr>
        <w:t xml:space="preserve">” has the meaning set forth in Section 3.1(a). </w:t>
      </w:r>
    </w:p>
    <w:p>
      <w:pPr>
        <w:pStyle w:val="TextBody"/>
        <w:bidi w:val="0"/>
        <w:spacing w:before="170" w:after="283"/>
        <w:ind w:left="0" w:right="0" w:firstLine="400"/>
        <w:jc w:val="left"/>
        <w:rPr>
          <w:rFonts w:ascii="Times New Roman;Times;serif" w:hAnsi="Times New Roman;Times;serif"/>
          <w:color w:val="000000"/>
          <w:sz w:val="20"/>
        </w:rPr>
      </w:pPr>
      <w:bookmarkStart w:id="91" w:name="tANXBAS211"/>
      <w:bookmarkEnd w:id="91"/>
      <w:r>
        <w:rPr>
          <w:rFonts w:ascii="Times New Roman;Times;serif" w:hAnsi="Times New Roman;Times;serif"/>
          <w:color w:val="000000"/>
          <w:sz w:val="20"/>
        </w:rPr>
        <w:t>2.11 “</w:t>
      </w:r>
      <w:r>
        <w:rPr>
          <w:rFonts w:ascii="Times New Roman;Times;serif" w:hAnsi="Times New Roman;Times;serif"/>
          <w:color w:val="000000"/>
          <w:sz w:val="20"/>
          <w:u w:val="single"/>
        </w:rPr>
        <w:t>Compensation Committee</w:t>
      </w:r>
      <w:r>
        <w:rPr>
          <w:rFonts w:ascii="Times New Roman;Times;serif" w:hAnsi="Times New Roman;Times;serif"/>
          <w:color w:val="000000"/>
          <w:sz w:val="20"/>
        </w:rPr>
        <w:t xml:space="preserve">” means the compensation committee of the Board. </w:t>
      </w:r>
    </w:p>
    <w:p>
      <w:pPr>
        <w:pStyle w:val="TextBody"/>
        <w:bidi w:val="0"/>
        <w:spacing w:before="170" w:after="283"/>
        <w:ind w:left="0" w:right="0" w:firstLine="400"/>
        <w:jc w:val="left"/>
        <w:rPr>
          <w:rFonts w:ascii="Times New Roman;Times;serif" w:hAnsi="Times New Roman;Times;serif"/>
          <w:color w:val="000000"/>
          <w:sz w:val="20"/>
        </w:rPr>
      </w:pPr>
      <w:bookmarkStart w:id="92" w:name="tANXBAS212"/>
      <w:bookmarkEnd w:id="92"/>
      <w:r>
        <w:rPr>
          <w:rFonts w:ascii="Times New Roman;Times;serif" w:hAnsi="Times New Roman;Times;serif"/>
          <w:color w:val="000000"/>
          <w:sz w:val="20"/>
        </w:rPr>
        <w:t>2.12 “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means the common stock, $0.001 par value, of the Company. </w:t>
      </w:r>
    </w:p>
    <w:p>
      <w:pPr>
        <w:pStyle w:val="TextBody"/>
        <w:bidi w:val="0"/>
        <w:spacing w:before="170" w:after="283"/>
        <w:ind w:left="0" w:right="0" w:firstLine="400"/>
        <w:jc w:val="left"/>
        <w:rPr>
          <w:rFonts w:ascii="Times New Roman;Times;serif" w:hAnsi="Times New Roman;Times;serif"/>
          <w:color w:val="000000"/>
          <w:sz w:val="20"/>
        </w:rPr>
      </w:pPr>
      <w:bookmarkStart w:id="93" w:name="tANXBAS213"/>
      <w:bookmarkEnd w:id="93"/>
      <w:r>
        <w:rPr>
          <w:rFonts w:ascii="Times New Roman;Times;serif" w:hAnsi="Times New Roman;Times;serif"/>
          <w:color w:val="000000"/>
          <w:sz w:val="20"/>
        </w:rPr>
        <w:t>2.13 “</w:t>
      </w:r>
      <w:r>
        <w:rPr>
          <w:rFonts w:ascii="Times New Roman;Times;serif" w:hAnsi="Times New Roman;Times;serif"/>
          <w:color w:val="000000"/>
          <w:sz w:val="20"/>
          <w:u w:val="single"/>
        </w:rPr>
        <w:t>Corporate Transaction</w:t>
      </w:r>
      <w:r>
        <w:rPr>
          <w:rFonts w:ascii="Times New Roman;Times;serif" w:hAnsi="Times New Roman;Times;serif"/>
          <w:color w:val="000000"/>
          <w:sz w:val="20"/>
        </w:rPr>
        <w:t xml:space="preserve">” shall have the meaning set forth in Section 4.2(b). </w:t>
      </w:r>
    </w:p>
    <w:p>
      <w:pPr>
        <w:pStyle w:val="TextBody"/>
        <w:bidi w:val="0"/>
        <w:spacing w:before="120" w:after="283"/>
        <w:ind w:left="0" w:right="0" w:firstLine="400"/>
        <w:jc w:val="left"/>
        <w:rPr>
          <w:rFonts w:ascii="Times New Roman;Times;serif" w:hAnsi="Times New Roman;Times;serif"/>
          <w:color w:val="000000"/>
          <w:sz w:val="20"/>
        </w:rPr>
      </w:pPr>
      <w:bookmarkStart w:id="94" w:name="tANXBAS214"/>
      <w:bookmarkEnd w:id="94"/>
      <w:r>
        <w:rPr>
          <w:rFonts w:ascii="Times New Roman;Times;serif" w:hAnsi="Times New Roman;Times;serif"/>
          <w:color w:val="000000"/>
          <w:sz w:val="20"/>
        </w:rPr>
        <w:t>2.14 “</w:t>
      </w:r>
      <w:r>
        <w:rPr>
          <w:rFonts w:ascii="Times New Roman;Times;serif" w:hAnsi="Times New Roman;Times;serif"/>
          <w:color w:val="000000"/>
          <w:sz w:val="20"/>
          <w:u w:val="single"/>
        </w:rPr>
        <w:t>Deferred Stock</w:t>
      </w:r>
      <w:r>
        <w:rPr>
          <w:rFonts w:ascii="Times New Roman;Times;serif" w:hAnsi="Times New Roman;Times;serif"/>
          <w:color w:val="000000"/>
          <w:sz w:val="20"/>
        </w:rPr>
        <w:t>” means a right, granted under Article 10, to receive Shares at the end of a specified deferral period.</w:t>
      </w:r>
    </w:p>
    <w:p>
      <w:pPr>
        <w:pStyle w:val="TextBody"/>
        <w:bidi w:val="0"/>
        <w:spacing w:before="120" w:after="283"/>
        <w:ind w:left="0" w:right="0" w:firstLine="400"/>
        <w:jc w:val="left"/>
        <w:rPr>
          <w:rFonts w:ascii="Times New Roman;Times;serif" w:hAnsi="Times New Roman;Times;serif"/>
          <w:color w:val="000000"/>
          <w:sz w:val="20"/>
        </w:rPr>
      </w:pPr>
      <w:bookmarkStart w:id="95" w:name="tANXBAS215"/>
      <w:bookmarkEnd w:id="95"/>
      <w:r>
        <w:rPr>
          <w:rFonts w:ascii="Times New Roman;Times;serif" w:hAnsi="Times New Roman;Times;serif"/>
          <w:color w:val="000000"/>
          <w:sz w:val="20"/>
        </w:rPr>
        <w:t>2.15 “</w:t>
      </w:r>
      <w:r>
        <w:rPr>
          <w:rFonts w:ascii="Times New Roman;Times;serif" w:hAnsi="Times New Roman;Times;serif"/>
          <w:color w:val="000000"/>
          <w:sz w:val="20"/>
          <w:u w:val="single"/>
        </w:rPr>
        <w:t>Disability</w:t>
      </w:r>
      <w:r>
        <w:rPr>
          <w:rFonts w:ascii="Times New Roman;Times;serif" w:hAnsi="Times New Roman;Times;serif"/>
          <w:color w:val="000000"/>
          <w:sz w:val="20"/>
        </w:rPr>
        <w:t>” or “</w:t>
      </w:r>
      <w:r>
        <w:rPr>
          <w:rFonts w:ascii="Times New Roman;Times;serif" w:hAnsi="Times New Roman;Times;serif"/>
          <w:color w:val="000000"/>
          <w:sz w:val="20"/>
          <w:u w:val="single"/>
        </w:rPr>
        <w:t>Disabled</w:t>
      </w:r>
      <w:r>
        <w:rPr>
          <w:rFonts w:ascii="Times New Roman;Times;serif" w:hAnsi="Times New Roman;Times;serif"/>
          <w:color w:val="000000"/>
          <w:sz w:val="20"/>
        </w:rPr>
        <w:t xml:space="preserve">” means, unless otherwise defined in an Award Agreement, or as otherwise determined under procedures established by the Committee for purposes of the Plan: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provided in (b) below, a disability within the meaning of Section 22(e)(3) of the Code;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the case of any Award that constitutes deferred compensation within the meaning of Section 409A of the Code, a disability as defined in regulations under Code Section 409A. For purpose of Code Section 409A, a Grantee will be considered Disabled if: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Grantee is unable to engage in any substantial gainful activity by reason of any medically determinable physical or mental impairment which can be expected to result in death or can be expected to last for a continuous period of not less than twelve (12) months,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 </w:t>
      </w:r>
    </w:p>
    <w:p>
      <w:pPr>
        <w:pStyle w:val="TextBody"/>
        <w:bidi w:val="0"/>
        <w:spacing w:before="120" w:after="283"/>
        <w:ind w:left="0" w:right="0" w:firstLine="400"/>
        <w:jc w:val="left"/>
        <w:rPr>
          <w:rFonts w:ascii="Times New Roman;Times;serif" w:hAnsi="Times New Roman;Times;serif"/>
          <w:color w:val="000000"/>
          <w:sz w:val="20"/>
        </w:rPr>
      </w:pPr>
      <w:bookmarkStart w:id="96" w:name="tANXBAS216"/>
      <w:bookmarkEnd w:id="96"/>
      <w:r>
        <w:rPr>
          <w:rFonts w:ascii="Times New Roman;Times;serif" w:hAnsi="Times New Roman;Times;serif"/>
          <w:color w:val="000000"/>
          <w:sz w:val="20"/>
        </w:rPr>
        <w:t>2.16 “</w:t>
      </w:r>
      <w:r>
        <w:rPr>
          <w:rFonts w:ascii="Times New Roman;Times;serif" w:hAnsi="Times New Roman;Times;serif"/>
          <w:color w:val="000000"/>
          <w:sz w:val="20"/>
          <w:u w:val="single"/>
        </w:rPr>
        <w:t>Dividend Equivalent</w:t>
      </w:r>
      <w:r>
        <w:rPr>
          <w:rFonts w:ascii="Times New Roman;Times;serif" w:hAnsi="Times New Roman;Times;serif"/>
          <w:color w:val="000000"/>
          <w:sz w:val="20"/>
        </w:rPr>
        <w:t>” means a right to receive payments equal to dividends or property, if and when paid or distributed, on a specified number of Shares.</w:t>
      </w:r>
    </w:p>
    <w:p>
      <w:pPr>
        <w:pStyle w:val="TextBody"/>
        <w:bidi w:val="0"/>
        <w:spacing w:before="170" w:after="283"/>
        <w:ind w:left="0" w:right="0" w:firstLine="400"/>
        <w:jc w:val="left"/>
        <w:rPr>
          <w:rFonts w:ascii="Times New Roman;Times;serif" w:hAnsi="Times New Roman;Times;serif"/>
          <w:color w:val="000000"/>
          <w:sz w:val="20"/>
        </w:rPr>
      </w:pPr>
      <w:bookmarkStart w:id="97" w:name="tANXBAS217"/>
      <w:bookmarkEnd w:id="97"/>
      <w:r>
        <w:rPr>
          <w:rFonts w:ascii="Times New Roman;Times;serif" w:hAnsi="Times New Roman;Times;serif"/>
          <w:color w:val="000000"/>
          <w:sz w:val="20"/>
        </w:rPr>
        <w:t>2.17 “</w:t>
      </w:r>
      <w:r>
        <w:rPr>
          <w:rFonts w:ascii="Times New Roman;Times;serif" w:hAnsi="Times New Roman;Times;serif"/>
          <w:color w:val="000000"/>
          <w:sz w:val="20"/>
          <w:u w:val="single"/>
        </w:rPr>
        <w:t>Effective Date</w:t>
      </w:r>
      <w:r>
        <w:rPr>
          <w:rFonts w:ascii="Times New Roman;Times;serif" w:hAnsi="Times New Roman;Times;serif"/>
          <w:color w:val="000000"/>
          <w:sz w:val="20"/>
        </w:rPr>
        <w:t xml:space="preserve">” has the meaning set forth in Section 1.1.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bidi w:val="0"/>
        <w:spacing w:before="200" w:after="200"/>
        <w:jc w:val="left"/>
        <w:rPr/>
      </w:pPr>
      <w:r>
        <w:rPr/>
      </w:r>
    </w:p>
    <w:p>
      <w:pPr>
        <w:pStyle w:val="TextBody"/>
        <w:bidi w:val="0"/>
        <w:jc w:val="left"/>
        <w:rPr/>
      </w:pPr>
      <w:hyperlink w:anchor="TOC">
        <w:bookmarkStart w:id="98" w:name="ny20080978x2_def14a_301-annexb_pg7"/>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99" w:name="tANXBAS218"/>
      <w:bookmarkEnd w:id="99"/>
      <w:r>
        <w:rPr>
          <w:rFonts w:ascii="Times New Roman;Times;serif" w:hAnsi="Times New Roman;Times;serif"/>
          <w:color w:val="000000"/>
          <w:sz w:val="20"/>
        </w:rPr>
        <w:t>2.18 “</w:t>
      </w:r>
      <w:r>
        <w:rPr>
          <w:rFonts w:ascii="Times New Roman;Times;serif" w:hAnsi="Times New Roman;Times;serif"/>
          <w:color w:val="000000"/>
          <w:sz w:val="20"/>
          <w:u w:val="single"/>
        </w:rPr>
        <w:t>Eligible Person</w:t>
      </w:r>
      <w:r>
        <w:rPr>
          <w:rFonts w:ascii="Times New Roman;Times;serif" w:hAnsi="Times New Roman;Times;serif"/>
          <w:color w:val="000000"/>
          <w:sz w:val="20"/>
        </w:rPr>
        <w:t xml:space="preserve">” means any individual who is an employee (including any officer) of, a non-employee consultant to, or a Non-Employee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 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 </w:t>
      </w:r>
    </w:p>
    <w:p>
      <w:pPr>
        <w:pStyle w:val="TextBody"/>
        <w:bidi w:val="0"/>
        <w:spacing w:before="120" w:after="283"/>
        <w:ind w:left="0" w:right="0" w:firstLine="400"/>
        <w:jc w:val="left"/>
        <w:rPr>
          <w:rFonts w:ascii="Times New Roman;Times;serif" w:hAnsi="Times New Roman;Times;serif"/>
          <w:color w:val="000000"/>
          <w:sz w:val="20"/>
        </w:rPr>
      </w:pPr>
      <w:bookmarkStart w:id="100" w:name="tANXBAS219"/>
      <w:bookmarkEnd w:id="100"/>
      <w:r>
        <w:rPr>
          <w:rFonts w:ascii="Times New Roman;Times;serif" w:hAnsi="Times New Roman;Times;serif"/>
          <w:color w:val="000000"/>
          <w:sz w:val="20"/>
        </w:rPr>
        <w:t>2.19 “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Exchange Act of 1934, as amended from time to time. References to a particular section of the Exchange Act include references to successor provisions. </w:t>
      </w:r>
    </w:p>
    <w:p>
      <w:pPr>
        <w:pStyle w:val="TextBody"/>
        <w:bidi w:val="0"/>
        <w:spacing w:before="120" w:after="283"/>
        <w:ind w:left="0" w:right="0" w:firstLine="400"/>
        <w:jc w:val="left"/>
        <w:rPr>
          <w:rFonts w:ascii="Times New Roman;Times;serif" w:hAnsi="Times New Roman;Times;serif"/>
          <w:color w:val="000000"/>
          <w:sz w:val="20"/>
        </w:rPr>
      </w:pPr>
      <w:bookmarkStart w:id="101" w:name="tANXBAS220"/>
      <w:bookmarkEnd w:id="101"/>
      <w:r>
        <w:rPr>
          <w:rFonts w:ascii="Times New Roman;Times;serif" w:hAnsi="Times New Roman;Times;serif"/>
          <w:color w:val="000000"/>
          <w:sz w:val="20"/>
        </w:rPr>
        <w:t>2.20 “</w:t>
      </w:r>
      <w:r>
        <w:rPr>
          <w:rFonts w:ascii="Times New Roman;Times;serif" w:hAnsi="Times New Roman;Times;serif"/>
          <w:color w:val="000000"/>
          <w:sz w:val="20"/>
          <w:u w:val="single"/>
        </w:rPr>
        <w:t>Exercise Price</w:t>
      </w:r>
      <w:r>
        <w:rPr>
          <w:rFonts w:ascii="Times New Roman;Times;serif" w:hAnsi="Times New Roman;Times;serif"/>
          <w:color w:val="000000"/>
          <w:sz w:val="20"/>
        </w:rPr>
        <w:t xml:space="preserve">” means (a) with respect to an Option, the price at which a Share may be purchased by a Grantee pursuant to such Option or (b) with respect to an SAR, the price established at the time an SAR is granted pursuant to Article 7, which is used to determine the amount, if any, of the payment due to a Grantee upon exercise of the SAR. </w:t>
      </w:r>
    </w:p>
    <w:p>
      <w:pPr>
        <w:pStyle w:val="TextBody"/>
        <w:bidi w:val="0"/>
        <w:spacing w:before="120" w:after="283"/>
        <w:ind w:left="0" w:right="0" w:firstLine="400"/>
        <w:jc w:val="left"/>
        <w:rPr>
          <w:rFonts w:ascii="Times New Roman;Times;serif" w:hAnsi="Times New Roman;Times;serif"/>
          <w:color w:val="000000"/>
          <w:sz w:val="20"/>
        </w:rPr>
      </w:pPr>
      <w:bookmarkStart w:id="102" w:name="tANXBAS221"/>
      <w:bookmarkEnd w:id="102"/>
      <w:r>
        <w:rPr>
          <w:rFonts w:ascii="Times New Roman;Times;serif" w:hAnsi="Times New Roman;Times;serif"/>
          <w:color w:val="000000"/>
          <w:sz w:val="20"/>
        </w:rPr>
        <w:t>2.21 “</w:t>
      </w:r>
      <w:r>
        <w:rPr>
          <w:rFonts w:ascii="Times New Roman;Times;serif" w:hAnsi="Times New Roman;Times;serif"/>
          <w:color w:val="000000"/>
          <w:sz w:val="20"/>
          <w:u w:val="single"/>
        </w:rPr>
        <w:t>Fair Market Value</w:t>
      </w:r>
      <w:r>
        <w:rPr>
          <w:rFonts w:ascii="Times New Roman;Times;serif" w:hAnsi="Times New Roman;Times;serif"/>
          <w:color w:val="000000"/>
          <w:sz w:val="20"/>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pStyle w:val="TextBody"/>
        <w:bidi w:val="0"/>
        <w:spacing w:before="120" w:after="283"/>
        <w:ind w:left="0" w:right="0" w:firstLine="400"/>
        <w:jc w:val="left"/>
        <w:rPr>
          <w:rFonts w:ascii="Times New Roman;Times;serif" w:hAnsi="Times New Roman;Times;serif"/>
          <w:color w:val="000000"/>
          <w:sz w:val="20"/>
        </w:rPr>
      </w:pPr>
      <w:bookmarkStart w:id="103" w:name="tANXBAS222"/>
      <w:bookmarkEnd w:id="103"/>
      <w:r>
        <w:rPr>
          <w:rFonts w:ascii="Times New Roman;Times;serif" w:hAnsi="Times New Roman;Times;serif"/>
          <w:color w:val="000000"/>
          <w:sz w:val="20"/>
        </w:rPr>
        <w:t>2.22 “</w:t>
      </w:r>
      <w:r>
        <w:rPr>
          <w:rFonts w:ascii="Times New Roman;Times;serif" w:hAnsi="Times New Roman;Times;serif"/>
          <w:color w:val="000000"/>
          <w:sz w:val="20"/>
          <w:u w:val="single"/>
        </w:rPr>
        <w:t>Grant Date</w:t>
      </w:r>
      <w:r>
        <w:rPr>
          <w:rFonts w:ascii="Times New Roman;Times;serif" w:hAnsi="Times New Roman;Times;serif"/>
          <w:color w:val="000000"/>
          <w:sz w:val="20"/>
        </w:rPr>
        <w:t xml:space="preserve">” means the date on which an Award is granted or such later date as specified in advance by the Committee. </w:t>
      </w:r>
    </w:p>
    <w:p>
      <w:pPr>
        <w:pStyle w:val="TextBody"/>
        <w:bidi w:val="0"/>
        <w:spacing w:before="170" w:after="283"/>
        <w:ind w:left="0" w:right="0" w:firstLine="400"/>
        <w:jc w:val="left"/>
        <w:rPr>
          <w:rFonts w:ascii="Times New Roman;Times;serif" w:hAnsi="Times New Roman;Times;serif"/>
          <w:color w:val="000000"/>
          <w:sz w:val="20"/>
        </w:rPr>
      </w:pPr>
      <w:bookmarkStart w:id="104" w:name="tANXBAS223"/>
      <w:bookmarkEnd w:id="104"/>
      <w:r>
        <w:rPr>
          <w:rFonts w:ascii="Times New Roman;Times;serif" w:hAnsi="Times New Roman;Times;serif"/>
          <w:color w:val="000000"/>
          <w:sz w:val="20"/>
        </w:rPr>
        <w:t>2.23 “</w:t>
      </w:r>
      <w:r>
        <w:rPr>
          <w:rFonts w:ascii="Times New Roman;Times;serif" w:hAnsi="Times New Roman;Times;serif"/>
          <w:color w:val="000000"/>
          <w:sz w:val="20"/>
          <w:u w:val="single"/>
        </w:rPr>
        <w:t>Grantee</w:t>
      </w:r>
      <w:r>
        <w:rPr>
          <w:rFonts w:ascii="Times New Roman;Times;serif" w:hAnsi="Times New Roman;Times;serif"/>
          <w:color w:val="000000"/>
          <w:sz w:val="20"/>
        </w:rPr>
        <w:t xml:space="preserve">” means a person who has been granted an Award. </w:t>
      </w:r>
    </w:p>
    <w:p>
      <w:pPr>
        <w:pStyle w:val="TextBody"/>
        <w:bidi w:val="0"/>
        <w:spacing w:before="120" w:after="283"/>
        <w:ind w:left="0" w:right="0" w:firstLine="400"/>
        <w:jc w:val="left"/>
        <w:rPr>
          <w:rFonts w:ascii="Times New Roman;Times;serif" w:hAnsi="Times New Roman;Times;serif"/>
          <w:color w:val="000000"/>
          <w:sz w:val="20"/>
        </w:rPr>
      </w:pPr>
      <w:bookmarkStart w:id="105" w:name="tANXBAS224"/>
      <w:bookmarkEnd w:id="105"/>
      <w:r>
        <w:rPr>
          <w:rFonts w:ascii="Times New Roman;Times;serif" w:hAnsi="Times New Roman;Times;serif"/>
          <w:color w:val="000000"/>
          <w:sz w:val="20"/>
        </w:rPr>
        <w:t>2.24 “</w:t>
      </w:r>
      <w:r>
        <w:rPr>
          <w:rFonts w:ascii="Times New Roman;Times;serif" w:hAnsi="Times New Roman;Times;serif"/>
          <w:color w:val="000000"/>
          <w:sz w:val="20"/>
          <w:u w:val="single"/>
        </w:rPr>
        <w:t>Incentive Stock Option</w:t>
      </w:r>
      <w:r>
        <w:rPr>
          <w:rFonts w:ascii="Times New Roman;Times;serif" w:hAnsi="Times New Roman;Times;serif"/>
          <w:color w:val="000000"/>
          <w:sz w:val="20"/>
        </w:rPr>
        <w:t xml:space="preserve">” means an Option that is intended to meet the requirements of Section 422 of the Code. </w:t>
      </w:r>
    </w:p>
    <w:p>
      <w:pPr>
        <w:pStyle w:val="TextBody"/>
        <w:bidi w:val="0"/>
        <w:spacing w:before="120" w:after="283"/>
        <w:ind w:left="0" w:right="0" w:firstLine="400"/>
        <w:jc w:val="left"/>
        <w:rPr>
          <w:rFonts w:ascii="Times New Roman;Times;serif" w:hAnsi="Times New Roman;Times;serif"/>
          <w:color w:val="000000"/>
          <w:sz w:val="20"/>
        </w:rPr>
      </w:pPr>
      <w:bookmarkStart w:id="106" w:name="tANXBAS225"/>
      <w:bookmarkEnd w:id="106"/>
      <w:r>
        <w:rPr>
          <w:rFonts w:ascii="Times New Roman;Times;serif" w:hAnsi="Times New Roman;Times;serif"/>
          <w:color w:val="000000"/>
          <w:sz w:val="20"/>
        </w:rPr>
        <w:t>2.25 “</w:t>
      </w:r>
      <w:r>
        <w:rPr>
          <w:rFonts w:ascii="Times New Roman;Times;serif" w:hAnsi="Times New Roman;Times;serif"/>
          <w:color w:val="000000"/>
          <w:sz w:val="20"/>
          <w:u w:val="single"/>
        </w:rPr>
        <w:t>Including</w:t>
      </w:r>
      <w:r>
        <w:rPr>
          <w:rFonts w:ascii="Times New Roman;Times;serif" w:hAnsi="Times New Roman;Times;serif"/>
          <w:color w:val="000000"/>
          <w:sz w:val="20"/>
        </w:rPr>
        <w:t>” or “</w:t>
      </w:r>
      <w:r>
        <w:rPr>
          <w:rFonts w:ascii="Times New Roman;Times;serif" w:hAnsi="Times New Roman;Times;serif"/>
          <w:color w:val="000000"/>
          <w:sz w:val="20"/>
          <w:u w:val="single"/>
        </w:rPr>
        <w:t>includes</w:t>
      </w:r>
      <w:r>
        <w:rPr>
          <w:rFonts w:ascii="Times New Roman;Times;serif" w:hAnsi="Times New Roman;Times;serif"/>
          <w:color w:val="000000"/>
          <w:sz w:val="20"/>
        </w:rPr>
        <w:t xml:space="preserve">” means “including, without limitation,” or “includes, without limitation,” respectively. </w:t>
      </w:r>
    </w:p>
    <w:p>
      <w:pPr>
        <w:pStyle w:val="TextBody"/>
        <w:bidi w:val="0"/>
        <w:spacing w:before="160" w:after="283"/>
        <w:ind w:left="0" w:right="0" w:firstLine="400"/>
        <w:jc w:val="left"/>
        <w:rPr>
          <w:rFonts w:ascii="Times New Roman;Times;serif" w:hAnsi="Times New Roman;Times;serif"/>
          <w:color w:val="000000"/>
          <w:sz w:val="20"/>
        </w:rPr>
      </w:pPr>
      <w:bookmarkStart w:id="107" w:name="tANXBAS226"/>
      <w:bookmarkEnd w:id="107"/>
      <w:r>
        <w:rPr>
          <w:rFonts w:ascii="Times New Roman;Times;serif" w:hAnsi="Times New Roman;Times;serif"/>
          <w:color w:val="000000"/>
          <w:sz w:val="20"/>
        </w:rPr>
        <w:t>2.26 “</w:t>
      </w:r>
      <w:r>
        <w:rPr>
          <w:rFonts w:ascii="Times New Roman;Times;serif" w:hAnsi="Times New Roman;Times;serif"/>
          <w:color w:val="000000"/>
          <w:sz w:val="20"/>
          <w:u w:val="single"/>
        </w:rPr>
        <w:t>Management Committee</w:t>
      </w:r>
      <w:r>
        <w:rPr>
          <w:rFonts w:ascii="Times New Roman;Times;serif" w:hAnsi="Times New Roman;Times;serif"/>
          <w:color w:val="000000"/>
          <w:sz w:val="20"/>
        </w:rPr>
        <w:t xml:space="preserve">” has the meaning set forth in Section 3.1(b). </w:t>
      </w:r>
    </w:p>
    <w:p>
      <w:pPr>
        <w:pStyle w:val="TextBody"/>
        <w:bidi w:val="0"/>
        <w:spacing w:before="120" w:after="283"/>
        <w:ind w:left="0" w:right="0" w:firstLine="400"/>
        <w:jc w:val="left"/>
        <w:rPr>
          <w:rFonts w:ascii="Times New Roman;Times;serif" w:hAnsi="Times New Roman;Times;serif"/>
          <w:color w:val="000000"/>
          <w:sz w:val="20"/>
        </w:rPr>
      </w:pPr>
      <w:bookmarkStart w:id="108" w:name="tANXBAS227"/>
      <w:bookmarkEnd w:id="108"/>
      <w:r>
        <w:rPr>
          <w:rFonts w:ascii="Times New Roman;Times;serif" w:hAnsi="Times New Roman;Times;serif"/>
          <w:color w:val="000000"/>
          <w:sz w:val="20"/>
        </w:rPr>
        <w:t>2.27 “</w:t>
      </w:r>
      <w:r>
        <w:rPr>
          <w:rFonts w:ascii="Times New Roman;Times;serif" w:hAnsi="Times New Roman;Times;serif"/>
          <w:color w:val="000000"/>
          <w:sz w:val="20"/>
          <w:u w:val="single"/>
        </w:rPr>
        <w:t>Non-Employee Director</w:t>
      </w:r>
      <w:r>
        <w:rPr>
          <w:rFonts w:ascii="Times New Roman;Times;serif" w:hAnsi="Times New Roman;Times;serif"/>
          <w:color w:val="000000"/>
          <w:sz w:val="20"/>
        </w:rPr>
        <w:t xml:space="preserve">” means a member of the Board who is not an employee of the Company or any Affiliate. </w:t>
      </w:r>
    </w:p>
    <w:p>
      <w:pPr>
        <w:pStyle w:val="TextBody"/>
        <w:bidi w:val="0"/>
        <w:spacing w:before="160" w:after="283"/>
        <w:ind w:left="0" w:right="0" w:firstLine="400"/>
        <w:jc w:val="left"/>
        <w:rPr>
          <w:rFonts w:ascii="Times New Roman;Times;serif" w:hAnsi="Times New Roman;Times;serif"/>
          <w:color w:val="000000"/>
          <w:sz w:val="20"/>
        </w:rPr>
      </w:pPr>
      <w:bookmarkStart w:id="109" w:name="tANXBAS228"/>
      <w:bookmarkEnd w:id="109"/>
      <w:r>
        <w:rPr>
          <w:rFonts w:ascii="Times New Roman;Times;serif" w:hAnsi="Times New Roman;Times;serif"/>
          <w:color w:val="000000"/>
          <w:sz w:val="20"/>
        </w:rPr>
        <w:t>2.28 “</w:t>
      </w:r>
      <w:r>
        <w:rPr>
          <w:rFonts w:ascii="Times New Roman;Times;serif" w:hAnsi="Times New Roman;Times;serif"/>
          <w:color w:val="000000"/>
          <w:sz w:val="20"/>
          <w:u w:val="single"/>
        </w:rPr>
        <w:t>Option</w:t>
      </w:r>
      <w:r>
        <w:rPr>
          <w:rFonts w:ascii="Times New Roman;Times;serif" w:hAnsi="Times New Roman;Times;serif"/>
          <w:color w:val="000000"/>
          <w:sz w:val="20"/>
        </w:rPr>
        <w:t xml:space="preserve">” means an option granted under Article 6 of the Plan. </w:t>
      </w:r>
    </w:p>
    <w:p>
      <w:pPr>
        <w:pStyle w:val="TextBody"/>
        <w:bidi w:val="0"/>
        <w:spacing w:before="120" w:after="283"/>
        <w:ind w:left="0" w:right="0" w:firstLine="400"/>
        <w:jc w:val="left"/>
        <w:rPr>
          <w:rFonts w:ascii="Times New Roman;Times;serif" w:hAnsi="Times New Roman;Times;serif"/>
          <w:color w:val="000000"/>
          <w:sz w:val="20"/>
        </w:rPr>
      </w:pPr>
      <w:bookmarkStart w:id="110" w:name="tANXBAS229"/>
      <w:bookmarkEnd w:id="110"/>
      <w:r>
        <w:rPr>
          <w:rFonts w:ascii="Times New Roman;Times;serif" w:hAnsi="Times New Roman;Times;serif"/>
          <w:color w:val="000000"/>
          <w:sz w:val="20"/>
        </w:rPr>
        <w:t>2.29 “</w:t>
      </w:r>
      <w:r>
        <w:rPr>
          <w:rFonts w:ascii="Times New Roman;Times;serif" w:hAnsi="Times New Roman;Times;serif"/>
          <w:color w:val="000000"/>
          <w:sz w:val="20"/>
          <w:u w:val="single"/>
        </w:rPr>
        <w:t>Other Stock-Based Award</w:t>
      </w:r>
      <w:r>
        <w:rPr>
          <w:rFonts w:ascii="Times New Roman;Times;serif" w:hAnsi="Times New Roman;Times;serif"/>
          <w:color w:val="000000"/>
          <w:sz w:val="20"/>
        </w:rPr>
        <w:t xml:space="preserve">” means a right, granted under Article 13 hereof, that relates to or is valued by reference to Shares or other Awards relating to Shares. </w:t>
      </w:r>
    </w:p>
    <w:p>
      <w:pPr>
        <w:pStyle w:val="TextBody"/>
        <w:bidi w:val="0"/>
        <w:spacing w:before="120" w:after="283"/>
        <w:ind w:left="0" w:right="0" w:firstLine="400"/>
        <w:jc w:val="left"/>
        <w:rPr>
          <w:rFonts w:ascii="Times New Roman;Times;serif" w:hAnsi="Times New Roman;Times;serif"/>
          <w:color w:val="000000"/>
          <w:sz w:val="20"/>
        </w:rPr>
      </w:pPr>
      <w:bookmarkStart w:id="111" w:name="tANXBAS230"/>
      <w:bookmarkEnd w:id="111"/>
      <w:r>
        <w:rPr>
          <w:rFonts w:ascii="Times New Roman;Times;serif" w:hAnsi="Times New Roman;Times;serif"/>
          <w:color w:val="000000"/>
          <w:sz w:val="20"/>
        </w:rPr>
        <w:t>2.30 “</w:t>
      </w:r>
      <w:r>
        <w:rPr>
          <w:rFonts w:ascii="Times New Roman;Times;serif" w:hAnsi="Times New Roman;Times;serif"/>
          <w:color w:val="000000"/>
          <w:sz w:val="20"/>
          <w:u w:val="single"/>
        </w:rPr>
        <w:t>Performance Period</w:t>
      </w:r>
      <w:r>
        <w:rPr>
          <w:rFonts w:ascii="Times New Roman;Times;serif" w:hAnsi="Times New Roman;Times;serif"/>
          <w:color w:val="000000"/>
          <w:sz w:val="20"/>
        </w:rPr>
        <w:t xml:space="preserve">” means, with respect to an Award of Performance Shares or Performance Units, the period of time during which the performance vesting conditions applicable to such Award must be satisfied. </w:t>
      </w:r>
    </w:p>
    <w:p>
      <w:pPr>
        <w:pStyle w:val="TextBody"/>
        <w:bidi w:val="0"/>
        <w:spacing w:before="120" w:after="283"/>
        <w:ind w:left="0" w:right="0" w:firstLine="400"/>
        <w:jc w:val="left"/>
        <w:rPr>
          <w:rFonts w:ascii="Times New Roman;Times;serif" w:hAnsi="Times New Roman;Times;serif"/>
          <w:color w:val="000000"/>
          <w:sz w:val="20"/>
        </w:rPr>
      </w:pPr>
      <w:bookmarkStart w:id="112" w:name="tANXBAS231"/>
      <w:bookmarkEnd w:id="112"/>
      <w:r>
        <w:rPr>
          <w:rFonts w:ascii="Times New Roman;Times;serif" w:hAnsi="Times New Roman;Times;serif"/>
          <w:color w:val="000000"/>
          <w:sz w:val="20"/>
        </w:rPr>
        <w:t>2.31 “</w:t>
      </w:r>
      <w:r>
        <w:rPr>
          <w:rFonts w:ascii="Times New Roman;Times;serif" w:hAnsi="Times New Roman;Times;serif"/>
          <w:color w:val="000000"/>
          <w:sz w:val="20"/>
          <w:u w:val="single"/>
        </w:rPr>
        <w:t>Performance Share</w:t>
      </w:r>
      <w:r>
        <w:rPr>
          <w:rFonts w:ascii="Times New Roman;Times;serif" w:hAnsi="Times New Roman;Times;serif"/>
          <w:color w:val="000000"/>
          <w:sz w:val="20"/>
        </w:rPr>
        <w:t xml:space="preserve">” means any grant pursuant to Article 9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bidi w:val="0"/>
        <w:spacing w:before="200" w:after="200"/>
        <w:jc w:val="left"/>
        <w:rPr/>
      </w:pPr>
      <w:r>
        <w:rPr/>
      </w:r>
    </w:p>
    <w:p>
      <w:pPr>
        <w:pStyle w:val="TextBody"/>
        <w:bidi w:val="0"/>
        <w:jc w:val="left"/>
        <w:rPr/>
      </w:pPr>
      <w:hyperlink w:anchor="TOC">
        <w:bookmarkStart w:id="113" w:name="ny20080978x2_def14a_301-annexb_pg8"/>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14" w:name="tANXBAS232"/>
      <w:bookmarkEnd w:id="114"/>
      <w:r>
        <w:rPr>
          <w:rFonts w:ascii="Times New Roman;Times;serif" w:hAnsi="Times New Roman;Times;serif"/>
          <w:color w:val="000000"/>
          <w:sz w:val="20"/>
        </w:rPr>
        <w:t>2.32 “</w:t>
      </w:r>
      <w:r>
        <w:rPr>
          <w:rFonts w:ascii="Times New Roman;Times;serif" w:hAnsi="Times New Roman;Times;serif"/>
          <w:color w:val="000000"/>
          <w:sz w:val="20"/>
          <w:u w:val="single"/>
        </w:rPr>
        <w:t>Performance Unit</w:t>
      </w:r>
      <w:r>
        <w:rPr>
          <w:rFonts w:ascii="Times New Roman;Times;serif" w:hAnsi="Times New Roman;Times;serif"/>
          <w:color w:val="000000"/>
          <w:sz w:val="20"/>
        </w:rPr>
        <w:t xml:space="preserve">” means any grant pursuant to Article 9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p>
      <w:pPr>
        <w:pStyle w:val="TextBody"/>
        <w:bidi w:val="0"/>
        <w:spacing w:before="120" w:after="283"/>
        <w:ind w:left="0" w:right="0" w:firstLine="400"/>
        <w:jc w:val="left"/>
        <w:rPr>
          <w:rFonts w:ascii="Times New Roman;Times;serif" w:hAnsi="Times New Roman;Times;serif"/>
          <w:color w:val="000000"/>
          <w:sz w:val="20"/>
        </w:rPr>
      </w:pPr>
      <w:bookmarkStart w:id="115" w:name="tANXBAS233"/>
      <w:bookmarkEnd w:id="115"/>
      <w:r>
        <w:rPr>
          <w:rFonts w:ascii="Times New Roman;Times;serif" w:hAnsi="Times New Roman;Times;serif"/>
          <w:color w:val="000000"/>
          <w:sz w:val="20"/>
        </w:rPr>
        <w:t>2.33 “</w:t>
      </w:r>
      <w:r>
        <w:rPr>
          <w:rFonts w:ascii="Times New Roman;Times;serif" w:hAnsi="Times New Roman;Times;serif"/>
          <w:color w:val="000000"/>
          <w:sz w:val="20"/>
          <w:u w:val="single"/>
        </w:rPr>
        <w:t>Period of Restriction</w:t>
      </w:r>
      <w:r>
        <w:rPr>
          <w:rFonts w:ascii="Times New Roman;Times;serif" w:hAnsi="Times New Roman;Times;serif"/>
          <w:color w:val="000000"/>
          <w:sz w:val="20"/>
        </w:rPr>
        <w:t xml:space="preserve">” means the period during which Restricted Shares are subject to forfeiture if the conditions specified in the Award Agreement are not satisfied. </w:t>
      </w:r>
    </w:p>
    <w:p>
      <w:pPr>
        <w:pStyle w:val="TextBody"/>
        <w:bidi w:val="0"/>
        <w:spacing w:before="120" w:after="283"/>
        <w:ind w:left="0" w:right="0" w:firstLine="400"/>
        <w:jc w:val="left"/>
        <w:rPr>
          <w:rFonts w:ascii="Times New Roman;Times;serif" w:hAnsi="Times New Roman;Times;serif"/>
          <w:color w:val="000000"/>
          <w:sz w:val="20"/>
        </w:rPr>
      </w:pPr>
      <w:bookmarkStart w:id="116" w:name="tANXBAS234"/>
      <w:bookmarkEnd w:id="116"/>
      <w:r>
        <w:rPr>
          <w:rFonts w:ascii="Times New Roman;Times;serif" w:hAnsi="Times New Roman;Times;serif"/>
          <w:color w:val="000000"/>
          <w:sz w:val="20"/>
        </w:rPr>
        <w:t>2.34 “</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any individual, sole proprietorship, partnership, joint venture, limited liability company, trust, unincorporated organization, association, corporation, institution, public benefit corporation, entity or government instrumentality, division, agency, body or department. </w:t>
      </w:r>
    </w:p>
    <w:p>
      <w:pPr>
        <w:pStyle w:val="TextBody"/>
        <w:bidi w:val="0"/>
        <w:spacing w:before="120" w:after="283"/>
        <w:ind w:left="0" w:right="0" w:firstLine="400"/>
        <w:jc w:val="left"/>
        <w:rPr>
          <w:rFonts w:ascii="Times New Roman;Times;serif" w:hAnsi="Times New Roman;Times;serif"/>
          <w:color w:val="000000"/>
          <w:sz w:val="20"/>
        </w:rPr>
      </w:pPr>
      <w:bookmarkStart w:id="117" w:name="tANXBS235"/>
      <w:bookmarkEnd w:id="117"/>
      <w:r>
        <w:rPr>
          <w:rFonts w:ascii="Times New Roman;Times;serif" w:hAnsi="Times New Roman;Times;serif"/>
          <w:color w:val="000000"/>
          <w:sz w:val="20"/>
        </w:rPr>
        <w:t>2.35 “</w:t>
      </w:r>
      <w:r>
        <w:rPr>
          <w:rFonts w:ascii="Times New Roman;Times;serif" w:hAnsi="Times New Roman;Times;serif"/>
          <w:color w:val="000000"/>
          <w:sz w:val="20"/>
          <w:u w:val="single"/>
        </w:rPr>
        <w:t>Restricted Shares</w:t>
      </w:r>
      <w:r>
        <w:rPr>
          <w:rFonts w:ascii="Times New Roman;Times;serif" w:hAnsi="Times New Roman;Times;serif"/>
          <w:color w:val="000000"/>
          <w:sz w:val="20"/>
        </w:rPr>
        <w:t xml:space="preserve">” means Shares, granted under Article 8, that are both subject to forfeiture and are nontransferable if the Grantee does not satisfy the conditions specified in the Award Agreement applicable to such Shares. </w:t>
      </w:r>
    </w:p>
    <w:p>
      <w:pPr>
        <w:pStyle w:val="TextBody"/>
        <w:bidi w:val="0"/>
        <w:spacing w:before="120" w:after="283"/>
        <w:ind w:left="0" w:right="0" w:firstLine="400"/>
        <w:jc w:val="left"/>
        <w:rPr>
          <w:rFonts w:ascii="Times New Roman;Times;serif" w:hAnsi="Times New Roman;Times;serif"/>
          <w:color w:val="000000"/>
          <w:sz w:val="20"/>
        </w:rPr>
      </w:pPr>
      <w:bookmarkStart w:id="118" w:name="tANXBAS236"/>
      <w:bookmarkEnd w:id="118"/>
      <w:r>
        <w:rPr>
          <w:rFonts w:ascii="Times New Roman;Times;serif" w:hAnsi="Times New Roman;Times;serif"/>
          <w:color w:val="000000"/>
          <w:sz w:val="20"/>
        </w:rPr>
        <w:t>2.36 “</w:t>
      </w:r>
      <w:r>
        <w:rPr>
          <w:rFonts w:ascii="Times New Roman;Times;serif" w:hAnsi="Times New Roman;Times;serif"/>
          <w:color w:val="000000"/>
          <w:sz w:val="20"/>
          <w:u w:val="single"/>
        </w:rPr>
        <w:t>Restricted Stock Units</w:t>
      </w:r>
      <w:r>
        <w:rPr>
          <w:rFonts w:ascii="Times New Roman;Times;serif" w:hAnsi="Times New Roman;Times;serif"/>
          <w:color w:val="000000"/>
          <w:sz w:val="20"/>
        </w:rPr>
        <w:t>” are rights, granted under Article 10, to receive Shares if the Grantee satisfies the conditions specified in the Award Agreement applicable to such rights.</w:t>
      </w:r>
    </w:p>
    <w:p>
      <w:pPr>
        <w:pStyle w:val="TextBody"/>
        <w:bidi w:val="0"/>
        <w:spacing w:before="120" w:after="283"/>
        <w:ind w:left="0" w:right="0" w:firstLine="400"/>
        <w:jc w:val="left"/>
        <w:rPr>
          <w:rFonts w:ascii="Times New Roman;Times;serif" w:hAnsi="Times New Roman;Times;serif"/>
          <w:color w:val="000000"/>
          <w:sz w:val="20"/>
        </w:rPr>
      </w:pPr>
      <w:bookmarkStart w:id="119" w:name="tANXBAS237"/>
      <w:bookmarkEnd w:id="119"/>
      <w:r>
        <w:rPr>
          <w:rFonts w:ascii="Times New Roman;Times;serif" w:hAnsi="Times New Roman;Times;serif"/>
          <w:color w:val="000000"/>
          <w:sz w:val="20"/>
        </w:rPr>
        <w:t>2.37 “</w:t>
      </w:r>
      <w:r>
        <w:rPr>
          <w:rFonts w:ascii="Times New Roman;Times;serif" w:hAnsi="Times New Roman;Times;serif"/>
          <w:color w:val="000000"/>
          <w:sz w:val="20"/>
          <w:u w:val="single"/>
        </w:rPr>
        <w:t>Rule 16b-3</w:t>
      </w:r>
      <w:r>
        <w:rPr>
          <w:rFonts w:ascii="Times New Roman;Times;serif" w:hAnsi="Times New Roman;Times;serif"/>
          <w:color w:val="000000"/>
          <w:sz w:val="20"/>
        </w:rPr>
        <w:t>” means Rule 16b-3 promulgated by the SEC under the Exchange Act, as amended from time to time, together with any successor rule.</w:t>
      </w:r>
    </w:p>
    <w:p>
      <w:pPr>
        <w:pStyle w:val="TextBody"/>
        <w:bidi w:val="0"/>
        <w:spacing w:before="170" w:after="283"/>
        <w:ind w:left="0" w:right="0" w:firstLine="400"/>
        <w:jc w:val="left"/>
        <w:rPr>
          <w:rFonts w:ascii="Times New Roman;Times;serif" w:hAnsi="Times New Roman;Times;serif"/>
          <w:color w:val="000000"/>
          <w:sz w:val="20"/>
        </w:rPr>
      </w:pPr>
      <w:bookmarkStart w:id="120" w:name="tANXBAS238"/>
      <w:bookmarkEnd w:id="120"/>
      <w:r>
        <w:rPr>
          <w:rFonts w:ascii="Times New Roman;Times;serif" w:hAnsi="Times New Roman;Times;serif"/>
          <w:color w:val="000000"/>
          <w:sz w:val="20"/>
        </w:rPr>
        <w:t>2.38 “</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United States Securities and Exchange Commission, or any successor thereto. </w:t>
      </w:r>
    </w:p>
    <w:p>
      <w:pPr>
        <w:pStyle w:val="TextBody"/>
        <w:bidi w:val="0"/>
        <w:spacing w:before="120" w:after="283"/>
        <w:ind w:left="0" w:right="0" w:firstLine="400"/>
        <w:jc w:val="left"/>
        <w:rPr>
          <w:rFonts w:ascii="Times New Roman;Times;serif" w:hAnsi="Times New Roman;Times;serif"/>
          <w:color w:val="000000"/>
          <w:sz w:val="20"/>
        </w:rPr>
      </w:pPr>
      <w:bookmarkStart w:id="121" w:name="tANXBAS239"/>
      <w:bookmarkEnd w:id="121"/>
      <w:r>
        <w:rPr>
          <w:rFonts w:ascii="Times New Roman;Times;serif" w:hAnsi="Times New Roman;Times;serif"/>
          <w:color w:val="000000"/>
          <w:sz w:val="20"/>
        </w:rPr>
        <w:t>2.39 “</w:t>
      </w:r>
      <w:r>
        <w:rPr>
          <w:rFonts w:ascii="Times New Roman;Times;serif" w:hAnsi="Times New Roman;Times;serif"/>
          <w:color w:val="000000"/>
          <w:sz w:val="20"/>
          <w:u w:val="single"/>
        </w:rPr>
        <w:t>Section 16 Non-Employee Director</w:t>
      </w:r>
      <w:r>
        <w:rPr>
          <w:rFonts w:ascii="Times New Roman;Times;serif" w:hAnsi="Times New Roman;Times;serif"/>
          <w:color w:val="000000"/>
          <w:sz w:val="20"/>
        </w:rPr>
        <w:t xml:space="preserve">” means a member of the Board who satisfies the requirements to qualify as a “non-employee director” under Rule 16b-3. </w:t>
      </w:r>
    </w:p>
    <w:p>
      <w:pPr>
        <w:pStyle w:val="TextBody"/>
        <w:bidi w:val="0"/>
        <w:spacing w:before="120" w:after="283"/>
        <w:ind w:left="0" w:right="0" w:firstLine="400"/>
        <w:jc w:val="left"/>
        <w:rPr>
          <w:rFonts w:ascii="Times New Roman;Times;serif" w:hAnsi="Times New Roman;Times;serif"/>
          <w:color w:val="000000"/>
          <w:sz w:val="20"/>
        </w:rPr>
      </w:pPr>
      <w:bookmarkStart w:id="122" w:name="tANXBAS240"/>
      <w:bookmarkEnd w:id="122"/>
      <w:r>
        <w:rPr>
          <w:rFonts w:ascii="Times New Roman;Times;serif" w:hAnsi="Times New Roman;Times;serif"/>
          <w:color w:val="000000"/>
          <w:sz w:val="20"/>
        </w:rPr>
        <w:t>2.40 “</w:t>
      </w:r>
      <w:r>
        <w:rPr>
          <w:rFonts w:ascii="Times New Roman;Times;serif" w:hAnsi="Times New Roman;Times;serif"/>
          <w:color w:val="000000"/>
          <w:sz w:val="20"/>
          <w:u w:val="single"/>
        </w:rPr>
        <w:t>Section 16 Person</w:t>
      </w:r>
      <w:r>
        <w:rPr>
          <w:rFonts w:ascii="Times New Roman;Times;serif" w:hAnsi="Times New Roman;Times;serif"/>
          <w:color w:val="000000"/>
          <w:sz w:val="20"/>
        </w:rPr>
        <w:t xml:space="preserve">” means a person who is subject to potential liability under Section 16(b) of the Exchange Act with respect to transactions involving equity securities of the Company. </w:t>
      </w:r>
    </w:p>
    <w:p>
      <w:pPr>
        <w:pStyle w:val="TextBody"/>
        <w:bidi w:val="0"/>
        <w:spacing w:before="120" w:after="283"/>
        <w:ind w:left="0" w:right="0" w:firstLine="400"/>
        <w:jc w:val="left"/>
        <w:rPr>
          <w:rFonts w:ascii="Times New Roman;Times;serif" w:hAnsi="Times New Roman;Times;serif"/>
          <w:color w:val="000000"/>
          <w:sz w:val="20"/>
        </w:rPr>
      </w:pPr>
      <w:bookmarkStart w:id="123" w:name="tANXBAS241"/>
      <w:bookmarkEnd w:id="123"/>
      <w:r>
        <w:rPr>
          <w:rFonts w:ascii="Times New Roman;Times;serif" w:hAnsi="Times New Roman;Times;serif"/>
          <w:color w:val="000000"/>
          <w:sz w:val="20"/>
        </w:rPr>
        <w:t>2.41 “</w:t>
      </w:r>
      <w:r>
        <w:rPr>
          <w:rFonts w:ascii="Times New Roman;Times;serif" w:hAnsi="Times New Roman;Times;serif"/>
          <w:color w:val="000000"/>
          <w:sz w:val="20"/>
          <w:u w:val="single"/>
        </w:rPr>
        <w:t>Separation from Service</w:t>
      </w:r>
      <w:r>
        <w:rPr>
          <w:rFonts w:ascii="Times New Roman;Times;serif" w:hAnsi="Times New Roman;Times;serif"/>
          <w:color w:val="000000"/>
          <w:sz w:val="20"/>
        </w:rPr>
        <w:t xml:space="preserve">”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 </w:t>
      </w:r>
    </w:p>
    <w:p>
      <w:pPr>
        <w:pStyle w:val="TextBody"/>
        <w:bidi w:val="0"/>
        <w:spacing w:before="120" w:after="283"/>
        <w:ind w:left="0" w:right="0" w:firstLine="400"/>
        <w:jc w:val="left"/>
        <w:rPr>
          <w:rFonts w:ascii="Times New Roman;Times;serif" w:hAnsi="Times New Roman;Times;serif"/>
          <w:color w:val="000000"/>
          <w:sz w:val="20"/>
        </w:rPr>
      </w:pPr>
      <w:bookmarkStart w:id="124" w:name="tANXBAS242"/>
      <w:bookmarkEnd w:id="124"/>
      <w:r>
        <w:rPr>
          <w:rFonts w:ascii="Times New Roman;Times;serif" w:hAnsi="Times New Roman;Times;serif"/>
          <w:color w:val="000000"/>
          <w:sz w:val="20"/>
        </w:rPr>
        <w:t>2.42 “</w:t>
      </w:r>
      <w:r>
        <w:rPr>
          <w:rFonts w:ascii="Times New Roman;Times;serif" w:hAnsi="Times New Roman;Times;serif"/>
          <w:color w:val="000000"/>
          <w:sz w:val="20"/>
          <w:u w:val="single"/>
        </w:rPr>
        <w:t>Share</w:t>
      </w:r>
      <w:r>
        <w:rPr>
          <w:rFonts w:ascii="Times New Roman;Times;serif" w:hAnsi="Times New Roman;Times;serif"/>
          <w:color w:val="000000"/>
          <w:sz w:val="20"/>
        </w:rPr>
        <w:t xml:space="preserve">” means a share of Common Stock, and such other securities of the Company, as may be substituted or resubstituted for Shares pursuant to Section 4.2 hereof. </w:t>
      </w:r>
    </w:p>
    <w:p>
      <w:pPr>
        <w:pStyle w:val="TextBody"/>
        <w:bidi w:val="0"/>
        <w:spacing w:before="170" w:after="283"/>
        <w:ind w:left="0" w:right="0" w:firstLine="400"/>
        <w:jc w:val="left"/>
        <w:rPr>
          <w:rFonts w:ascii="Times New Roman;Times;serif" w:hAnsi="Times New Roman;Times;serif"/>
          <w:color w:val="000000"/>
          <w:sz w:val="20"/>
        </w:rPr>
      </w:pPr>
      <w:bookmarkStart w:id="125" w:name="tANXBAS243"/>
      <w:bookmarkEnd w:id="125"/>
      <w:r>
        <w:rPr>
          <w:rFonts w:ascii="Times New Roman;Times;serif" w:hAnsi="Times New Roman;Times;serif"/>
          <w:color w:val="000000"/>
          <w:sz w:val="20"/>
        </w:rPr>
        <w:t>2.43 “</w:t>
      </w:r>
      <w:r>
        <w:rPr>
          <w:rFonts w:ascii="Times New Roman;Times;serif" w:hAnsi="Times New Roman;Times;serif"/>
          <w:color w:val="000000"/>
          <w:sz w:val="20"/>
          <w:u w:val="single"/>
        </w:rPr>
        <w:t>Stock Appreciation Right</w:t>
      </w:r>
      <w:r>
        <w:rPr>
          <w:rFonts w:ascii="Times New Roman;Times;serif" w:hAnsi="Times New Roman;Times;serif"/>
          <w:color w:val="000000"/>
          <w:sz w:val="20"/>
        </w:rPr>
        <w:t>” or “</w:t>
      </w:r>
      <w:r>
        <w:rPr>
          <w:rFonts w:ascii="Times New Roman;Times;serif" w:hAnsi="Times New Roman;Times;serif"/>
          <w:color w:val="000000"/>
          <w:sz w:val="20"/>
          <w:u w:val="single"/>
        </w:rPr>
        <w:t>SAR</w:t>
      </w:r>
      <w:r>
        <w:rPr>
          <w:rFonts w:ascii="Times New Roman;Times;serif" w:hAnsi="Times New Roman;Times;serif"/>
          <w:color w:val="000000"/>
          <w:sz w:val="20"/>
        </w:rPr>
        <w:t xml:space="preserve">” means an Award granted under Article 7 of the Plan. </w:t>
      </w:r>
    </w:p>
    <w:p>
      <w:pPr>
        <w:pStyle w:val="TextBody"/>
        <w:bidi w:val="0"/>
        <w:spacing w:before="120" w:after="283"/>
        <w:ind w:left="0" w:right="0" w:firstLine="400"/>
        <w:jc w:val="left"/>
        <w:rPr>
          <w:rFonts w:ascii="Times New Roman;Times;serif" w:hAnsi="Times New Roman;Times;serif"/>
          <w:color w:val="000000"/>
          <w:sz w:val="20"/>
        </w:rPr>
      </w:pPr>
      <w:bookmarkStart w:id="126" w:name="tANXBAS244"/>
      <w:bookmarkEnd w:id="126"/>
      <w:r>
        <w:rPr>
          <w:rFonts w:ascii="Times New Roman;Times;serif" w:hAnsi="Times New Roman;Times;serif"/>
          <w:color w:val="000000"/>
          <w:sz w:val="20"/>
        </w:rPr>
        <w:t>2.44 “</w:t>
      </w:r>
      <w:r>
        <w:rPr>
          <w:rFonts w:ascii="Times New Roman;Times;serif" w:hAnsi="Times New Roman;Times;serif"/>
          <w:color w:val="000000"/>
          <w:sz w:val="20"/>
          <w:u w:val="single"/>
        </w:rPr>
        <w:t>Subsidiary Corporation</w:t>
      </w:r>
      <w:r>
        <w:rPr>
          <w:rFonts w:ascii="Times New Roman;Times;serif" w:hAnsi="Times New Roman;Times;serif"/>
          <w:color w:val="000000"/>
          <w:sz w:val="20"/>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chain. </w:t>
      </w:r>
    </w:p>
    <w:p>
      <w:pPr>
        <w:pStyle w:val="TextBody"/>
        <w:bidi w:val="0"/>
        <w:spacing w:before="120" w:after="283"/>
        <w:ind w:left="0" w:right="0" w:firstLine="400"/>
        <w:jc w:val="left"/>
        <w:rPr>
          <w:rFonts w:ascii="Times New Roman;Times;serif" w:hAnsi="Times New Roman;Times;serif"/>
          <w:color w:val="000000"/>
          <w:sz w:val="20"/>
        </w:rPr>
      </w:pPr>
      <w:bookmarkStart w:id="127" w:name="tANXBAS245"/>
      <w:bookmarkEnd w:id="127"/>
      <w:r>
        <w:rPr>
          <w:rFonts w:ascii="Times New Roman;Times;serif" w:hAnsi="Times New Roman;Times;serif"/>
          <w:color w:val="000000"/>
          <w:sz w:val="20"/>
        </w:rPr>
        <w:t>2.45 “</w:t>
      </w:r>
      <w:r>
        <w:rPr>
          <w:rFonts w:ascii="Times New Roman;Times;serif" w:hAnsi="Times New Roman;Times;serif"/>
          <w:color w:val="000000"/>
          <w:sz w:val="20"/>
          <w:u w:val="single"/>
        </w:rPr>
        <w:t>Surviving Company</w:t>
      </w:r>
      <w:r>
        <w:rPr>
          <w:rFonts w:ascii="Times New Roman;Times;serif" w:hAnsi="Times New Roman;Times;serif"/>
          <w:color w:val="000000"/>
          <w:sz w:val="20"/>
        </w:rPr>
        <w:t xml:space="preserve">”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bidi w:val="0"/>
        <w:spacing w:before="200" w:after="200"/>
        <w:jc w:val="left"/>
        <w:rPr/>
      </w:pPr>
      <w:r>
        <w:rPr/>
      </w:r>
    </w:p>
    <w:p>
      <w:pPr>
        <w:pStyle w:val="TextBody"/>
        <w:bidi w:val="0"/>
        <w:jc w:val="left"/>
        <w:rPr/>
      </w:pPr>
      <w:hyperlink w:anchor="TOC">
        <w:bookmarkStart w:id="128" w:name="ny20080978x2_def14a_301-annexb_pg9"/>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29" w:name="tANXBAS246"/>
      <w:bookmarkEnd w:id="129"/>
      <w:r>
        <w:rPr>
          <w:rFonts w:ascii="Times New Roman;Times;serif" w:hAnsi="Times New Roman;Times;serif"/>
          <w:color w:val="000000"/>
          <w:sz w:val="20"/>
        </w:rPr>
        <w:t>2.46 “</w:t>
      </w:r>
      <w:r>
        <w:rPr>
          <w:rFonts w:ascii="Times New Roman;Times;serif" w:hAnsi="Times New Roman;Times;serif"/>
          <w:color w:val="000000"/>
          <w:sz w:val="20"/>
          <w:u w:val="single"/>
        </w:rPr>
        <w:t>Term</w:t>
      </w:r>
      <w:r>
        <w:rPr>
          <w:rFonts w:ascii="Times New Roman;Times;serif" w:hAnsi="Times New Roman;Times;serif"/>
          <w:color w:val="000000"/>
          <w:sz w:val="20"/>
        </w:rPr>
        <w:t xml:space="preserve">” of any Option or SAR means the period beginning on the Grant Date of an Option or SAR and ending on the date such Option or SAR expires, terminates or is cancelled. No Option or SAR granted under this Plan shall have a Term exceeding 10 years. </w:t>
      </w:r>
    </w:p>
    <w:p>
      <w:pPr>
        <w:pStyle w:val="TextBody"/>
        <w:bidi w:val="0"/>
        <w:spacing w:before="120" w:after="283"/>
        <w:ind w:left="0" w:right="0" w:firstLine="400"/>
        <w:jc w:val="left"/>
        <w:rPr>
          <w:rFonts w:ascii="Times New Roman;Times;serif" w:hAnsi="Times New Roman;Times;serif"/>
          <w:color w:val="000000"/>
          <w:sz w:val="20"/>
        </w:rPr>
      </w:pPr>
      <w:bookmarkStart w:id="130" w:name="tANXBAS247"/>
      <w:bookmarkEnd w:id="130"/>
      <w:r>
        <w:rPr>
          <w:rFonts w:ascii="Times New Roman;Times;serif" w:hAnsi="Times New Roman;Times;serif"/>
          <w:color w:val="000000"/>
          <w:sz w:val="20"/>
        </w:rPr>
        <w:t>2.47 “</w:t>
      </w:r>
      <w:r>
        <w:rPr>
          <w:rFonts w:ascii="Times New Roman;Times;serif" w:hAnsi="Times New Roman;Times;serif"/>
          <w:color w:val="000000"/>
          <w:sz w:val="20"/>
          <w:u w:val="single"/>
        </w:rPr>
        <w:t>Termination of Affiliation</w:t>
      </w:r>
      <w:r>
        <w:rPr>
          <w:rFonts w:ascii="Times New Roman;Times;serif" w:hAnsi="Times New Roman;Times;serif"/>
          <w:color w:val="000000"/>
          <w:sz w:val="20"/>
        </w:rPr>
        <w:t>” occurs on the first day on which an individual is for any reason no longer performing services for the Company or any Affiliate in the capacity of an employee of, a non-employee consultant to, or a Non-Employee Director of, the Company or any Affiliate (other than an Eligible Person who is on a bona fide leave of absence)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pStyle w:val="TextBody"/>
        <w:bidi w:val="0"/>
        <w:spacing w:before="240" w:after="283"/>
        <w:jc w:val="center"/>
        <w:rPr>
          <w:rFonts w:ascii="Times New Roman;Times;serif" w:hAnsi="Times New Roman;Times;serif"/>
          <w:b/>
          <w:color w:val="000000"/>
          <w:sz w:val="20"/>
        </w:rPr>
      </w:pPr>
      <w:bookmarkStart w:id="131" w:name="tANXBA3"/>
      <w:bookmarkEnd w:id="131"/>
      <w:r>
        <w:rPr>
          <w:rFonts w:ascii="Times New Roman;Times;serif" w:hAnsi="Times New Roman;Times;serif"/>
          <w:b/>
          <w:color w:val="000000"/>
          <w:sz w:val="20"/>
        </w:rPr>
        <w:t xml:space="preserve">Article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Administration </w:t>
      </w:r>
    </w:p>
    <w:p>
      <w:pPr>
        <w:pStyle w:val="TextBody"/>
        <w:bidi w:val="0"/>
        <w:spacing w:before="140" w:after="283"/>
        <w:ind w:left="0" w:right="0" w:firstLine="400"/>
        <w:jc w:val="left"/>
        <w:rPr>
          <w:rFonts w:ascii="Times New Roman;Times;serif" w:hAnsi="Times New Roman;Times;serif"/>
          <w:color w:val="000000"/>
          <w:sz w:val="20"/>
        </w:rPr>
      </w:pPr>
      <w:bookmarkStart w:id="132" w:name="tANXBAS31"/>
      <w:bookmarkEnd w:id="132"/>
      <w:r>
        <w:rPr>
          <w:rFonts w:ascii="Times New Roman;Times;serif" w:hAnsi="Times New Roman;Times;serif"/>
          <w:color w:val="000000"/>
          <w:sz w:val="20"/>
        </w:rPr>
        <w:t>3.1 </w:t>
      </w:r>
      <w:r>
        <w:rPr>
          <w:rFonts w:ascii="Times New Roman;Times;serif" w:hAnsi="Times New Roman;Times;serif"/>
          <w:color w:val="000000"/>
          <w:sz w:val="20"/>
          <w:u w:val="single"/>
        </w:rPr>
        <w:t>Committee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 </w:t>
      </w:r>
    </w:p>
    <w:p>
      <w:pPr>
        <w:pStyle w:val="TextBody"/>
        <w:bidi w:val="0"/>
        <w:spacing w:before="120" w:after="283"/>
        <w:ind w:left="0" w:right="0" w:firstLine="400"/>
        <w:jc w:val="left"/>
        <w:rPr>
          <w:rFonts w:ascii="Times New Roman;Times;serif" w:hAnsi="Times New Roman;Times;serif"/>
          <w:color w:val="000000"/>
          <w:sz w:val="20"/>
        </w:rPr>
      </w:pPr>
      <w:bookmarkStart w:id="133" w:name="tANXBAS32"/>
      <w:bookmarkEnd w:id="133"/>
      <w:r>
        <w:rPr>
          <w:rFonts w:ascii="Times New Roman;Times;serif" w:hAnsi="Times New Roman;Times;serif"/>
          <w:color w:val="000000"/>
          <w:sz w:val="20"/>
        </w:rPr>
        <w:t>3.2 </w:t>
      </w:r>
      <w:r>
        <w:rPr>
          <w:rFonts w:ascii="Times New Roman;Times;serif" w:hAnsi="Times New Roman;Times;serif"/>
          <w:color w:val="000000"/>
          <w:sz w:val="20"/>
          <w:u w:val="single"/>
        </w:rPr>
        <w:t>Powers of Committee</w:t>
      </w:r>
      <w:r>
        <w:rPr>
          <w:rFonts w:ascii="Times New Roman;Times;serif" w:hAnsi="Times New Roman;Times;serif"/>
          <w:color w:val="000000"/>
          <w:sz w:val="20"/>
        </w:rPr>
        <w:t xml:space="preserve">.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 determine when, to whom and in what types and amounts Awards should be granted;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determine the benefit payable under any Performance Unit, Performance Share, Dividend Equivalent, Other Stock-Based Award or Cash Incentive Award and to determine whether any performance or vesting conditions have been satisfied;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bidi w:val="0"/>
        <w:spacing w:before="200" w:after="200"/>
        <w:jc w:val="left"/>
        <w:rPr/>
      </w:pPr>
      <w:r>
        <w:rPr/>
      </w:r>
    </w:p>
    <w:p>
      <w:pPr>
        <w:pStyle w:val="TextBody"/>
        <w:bidi w:val="0"/>
        <w:jc w:val="left"/>
        <w:rPr/>
      </w:pPr>
      <w:hyperlink w:anchor="TOC">
        <w:bookmarkStart w:id="134" w:name="ny20080978x2_def14a_301-annexb_pg10"/>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determine whether or not specific Awards shall be granted in connection with other specific Awards, and if so, whether they shall be exercisable cumulatively with, or alternatively to, such other specific Awards and all other matters to be determined in connection with an Award;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(e) to determine the Term of any Option or SAR;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(i) to offer to exchange or buy out any previously granted Award for a payment in cash, Shares or other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(j) to construe and interpret the Plan and to make all determinations, including factual determinations, necessary or advisable for the administration of the Plan;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(k) to make, amend, suspend, waive and rescind rules and regulations relating to the Plan;</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(l) to appoint such agents as the Committee may deem necessary or advisable to administer the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 (ii) which is necessary or advisable (as determined by the Committee) to carry out the purpose of the Award as a result of any new applicable law or change in an existing applicable law, or (iii) to the extent the Award Agreement specifically permits amendment without consent;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(n) to cancel, with the consent of the Grantee, outstanding Awards and to grant new Awards in substitution therefor;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(o) to impose such additional terms and conditions upon the grant, exercise or retention of Awards as the Committee may, before or concurrently with the grant thereof, deem appropriate, including limiting the percentage of Awards which may from time to time be exercised by a Grantee;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(q) to correct any defect or supply any omission or reconcile any inconsistency, and to construe and interpret the Plan, the rules and regulations, and Award Agreement or any other instrument entered into or relating to an Award under the Plan;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(r) to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bidi w:val="0"/>
        <w:spacing w:before="200" w:after="200"/>
        <w:jc w:val="left"/>
        <w:rPr/>
      </w:pPr>
      <w:r>
        <w:rPr/>
      </w:r>
    </w:p>
    <w:p>
      <w:pPr>
        <w:pStyle w:val="TextBody"/>
        <w:bidi w:val="0"/>
        <w:jc w:val="left"/>
        <w:rPr/>
      </w:pPr>
      <w:hyperlink w:anchor="TOC">
        <w:bookmarkStart w:id="135" w:name="ny20080978x2_def14a_301-annexb_pg11"/>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 </w:t>
      </w:r>
    </w:p>
    <w:p>
      <w:pPr>
        <w:pStyle w:val="TextBody"/>
        <w:bidi w:val="0"/>
        <w:spacing w:before="120" w:after="283"/>
        <w:ind w:left="0" w:right="0" w:firstLine="400"/>
        <w:jc w:val="left"/>
        <w:rPr>
          <w:rFonts w:ascii="Times New Roman;Times;serif" w:hAnsi="Times New Roman;Times;serif"/>
          <w:color w:val="000000"/>
          <w:sz w:val="20"/>
        </w:rPr>
      </w:pPr>
      <w:bookmarkStart w:id="136" w:name="tANXBAS33"/>
      <w:bookmarkEnd w:id="136"/>
      <w:r>
        <w:rPr>
          <w:rFonts w:ascii="Times New Roman;Times;serif" w:hAnsi="Times New Roman;Times;serif"/>
          <w:color w:val="000000"/>
          <w:sz w:val="20"/>
        </w:rPr>
        <w:t>3.3 </w:t>
      </w:r>
      <w:r>
        <w:rPr>
          <w:rFonts w:ascii="Times New Roman;Times;serif" w:hAnsi="Times New Roman;Times;serif"/>
          <w:color w:val="000000"/>
          <w:sz w:val="20"/>
          <w:u w:val="single"/>
        </w:rPr>
        <w:t>No Repricings</w:t>
      </w:r>
      <w:r>
        <w:rPr>
          <w:rFonts w:ascii="Times New Roman;Times;serif" w:hAnsi="Times New Roman;Times;serif"/>
          <w:color w:val="000000"/>
          <w:sz w:val="20"/>
        </w:rPr>
        <w:t xml:space="preserve">. Notwithstanding any provision in Section 3.2 to the contrary, the terms of any outstanding Option or SAR may not be amended to reduce the Exercise Price of such Option or SAR or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without stockholder approval; provided, however, that the restrictions set forth in this Section 3.3, shall not apply (i) unless the Company has a class of stock that is registered under Section 12 of the Exchange Act or (ii) to any adjustment allowed under to Section 4.2. </w:t>
      </w:r>
    </w:p>
    <w:p>
      <w:pPr>
        <w:pStyle w:val="TextBody"/>
        <w:bidi w:val="0"/>
        <w:spacing w:before="240" w:after="283"/>
        <w:jc w:val="center"/>
        <w:rPr>
          <w:rFonts w:ascii="Times New Roman;Times;serif" w:hAnsi="Times New Roman;Times;serif"/>
          <w:b/>
          <w:color w:val="000000"/>
          <w:sz w:val="20"/>
        </w:rPr>
      </w:pPr>
      <w:bookmarkStart w:id="137" w:name="tANXBA4"/>
      <w:bookmarkEnd w:id="137"/>
      <w:r>
        <w:rPr>
          <w:rFonts w:ascii="Times New Roman;Times;serif" w:hAnsi="Times New Roman;Times;serif"/>
          <w:b/>
          <w:color w:val="000000"/>
          <w:sz w:val="20"/>
        </w:rPr>
        <w:t xml:space="preserve">Article 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Shares Subject to the Plan </w:t>
      </w:r>
    </w:p>
    <w:p>
      <w:pPr>
        <w:pStyle w:val="TextBody"/>
        <w:bidi w:val="0"/>
        <w:spacing w:before="120" w:after="283"/>
        <w:ind w:left="0" w:right="0" w:firstLine="400"/>
        <w:jc w:val="left"/>
        <w:rPr>
          <w:rFonts w:ascii="Times New Roman;Times;serif" w:hAnsi="Times New Roman;Times;serif"/>
          <w:color w:val="000000"/>
          <w:sz w:val="20"/>
        </w:rPr>
      </w:pPr>
      <w:bookmarkStart w:id="138" w:name="tANXBAS41"/>
      <w:bookmarkEnd w:id="138"/>
      <w:r>
        <w:rPr>
          <w:rFonts w:ascii="Times New Roman;Times;serif" w:hAnsi="Times New Roman;Times;serif"/>
          <w:color w:val="000000"/>
          <w:sz w:val="20"/>
        </w:rPr>
        <w:t>4.1 </w:t>
      </w:r>
      <w:r>
        <w:rPr>
          <w:rFonts w:ascii="Times New Roman;Times;serif" w:hAnsi="Times New Roman;Times;serif"/>
          <w:color w:val="000000"/>
          <w:sz w:val="20"/>
          <w:u w:val="single"/>
        </w:rPr>
        <w:t>Number of Shares Available for Grants</w:t>
      </w:r>
      <w:r>
        <w:rPr>
          <w:rFonts w:ascii="Times New Roman;Times;serif" w:hAnsi="Times New Roman;Times;serif"/>
          <w:color w:val="000000"/>
          <w:sz w:val="20"/>
        </w:rPr>
        <w:t xml:space="preserve">. Subject to adjustment as provided in Section 4.2 and except as provided in Section 5.6(b), the maximum number of Shares hereby reserved for delivery under the Plan shall be 13,000,000 Shares. Up to a maximum of 13,000,000 Shares may be delivered pursuant to the exercise of Incentive Stock Options granted 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Shares subject to an Award granted hereunder (other than a Substitute Award granted pursuant to Section 5.6(b)) are forfeited or such Award otherwise terminates without payment or delivery of such Shares or if such Award is settled in cash, the Shares subject to such Award, to the extent of any such forfeiture, termination or cash settlement, shall again be available for grant under the Plan. 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number of Shares available for issuance under the Plan may not be increased through the Company’s purchase of Shares on the open market with the proceeds obtained from the exercise of any Options granted hereunder.</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delivered pursuant to the Plan may be, in whole or in part, authorized and unissued Shares, or treasury Shares, including Shares repurchased by the Company for purposes of the Plan. </w:t>
      </w:r>
    </w:p>
    <w:p>
      <w:pPr>
        <w:pStyle w:val="TextBody"/>
        <w:bidi w:val="0"/>
        <w:spacing w:before="160" w:after="283"/>
        <w:ind w:left="0" w:right="0" w:firstLine="400"/>
        <w:jc w:val="left"/>
        <w:rPr>
          <w:rFonts w:ascii="Times New Roman;Times;serif" w:hAnsi="Times New Roman;Times;serif"/>
          <w:color w:val="000000"/>
          <w:sz w:val="20"/>
        </w:rPr>
      </w:pPr>
      <w:bookmarkStart w:id="139" w:name="tANXBAS42"/>
      <w:bookmarkEnd w:id="139"/>
      <w:r>
        <w:rPr>
          <w:rFonts w:ascii="Times New Roman;Times;serif" w:hAnsi="Times New Roman;Times;serif"/>
          <w:color w:val="000000"/>
          <w:sz w:val="20"/>
        </w:rPr>
        <w:t>4.2 </w:t>
      </w:r>
      <w:r>
        <w:rPr>
          <w:rFonts w:ascii="Times New Roman;Times;serif" w:hAnsi="Times New Roman;Times;serif"/>
          <w:color w:val="000000"/>
          <w:sz w:val="20"/>
          <w:u w:val="single"/>
        </w:rPr>
        <w:t>Adjustments in Authorized Shares and Awards; Corporate Transaction, Liquidation or Dissolution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Adjustment in Authorized Shares and Awards</w:t>
      </w:r>
      <w:r>
        <w:rPr>
          <w:rFonts w:ascii="Times New Roman;Times;serif" w:hAnsi="Times New Roman;Times;serif"/>
          <w:color w:val="000000"/>
          <w:sz w:val="20"/>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the number of Shares subject to any Award denominated in Shares shall always be a whole number.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bidi w:val="0"/>
        <w:spacing w:before="200" w:after="200"/>
        <w:jc w:val="left"/>
        <w:rPr/>
      </w:pPr>
      <w:r>
        <w:rPr/>
      </w:r>
    </w:p>
    <w:p>
      <w:pPr>
        <w:pStyle w:val="TextBody"/>
        <w:bidi w:val="0"/>
        <w:jc w:val="left"/>
        <w:rPr/>
      </w:pPr>
      <w:hyperlink w:anchor="TOC">
        <w:bookmarkStart w:id="140" w:name="ny20080978x2_def14a_301-annexb_pg12"/>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Merger, Consolidation or Similar Corporate Transaction</w:t>
      </w:r>
      <w:r>
        <w:rPr>
          <w:rFonts w:ascii="Times New Roman;Times;serif" w:hAnsi="Times New Roman;Times;serif"/>
          <w:color w:val="000000"/>
          <w:sz w:val="20"/>
        </w:rPr>
        <w:t xml:space="preserve">.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Liquidation or Dissolution of the Company</w:t>
      </w:r>
      <w:r>
        <w:rPr>
          <w:rFonts w:ascii="Times New Roman;Times;serif" w:hAnsi="Times New Roman;Times;serif"/>
          <w:color w:val="000000"/>
          <w:sz w:val="20"/>
        </w:rPr>
        <w:t xml:space="preserve">.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Deferred Compensation</w:t>
      </w:r>
      <w:r>
        <w:rPr>
          <w:rFonts w:ascii="Times New Roman;Times;serif" w:hAnsi="Times New Roman;Times;serif"/>
          <w:color w:val="000000"/>
          <w:sz w:val="20"/>
        </w:rPr>
        <w:t xml:space="preserve">.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 </w:t>
      </w:r>
    </w:p>
    <w:p>
      <w:pPr>
        <w:pStyle w:val="TextBody"/>
        <w:bidi w:val="0"/>
        <w:spacing w:before="240" w:after="283"/>
        <w:jc w:val="center"/>
        <w:rPr>
          <w:rFonts w:ascii="Times New Roman;Times;serif" w:hAnsi="Times New Roman;Times;serif"/>
          <w:b/>
          <w:color w:val="000000"/>
          <w:sz w:val="20"/>
        </w:rPr>
      </w:pPr>
      <w:bookmarkStart w:id="141" w:name="tANXBA5"/>
      <w:bookmarkEnd w:id="141"/>
      <w:r>
        <w:rPr>
          <w:rFonts w:ascii="Times New Roman;Times;serif" w:hAnsi="Times New Roman;Times;serif"/>
          <w:b/>
          <w:color w:val="000000"/>
          <w:sz w:val="20"/>
        </w:rPr>
        <w:t xml:space="preserve">Article 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Eligibility and General Conditions of Awards </w:t>
      </w:r>
    </w:p>
    <w:p>
      <w:pPr>
        <w:pStyle w:val="TextBody"/>
        <w:bidi w:val="0"/>
        <w:spacing w:before="120" w:after="283"/>
        <w:ind w:left="0" w:right="0" w:firstLine="400"/>
        <w:jc w:val="left"/>
        <w:rPr>
          <w:rFonts w:ascii="Times New Roman;Times;serif" w:hAnsi="Times New Roman;Times;serif"/>
          <w:color w:val="000000"/>
          <w:sz w:val="20"/>
        </w:rPr>
      </w:pPr>
      <w:bookmarkStart w:id="142" w:name="tANXBAS51"/>
      <w:bookmarkEnd w:id="142"/>
      <w:r>
        <w:rPr>
          <w:rFonts w:ascii="Times New Roman;Times;serif" w:hAnsi="Times New Roman;Times;serif"/>
          <w:color w:val="000000"/>
          <w:sz w:val="20"/>
        </w:rPr>
        <w:t>5.1 </w:t>
      </w:r>
      <w:r>
        <w:rPr>
          <w:rFonts w:ascii="Times New Roman;Times;serif" w:hAnsi="Times New Roman;Times;serif"/>
          <w:color w:val="000000"/>
          <w:sz w:val="20"/>
          <w:u w:val="single"/>
        </w:rPr>
        <w:t>Eligibility</w:t>
      </w:r>
      <w:r>
        <w:rPr>
          <w:rFonts w:ascii="Times New Roman;Times;serif" w:hAnsi="Times New Roman;Times;serif"/>
          <w:color w:val="000000"/>
          <w:sz w:val="20"/>
        </w:rPr>
        <w:t>. The Committee may in its discretion grant Awards to any Eligible Person, whether or not he or she has previously received an Award; provided, however, that all Awards made to Non-Employee Directors shall be determined by the Board in its sole discretion.</w:t>
      </w:r>
    </w:p>
    <w:p>
      <w:pPr>
        <w:pStyle w:val="TextBody"/>
        <w:bidi w:val="0"/>
        <w:spacing w:before="120" w:after="283"/>
        <w:ind w:left="0" w:right="0" w:firstLine="400"/>
        <w:jc w:val="left"/>
        <w:rPr>
          <w:rFonts w:ascii="Times New Roman;Times;serif" w:hAnsi="Times New Roman;Times;serif"/>
          <w:color w:val="000000"/>
          <w:sz w:val="20"/>
        </w:rPr>
      </w:pPr>
      <w:bookmarkStart w:id="143" w:name="tANXBAS52"/>
      <w:bookmarkEnd w:id="143"/>
      <w:r>
        <w:rPr>
          <w:rFonts w:ascii="Times New Roman;Times;serif" w:hAnsi="Times New Roman;Times;serif"/>
          <w:color w:val="000000"/>
          <w:sz w:val="20"/>
        </w:rPr>
        <w:t>5.2 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To the extent not set forth in the Plan, the terms and conditions of each Award shall be set forth in an Award Agreement. </w:t>
      </w:r>
    </w:p>
    <w:p>
      <w:pPr>
        <w:pStyle w:val="TextBody"/>
        <w:bidi w:val="0"/>
        <w:spacing w:before="120" w:after="283"/>
        <w:ind w:left="0" w:right="0" w:firstLine="400"/>
        <w:jc w:val="left"/>
        <w:rPr>
          <w:rFonts w:ascii="Times New Roman;Times;serif" w:hAnsi="Times New Roman;Times;serif"/>
          <w:color w:val="000000"/>
          <w:sz w:val="20"/>
        </w:rPr>
      </w:pPr>
      <w:bookmarkStart w:id="144" w:name="tANXBAS53"/>
      <w:bookmarkEnd w:id="144"/>
      <w:r>
        <w:rPr>
          <w:rFonts w:ascii="Times New Roman;Times;serif" w:hAnsi="Times New Roman;Times;serif"/>
          <w:color w:val="000000"/>
          <w:sz w:val="20"/>
        </w:rPr>
        <w:t>5.3 </w:t>
      </w:r>
      <w:r>
        <w:rPr>
          <w:rFonts w:ascii="Times New Roman;Times;serif" w:hAnsi="Times New Roman;Times;serif"/>
          <w:color w:val="000000"/>
          <w:sz w:val="20"/>
          <w:u w:val="single"/>
        </w:rPr>
        <w:t>General Terms and Termination of Affiliation</w:t>
      </w:r>
      <w:r>
        <w:rPr>
          <w:rFonts w:ascii="Times New Roman;Times;serif" w:hAnsi="Times New Roman;Times;serif"/>
          <w:color w:val="000000"/>
          <w:sz w:val="20"/>
        </w:rPr>
        <w:t xml:space="preserve">.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unless the Committee accelerates vesting of such Awards within thirty (30) days after such Grantee’s Termination of Affiliation and (b) all outstanding Options and SARs not previously exercised shall expire three months after the Grantee’s Termination of Affiliation. </w:t>
      </w:r>
    </w:p>
    <w:p>
      <w:pPr>
        <w:pStyle w:val="TextBody"/>
        <w:bidi w:val="0"/>
        <w:spacing w:before="160" w:after="283"/>
        <w:ind w:left="0" w:right="0" w:firstLine="400"/>
        <w:jc w:val="left"/>
        <w:rPr>
          <w:rFonts w:ascii="Times New Roman;Times;serif" w:hAnsi="Times New Roman;Times;serif"/>
          <w:color w:val="000000"/>
          <w:sz w:val="20"/>
        </w:rPr>
      </w:pPr>
      <w:bookmarkStart w:id="145" w:name="tANXBAS54"/>
      <w:bookmarkEnd w:id="145"/>
      <w:r>
        <w:rPr>
          <w:rFonts w:ascii="Times New Roman;Times;serif" w:hAnsi="Times New Roman;Times;serif"/>
          <w:color w:val="000000"/>
          <w:sz w:val="20"/>
        </w:rPr>
        <w:t>5.4 </w:t>
      </w:r>
      <w:r>
        <w:rPr>
          <w:rFonts w:ascii="Times New Roman;Times;serif" w:hAnsi="Times New Roman;Times;serif"/>
          <w:color w:val="000000"/>
          <w:sz w:val="20"/>
          <w:u w:val="single"/>
        </w:rPr>
        <w:t>Nontransferability of Awards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(a) Each Award and each right under any Award shall be exercisable only by the Grantee during the Grantee’s lifetime, or, if permissible under applicable law, by the Grantee’s guardian or legal representative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bidi w:val="0"/>
        <w:spacing w:before="200" w:after="200"/>
        <w:jc w:val="left"/>
        <w:rPr/>
      </w:pPr>
      <w:r>
        <w:rPr/>
      </w:r>
    </w:p>
    <w:p>
      <w:pPr>
        <w:pStyle w:val="TextBody"/>
        <w:bidi w:val="0"/>
        <w:jc w:val="left"/>
        <w:rPr/>
      </w:pPr>
      <w:hyperlink w:anchor="TOC">
        <w:bookmarkStart w:id="146" w:name="ny20080978x2_def14a_301-annexb_pg13"/>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 transferee receiving such Award pursuant to a qualified domestic relations order (a “QDRO”) as defined in the Code or Title I of the Employee Retirement Income Security Act of 1974, as amended, or the rules thereunder.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(d) Nothing herein shall be construed as requiring the Committee to honor a QDRO except to the extent required under applicable law. </w:t>
      </w:r>
    </w:p>
    <w:p>
      <w:pPr>
        <w:pStyle w:val="TextBody"/>
        <w:bidi w:val="0"/>
        <w:spacing w:before="120" w:after="283"/>
        <w:ind w:left="0" w:right="0" w:firstLine="400"/>
        <w:jc w:val="left"/>
        <w:rPr>
          <w:rFonts w:ascii="Times New Roman;Times;serif" w:hAnsi="Times New Roman;Times;serif"/>
          <w:color w:val="000000"/>
          <w:sz w:val="20"/>
        </w:rPr>
      </w:pPr>
      <w:bookmarkStart w:id="147" w:name="tANXBAS55"/>
      <w:bookmarkEnd w:id="147"/>
      <w:r>
        <w:rPr>
          <w:rFonts w:ascii="Times New Roman;Times;serif" w:hAnsi="Times New Roman;Times;serif"/>
          <w:color w:val="000000"/>
          <w:sz w:val="20"/>
        </w:rPr>
        <w:t>5.5 </w:t>
      </w:r>
      <w:r>
        <w:rPr>
          <w:rFonts w:ascii="Times New Roman;Times;serif" w:hAnsi="Times New Roman;Times;serif"/>
          <w:color w:val="000000"/>
          <w:sz w:val="20"/>
          <w:u w:val="single"/>
        </w:rPr>
        <w:t>Cancellation and Rescission of Awards</w:t>
      </w:r>
      <w:r>
        <w:rPr>
          <w:rFonts w:ascii="Times New Roman;Times;serif" w:hAnsi="Times New Roman;Times;serif"/>
          <w:color w:val="000000"/>
          <w:sz w:val="20"/>
        </w:rPr>
        <w:t xml:space="preserve">.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 </w:t>
      </w:r>
    </w:p>
    <w:p>
      <w:pPr>
        <w:pStyle w:val="TextBody"/>
        <w:bidi w:val="0"/>
        <w:spacing w:before="170" w:after="283"/>
        <w:ind w:left="0" w:right="0" w:firstLine="400"/>
        <w:jc w:val="left"/>
        <w:rPr>
          <w:rFonts w:ascii="Times New Roman;Times;serif" w:hAnsi="Times New Roman;Times;serif"/>
          <w:color w:val="000000"/>
          <w:sz w:val="20"/>
        </w:rPr>
      </w:pPr>
      <w:bookmarkStart w:id="148" w:name="tANXBAS56"/>
      <w:bookmarkEnd w:id="148"/>
      <w:r>
        <w:rPr>
          <w:rFonts w:ascii="Times New Roman;Times;serif" w:hAnsi="Times New Roman;Times;serif"/>
          <w:color w:val="000000"/>
          <w:sz w:val="20"/>
        </w:rPr>
        <w:t>5.6 </w:t>
      </w:r>
      <w:r>
        <w:rPr>
          <w:rFonts w:ascii="Times New Roman;Times;serif" w:hAnsi="Times New Roman;Times;serif"/>
          <w:color w:val="000000"/>
          <w:sz w:val="20"/>
          <w:u w:val="single"/>
        </w:rPr>
        <w:t>Stand-Alone, Tandem and Substitute Awards</w:t>
      </w:r>
      <w:r>
        <w:rPr>
          <w:rFonts w:ascii="Times New Roman;Times;serif" w:hAnsi="Times New Roman;Times;serif"/>
          <w:color w:val="000000"/>
          <w:sz w:val="20"/>
        </w:rPr>
        <w:t>.</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bidi w:val="0"/>
        <w:spacing w:before="200" w:after="200"/>
        <w:jc w:val="left"/>
        <w:rPr/>
      </w:pPr>
      <w:r>
        <w:rPr/>
      </w:r>
    </w:p>
    <w:p>
      <w:pPr>
        <w:pStyle w:val="TextBody"/>
        <w:bidi w:val="0"/>
        <w:jc w:val="left"/>
        <w:rPr/>
      </w:pPr>
      <w:hyperlink w:anchor="TOC">
        <w:bookmarkStart w:id="149" w:name="ny20080978x2_def14a_301-annexb_pg14"/>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 </w:t>
      </w:r>
    </w:p>
    <w:p>
      <w:pPr>
        <w:pStyle w:val="TextBody"/>
        <w:bidi w:val="0"/>
        <w:spacing w:before="170" w:after="283"/>
        <w:ind w:left="0" w:right="0" w:firstLine="400"/>
        <w:jc w:val="left"/>
        <w:rPr>
          <w:rFonts w:ascii="Times New Roman;Times;serif" w:hAnsi="Times New Roman;Times;serif"/>
          <w:color w:val="000000"/>
          <w:sz w:val="20"/>
        </w:rPr>
      </w:pPr>
      <w:bookmarkStart w:id="150" w:name="tANXBAS57"/>
      <w:bookmarkEnd w:id="150"/>
      <w:r>
        <w:rPr>
          <w:rFonts w:ascii="Times New Roman;Times;serif" w:hAnsi="Times New Roman;Times;serif"/>
          <w:color w:val="000000"/>
          <w:sz w:val="20"/>
        </w:rPr>
        <w:t>5.7 </w:t>
      </w:r>
      <w:r>
        <w:rPr>
          <w:rFonts w:ascii="Times New Roman;Times;serif" w:hAnsi="Times New Roman;Times;serif"/>
          <w:color w:val="000000"/>
          <w:sz w:val="20"/>
          <w:u w:val="single"/>
        </w:rPr>
        <w:t>Compliance with Rule 16b-3</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Six-Month Holding Period Advice</w:t>
      </w:r>
      <w:r>
        <w:rPr>
          <w:rFonts w:ascii="Times New Roman;Times;serif" w:hAnsi="Times New Roman;Times;serif"/>
          <w:color w:val="000000"/>
          <w:sz w:val="20"/>
        </w:rPr>
        <w:t xml:space="preserve">.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Reformation to Comply with Exchange Act Rules</w:t>
      </w:r>
      <w:r>
        <w:rPr>
          <w:rFonts w:ascii="Times New Roman;Times;serif" w:hAnsi="Times New Roman;Times;serif"/>
          <w:color w:val="000000"/>
          <w:sz w:val="20"/>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Rule 16b-3 Administration</w:t>
      </w:r>
      <w:r>
        <w:rPr>
          <w:rFonts w:ascii="Times New Roman;Times;serif" w:hAnsi="Times New Roman;Times;serif"/>
          <w:color w:val="000000"/>
          <w:sz w:val="20"/>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pStyle w:val="TextBody"/>
        <w:bidi w:val="0"/>
        <w:spacing w:before="120" w:after="283"/>
        <w:ind w:left="0" w:right="0" w:firstLine="400"/>
        <w:jc w:val="left"/>
        <w:rPr>
          <w:rFonts w:ascii="Times New Roman;Times;serif" w:hAnsi="Times New Roman;Times;serif"/>
          <w:color w:val="000000"/>
          <w:sz w:val="20"/>
        </w:rPr>
      </w:pPr>
      <w:bookmarkStart w:id="151" w:name="tANXBAS58"/>
      <w:bookmarkEnd w:id="151"/>
      <w:r>
        <w:rPr>
          <w:rFonts w:ascii="Times New Roman;Times;serif" w:hAnsi="Times New Roman;Times;serif"/>
          <w:color w:val="000000"/>
          <w:sz w:val="20"/>
        </w:rPr>
        <w:t>5.8 </w:t>
      </w:r>
      <w:r>
        <w:rPr>
          <w:rFonts w:ascii="Times New Roman;Times;serif" w:hAnsi="Times New Roman;Times;serif"/>
          <w:color w:val="000000"/>
          <w:sz w:val="20"/>
          <w:u w:val="single"/>
        </w:rPr>
        <w:t>Deferral of Award Payouts</w:t>
      </w:r>
      <w:r>
        <w:rPr>
          <w:rFonts w:ascii="Times New Roman;Times;serif" w:hAnsi="Times New Roman;Times;serif"/>
          <w:color w:val="000000"/>
          <w:sz w:val="20"/>
        </w:rPr>
        <w:t xml:space="preserve">.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 </w:t>
      </w:r>
    </w:p>
    <w:p>
      <w:pPr>
        <w:pStyle w:val="TextBody"/>
        <w:bidi w:val="0"/>
        <w:spacing w:before="410" w:after="283"/>
        <w:jc w:val="center"/>
        <w:rPr>
          <w:rFonts w:ascii="Times New Roman;Times;serif" w:hAnsi="Times New Roman;Times;serif"/>
          <w:b/>
          <w:color w:val="000000"/>
          <w:sz w:val="20"/>
        </w:rPr>
      </w:pPr>
      <w:bookmarkStart w:id="152" w:name="tANXBA6"/>
      <w:bookmarkEnd w:id="152"/>
      <w:r>
        <w:rPr>
          <w:rFonts w:ascii="Times New Roman;Times;serif" w:hAnsi="Times New Roman;Times;serif"/>
          <w:b/>
          <w:color w:val="000000"/>
          <w:sz w:val="20"/>
        </w:rPr>
        <w:t xml:space="preserve">Article 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 Options </w:t>
      </w:r>
    </w:p>
    <w:p>
      <w:pPr>
        <w:pStyle w:val="TextBody"/>
        <w:bidi w:val="0"/>
        <w:spacing w:before="120" w:after="283"/>
        <w:ind w:left="0" w:right="0" w:firstLine="400"/>
        <w:jc w:val="left"/>
        <w:rPr>
          <w:rFonts w:ascii="Times New Roman;Times;serif" w:hAnsi="Times New Roman;Times;serif"/>
          <w:color w:val="000000"/>
          <w:sz w:val="20"/>
        </w:rPr>
      </w:pPr>
      <w:bookmarkStart w:id="153" w:name="tANXBAS61"/>
      <w:bookmarkEnd w:id="153"/>
      <w:r>
        <w:rPr>
          <w:rFonts w:ascii="Times New Roman;Times;serif" w:hAnsi="Times New Roman;Times;serif"/>
          <w:color w:val="000000"/>
          <w:sz w:val="20"/>
        </w:rPr>
        <w:t>6.1 </w:t>
      </w:r>
      <w:r>
        <w:rPr>
          <w:rFonts w:ascii="Times New Roman;Times;serif" w:hAnsi="Times New Roman;Times;serif"/>
          <w:color w:val="000000"/>
          <w:sz w:val="20"/>
          <w:u w:val="single"/>
        </w:rPr>
        <w:t>Grant of Options</w:t>
      </w:r>
      <w:r>
        <w:rPr>
          <w:rFonts w:ascii="Times New Roman;Times;serif" w:hAnsi="Times New Roman;Times;serif"/>
          <w:color w:val="000000"/>
          <w:sz w:val="20"/>
        </w:rPr>
        <w:t xml:space="preserve">. Subject to and consistent with the provisions of the Plan, Options may be granted to any Eligible Person in such number, and upon such terms, and at any time and from time to time as shall be determined by the Committee. </w:t>
      </w:r>
    </w:p>
    <w:p>
      <w:pPr>
        <w:pStyle w:val="TextBody"/>
        <w:bidi w:val="0"/>
        <w:spacing w:before="120" w:after="283"/>
        <w:ind w:left="0" w:right="0" w:firstLine="400"/>
        <w:jc w:val="left"/>
        <w:rPr>
          <w:rFonts w:ascii="Times New Roman;Times;serif" w:hAnsi="Times New Roman;Times;serif"/>
          <w:color w:val="000000"/>
          <w:sz w:val="20"/>
        </w:rPr>
      </w:pPr>
      <w:bookmarkStart w:id="154" w:name="tANXBAS62"/>
      <w:bookmarkEnd w:id="154"/>
      <w:r>
        <w:rPr>
          <w:rFonts w:ascii="Times New Roman;Times;serif" w:hAnsi="Times New Roman;Times;serif"/>
          <w:color w:val="000000"/>
          <w:sz w:val="20"/>
        </w:rPr>
        <w:t>6.2 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 </w:t>
      </w:r>
    </w:p>
    <w:p>
      <w:pPr>
        <w:pStyle w:val="TextBody"/>
        <w:bidi w:val="0"/>
        <w:spacing w:before="120" w:after="283"/>
        <w:ind w:left="0" w:right="0" w:firstLine="400"/>
        <w:jc w:val="left"/>
        <w:rPr>
          <w:rFonts w:ascii="Times New Roman;Times;serif" w:hAnsi="Times New Roman;Times;serif"/>
          <w:color w:val="000000"/>
          <w:sz w:val="20"/>
        </w:rPr>
      </w:pPr>
      <w:bookmarkStart w:id="155" w:name="tANXBAS63"/>
      <w:bookmarkEnd w:id="155"/>
      <w:r>
        <w:rPr>
          <w:rFonts w:ascii="Times New Roman;Times;serif" w:hAnsi="Times New Roman;Times;serif"/>
          <w:color w:val="000000"/>
          <w:sz w:val="20"/>
        </w:rPr>
        <w:t>6.3 </w:t>
      </w:r>
      <w:r>
        <w:rPr>
          <w:rFonts w:ascii="Times New Roman;Times;serif" w:hAnsi="Times New Roman;Times;serif"/>
          <w:color w:val="000000"/>
          <w:sz w:val="20"/>
          <w:u w:val="single"/>
        </w:rPr>
        <w:t>Option Exercise Price</w:t>
      </w:r>
      <w:r>
        <w:rPr>
          <w:rFonts w:ascii="Times New Roman;Times;serif" w:hAnsi="Times New Roman;Times;serif"/>
          <w:color w:val="000000"/>
          <w:sz w:val="20"/>
        </w:rPr>
        <w:t>. The Exercise Price of an Option under this Plan shall be determined in the sole discretion of the Committee but may not be less than 100% of the Fair Market Value of a Share on the Grant Date.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bidi w:val="0"/>
        <w:spacing w:before="200" w:after="200"/>
        <w:jc w:val="left"/>
        <w:rPr/>
      </w:pPr>
      <w:r>
        <w:rPr/>
      </w:r>
    </w:p>
    <w:p>
      <w:pPr>
        <w:pStyle w:val="TextBody"/>
        <w:bidi w:val="0"/>
        <w:jc w:val="left"/>
        <w:rPr/>
      </w:pPr>
      <w:hyperlink w:anchor="TOC">
        <w:bookmarkStart w:id="156" w:name="ny20080978x2_def14a_301-annexb_pg15"/>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57" w:name="tANXBAS64"/>
      <w:bookmarkEnd w:id="157"/>
      <w:r>
        <w:rPr>
          <w:rFonts w:ascii="Times New Roman;Times;serif" w:hAnsi="Times New Roman;Times;serif"/>
          <w:color w:val="000000"/>
          <w:sz w:val="20"/>
        </w:rPr>
        <w:t>6.4 </w:t>
      </w:r>
      <w:r>
        <w:rPr>
          <w:rFonts w:ascii="Times New Roman;Times;serif" w:hAnsi="Times New Roman;Times;serif"/>
          <w:color w:val="000000"/>
          <w:sz w:val="20"/>
          <w:u w:val="single"/>
        </w:rPr>
        <w:t>Grant of Incentive Stock Options</w:t>
      </w:r>
      <w:r>
        <w:rPr>
          <w:rFonts w:ascii="Times New Roman;Times;serif" w:hAnsi="Times New Roman;Times;serif"/>
          <w:color w:val="000000"/>
          <w:sz w:val="20"/>
        </w:rPr>
        <w:t xml:space="preserve">. At the time of the grant of any Option, the Committee may in its discretion designate that such Option shall be made subject to additional restrictions to permit it to qualify as an Incentive Stock Option. Any Option designated as an Incentive Stock Option: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(a) shall be granted only to an employee of the Company or a Subsidiary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(c) shall be for a period of not more than 10 years (five years if the Grantee is a More Than 10% Owner) from its Grant Date, and shall be subject to earlier termination as provided herein or in the applicable Award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 </w:t>
      </w:r>
    </w:p>
    <w:p>
      <w:pPr>
        <w:pStyle w:val="TextBody"/>
        <w:bidi w:val="0"/>
        <w:spacing w:before="120" w:after="283"/>
        <w:ind w:left="0" w:right="0" w:firstLine="400"/>
        <w:jc w:val="left"/>
        <w:rPr>
          <w:rFonts w:ascii="Times New Roman;Times;serif" w:hAnsi="Times New Roman;Times;serif"/>
          <w:color w:val="000000"/>
          <w:sz w:val="20"/>
        </w:rPr>
      </w:pPr>
      <w:bookmarkStart w:id="158" w:name="tANXBAS65"/>
      <w:bookmarkEnd w:id="158"/>
      <w:r>
        <w:rPr>
          <w:rFonts w:ascii="Times New Roman;Times;serif" w:hAnsi="Times New Roman;Times;serif"/>
          <w:color w:val="000000"/>
          <w:sz w:val="20"/>
        </w:rPr>
        <w:t>6.5 </w:t>
      </w:r>
      <w:r>
        <w:rPr>
          <w:rFonts w:ascii="Times New Roman;Times;serif" w:hAnsi="Times New Roman;Times;serif"/>
          <w:color w:val="000000"/>
          <w:sz w:val="20"/>
          <w:u w:val="single"/>
        </w:rPr>
        <w:t>Payment of Exercise Price</w:t>
      </w:r>
      <w:r>
        <w:rPr>
          <w:rFonts w:ascii="Times New Roman;Times;serif" w:hAnsi="Times New Roman;Times;serif"/>
          <w:color w:val="000000"/>
          <w:sz w:val="20"/>
        </w:rPr>
        <w:t xml:space="preserve">.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(a) cash, personal check or wire transfer;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 the approval of the Committee, delivery of Common Stock owned by the Grantee prior to exercise, valued at Fair Market Value on the date of exercise;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(c) with the approval of the Committee, Shares acquired upon the exercise of such Option, such Shares valued at Fair Market Value on the date of exercise;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(d) with the approval of the Committee, Restricted Shares held by the Grantee prior to the exercise of the Option, valued at Fair Market Value on the date of exercise;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bidi w:val="0"/>
        <w:spacing w:before="200" w:after="200"/>
        <w:jc w:val="left"/>
        <w:rPr/>
      </w:pPr>
      <w:r>
        <w:rPr/>
      </w:r>
    </w:p>
    <w:p>
      <w:pPr>
        <w:pStyle w:val="TextBody"/>
        <w:bidi w:val="0"/>
        <w:jc w:val="left"/>
        <w:rPr/>
      </w:pPr>
      <w:hyperlink w:anchor="TOC">
        <w:bookmarkStart w:id="159" w:name="ny20080978x2_def14a_301-annexb_pg16"/>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 </w:t>
      </w:r>
    </w:p>
    <w:p>
      <w:pPr>
        <w:pStyle w:val="TextBody"/>
        <w:bidi w:val="0"/>
        <w:spacing w:before="240" w:after="283"/>
        <w:jc w:val="center"/>
        <w:rPr>
          <w:rFonts w:ascii="Times New Roman;Times;serif" w:hAnsi="Times New Roman;Times;serif"/>
          <w:b/>
          <w:color w:val="000000"/>
          <w:sz w:val="20"/>
        </w:rPr>
      </w:pPr>
      <w:bookmarkStart w:id="160" w:name="tANXBA7"/>
      <w:bookmarkEnd w:id="160"/>
      <w:r>
        <w:rPr>
          <w:rFonts w:ascii="Times New Roman;Times;serif" w:hAnsi="Times New Roman;Times;serif"/>
          <w:b/>
          <w:color w:val="000000"/>
          <w:sz w:val="20"/>
        </w:rPr>
        <w:t xml:space="preserve">Article 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 Appreciation Rights </w:t>
      </w:r>
    </w:p>
    <w:p>
      <w:pPr>
        <w:pStyle w:val="TextBody"/>
        <w:bidi w:val="0"/>
        <w:spacing w:before="120" w:after="283"/>
        <w:ind w:left="0" w:right="0" w:firstLine="400"/>
        <w:jc w:val="left"/>
        <w:rPr>
          <w:rFonts w:ascii="Times New Roman;Times;serif" w:hAnsi="Times New Roman;Times;serif"/>
          <w:color w:val="000000"/>
          <w:sz w:val="20"/>
        </w:rPr>
      </w:pPr>
      <w:bookmarkStart w:id="161" w:name="tANXBAS71"/>
      <w:bookmarkEnd w:id="161"/>
      <w:r>
        <w:rPr>
          <w:rFonts w:ascii="Times New Roman;Times;serif" w:hAnsi="Times New Roman;Times;serif"/>
          <w:color w:val="000000"/>
          <w:sz w:val="20"/>
        </w:rPr>
        <w:t>7.1 </w:t>
      </w:r>
      <w:r>
        <w:rPr>
          <w:rFonts w:ascii="Times New Roman;Times;serif" w:hAnsi="Times New Roman;Times;serif"/>
          <w:color w:val="000000"/>
          <w:sz w:val="20"/>
          <w:u w:val="single"/>
        </w:rPr>
        <w:t>Issuance</w:t>
      </w:r>
      <w:r>
        <w:rPr>
          <w:rFonts w:ascii="Times New Roman;Times;serif" w:hAnsi="Times New Roman;Times;serif"/>
          <w:color w:val="000000"/>
          <w:sz w:val="20"/>
        </w:rPr>
        <w:t xml:space="preserve">.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 </w:t>
      </w:r>
    </w:p>
    <w:p>
      <w:pPr>
        <w:pStyle w:val="TextBody"/>
        <w:bidi w:val="0"/>
        <w:spacing w:before="120" w:after="283"/>
        <w:ind w:left="0" w:right="0" w:firstLine="400"/>
        <w:jc w:val="left"/>
        <w:rPr>
          <w:rFonts w:ascii="Times New Roman;Times;serif" w:hAnsi="Times New Roman;Times;serif"/>
          <w:color w:val="000000"/>
          <w:sz w:val="20"/>
        </w:rPr>
      </w:pPr>
      <w:bookmarkStart w:id="162" w:name="tANXBAS72"/>
      <w:bookmarkEnd w:id="162"/>
      <w:r>
        <w:rPr>
          <w:rFonts w:ascii="Times New Roman;Times;serif" w:hAnsi="Times New Roman;Times;serif"/>
          <w:color w:val="000000"/>
          <w:sz w:val="20"/>
        </w:rPr>
        <w:t>7.2 </w:t>
      </w:r>
      <w:r>
        <w:rPr>
          <w:rFonts w:ascii="Times New Roman;Times;serif" w:hAnsi="Times New Roman;Times;serif"/>
          <w:color w:val="000000"/>
          <w:sz w:val="20"/>
          <w:u w:val="single"/>
        </w:rPr>
        <w:t>Award Agreements</w:t>
      </w:r>
      <w:r>
        <w:rPr>
          <w:rFonts w:ascii="Times New Roman;Times;serif" w:hAnsi="Times New Roman;Times;serif"/>
          <w:color w:val="000000"/>
          <w:sz w:val="20"/>
        </w:rPr>
        <w:t xml:space="preserve">. Each SAR grant shall be evidenced by an Award Agreement in such form as the Committee may approve and shall contain such terms and conditions not inconsistent with other provisions of the Plan as shall be determined from time to time by the Committee. </w:t>
      </w:r>
    </w:p>
    <w:p>
      <w:pPr>
        <w:pStyle w:val="TextBody"/>
        <w:bidi w:val="0"/>
        <w:spacing w:before="120" w:after="283"/>
        <w:ind w:left="0" w:right="0" w:firstLine="400"/>
        <w:jc w:val="left"/>
        <w:rPr>
          <w:rFonts w:ascii="Times New Roman;Times;serif" w:hAnsi="Times New Roman;Times;serif"/>
          <w:color w:val="000000"/>
          <w:sz w:val="20"/>
        </w:rPr>
      </w:pPr>
      <w:bookmarkStart w:id="163" w:name="tANXBAS73"/>
      <w:bookmarkEnd w:id="163"/>
      <w:r>
        <w:rPr>
          <w:rFonts w:ascii="Times New Roman;Times;serif" w:hAnsi="Times New Roman;Times;serif"/>
          <w:color w:val="000000"/>
          <w:sz w:val="20"/>
        </w:rPr>
        <w:t>7.3 </w:t>
      </w:r>
      <w:r>
        <w:rPr>
          <w:rFonts w:ascii="Times New Roman;Times;serif" w:hAnsi="Times New Roman;Times;serif"/>
          <w:color w:val="000000"/>
          <w:sz w:val="20"/>
          <w:u w:val="single"/>
        </w:rPr>
        <w:t>SAR Exercise Price</w:t>
      </w:r>
      <w:r>
        <w:rPr>
          <w:rFonts w:ascii="Times New Roman;Times;serif" w:hAnsi="Times New Roman;Times;serif"/>
          <w:color w:val="000000"/>
          <w:sz w:val="20"/>
        </w:rPr>
        <w:t xml:space="preserve">. The Exercise Price of a SAR shall be determined by the Committee in its sole discretion; provided that the Exercise Price shall not be less than 100% of the Fair Market Value of a Share on the date of the grant of the SAR. </w:t>
      </w:r>
    </w:p>
    <w:p>
      <w:pPr>
        <w:pStyle w:val="TextBody"/>
        <w:bidi w:val="0"/>
        <w:spacing w:before="120" w:after="283"/>
        <w:ind w:left="0" w:right="0" w:firstLine="400"/>
        <w:jc w:val="left"/>
        <w:rPr>
          <w:rFonts w:ascii="Times New Roman;Times;serif" w:hAnsi="Times New Roman;Times;serif"/>
          <w:color w:val="000000"/>
          <w:sz w:val="20"/>
        </w:rPr>
      </w:pPr>
      <w:bookmarkStart w:id="164" w:name="tANXBAS74"/>
      <w:bookmarkEnd w:id="164"/>
      <w:r>
        <w:rPr>
          <w:rFonts w:ascii="Times New Roman;Times;serif" w:hAnsi="Times New Roman;Times;serif"/>
          <w:color w:val="000000"/>
          <w:sz w:val="20"/>
        </w:rPr>
        <w:t>7.4 </w:t>
      </w:r>
      <w:r>
        <w:rPr>
          <w:rFonts w:ascii="Times New Roman;Times;serif" w:hAnsi="Times New Roman;Times;serif"/>
          <w:color w:val="000000"/>
          <w:sz w:val="20"/>
          <w:u w:val="single"/>
        </w:rPr>
        <w:t>Exercise and Payment</w:t>
      </w:r>
      <w:r>
        <w:rPr>
          <w:rFonts w:ascii="Times New Roman;Times;serif" w:hAnsi="Times New Roman;Times;serif"/>
          <w:color w:val="000000"/>
          <w:sz w:val="20"/>
        </w:rPr>
        <w:t xml:space="preserve">. Upon the exercise of an SAR, a Grantee shall be entitled to receive payment from the Company in an amount determined by multiplying: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excess of the Fair Market Value of a Share on the date of exercise over the Exercise Price; by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number of Shares with respect to which the SAR is exercised.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 </w:t>
      </w:r>
    </w:p>
    <w:p>
      <w:pPr>
        <w:pStyle w:val="TextBody"/>
        <w:bidi w:val="0"/>
        <w:spacing w:before="240" w:after="283"/>
        <w:jc w:val="center"/>
        <w:rPr>
          <w:rFonts w:ascii="Times New Roman;Times;serif" w:hAnsi="Times New Roman;Times;serif"/>
          <w:b/>
          <w:color w:val="000000"/>
          <w:sz w:val="20"/>
        </w:rPr>
      </w:pPr>
      <w:bookmarkStart w:id="165" w:name="tANXBA8"/>
      <w:bookmarkEnd w:id="165"/>
      <w:r>
        <w:rPr>
          <w:rFonts w:ascii="Times New Roman;Times;serif" w:hAnsi="Times New Roman;Times;serif"/>
          <w:b/>
          <w:color w:val="000000"/>
          <w:sz w:val="20"/>
        </w:rPr>
        <w:t xml:space="preserve">Article 8.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Restricted Shares </w:t>
      </w:r>
    </w:p>
    <w:p>
      <w:pPr>
        <w:pStyle w:val="TextBody"/>
        <w:bidi w:val="0"/>
        <w:spacing w:before="120" w:after="283"/>
        <w:ind w:left="0" w:right="0" w:firstLine="400"/>
        <w:jc w:val="left"/>
        <w:rPr>
          <w:rFonts w:ascii="Times New Roman;Times;serif" w:hAnsi="Times New Roman;Times;serif"/>
          <w:color w:val="000000"/>
          <w:sz w:val="20"/>
        </w:rPr>
      </w:pPr>
      <w:bookmarkStart w:id="166" w:name="tANXBAS81"/>
      <w:bookmarkEnd w:id="166"/>
      <w:r>
        <w:rPr>
          <w:rFonts w:ascii="Times New Roman;Times;serif" w:hAnsi="Times New Roman;Times;serif"/>
          <w:color w:val="000000"/>
          <w:sz w:val="20"/>
        </w:rPr>
        <w:t>8.1 </w:t>
      </w:r>
      <w:r>
        <w:rPr>
          <w:rFonts w:ascii="Times New Roman;Times;serif" w:hAnsi="Times New Roman;Times;serif"/>
          <w:color w:val="000000"/>
          <w:sz w:val="20"/>
          <w:u w:val="single"/>
        </w:rPr>
        <w:t>Grant of Restricted Shares</w:t>
      </w:r>
      <w:r>
        <w:rPr>
          <w:rFonts w:ascii="Times New Roman;Times;serif" w:hAnsi="Times New Roman;Times;serif"/>
          <w:color w:val="000000"/>
          <w:sz w:val="20"/>
        </w:rPr>
        <w:t xml:space="preserve">. Subject to and consistent with the provisions of the Plan, the Committee, at any time and from time to time, may grant Restricted Shares to any Eligible Person in such amounts as the Committee shall determine. </w:t>
      </w:r>
    </w:p>
    <w:p>
      <w:pPr>
        <w:pStyle w:val="TextBody"/>
        <w:bidi w:val="0"/>
        <w:spacing w:before="120" w:after="283"/>
        <w:ind w:left="0" w:right="0" w:firstLine="400"/>
        <w:jc w:val="left"/>
        <w:rPr>
          <w:rFonts w:ascii="Times New Roman;Times;serif" w:hAnsi="Times New Roman;Times;serif"/>
          <w:color w:val="000000"/>
          <w:sz w:val="20"/>
        </w:rPr>
      </w:pPr>
      <w:bookmarkStart w:id="167" w:name="tANXBAS82"/>
      <w:bookmarkEnd w:id="167"/>
      <w:r>
        <w:rPr>
          <w:rFonts w:ascii="Times New Roman;Times;serif" w:hAnsi="Times New Roman;Times;serif"/>
          <w:color w:val="000000"/>
          <w:sz w:val="20"/>
        </w:rPr>
        <w:t>8.2 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 </w:t>
      </w:r>
    </w:p>
    <w:p>
      <w:pPr>
        <w:pStyle w:val="TextBody"/>
        <w:bidi w:val="0"/>
        <w:spacing w:before="120" w:after="283"/>
        <w:ind w:left="0" w:right="0" w:firstLine="400"/>
        <w:jc w:val="left"/>
        <w:rPr>
          <w:rFonts w:ascii="Times New Roman;Times;serif" w:hAnsi="Times New Roman;Times;serif"/>
          <w:color w:val="000000"/>
          <w:sz w:val="20"/>
        </w:rPr>
      </w:pPr>
      <w:bookmarkStart w:id="168" w:name="tANXBAS83"/>
      <w:bookmarkEnd w:id="168"/>
      <w:r>
        <w:rPr>
          <w:rFonts w:ascii="Times New Roman;Times;serif" w:hAnsi="Times New Roman;Times;serif"/>
          <w:color w:val="000000"/>
          <w:sz w:val="20"/>
        </w:rPr>
        <w:t>8.3 </w:t>
      </w:r>
      <w:r>
        <w:rPr>
          <w:rFonts w:ascii="Times New Roman;Times;serif" w:hAnsi="Times New Roman;Times;serif"/>
          <w:color w:val="000000"/>
          <w:sz w:val="20"/>
          <w:u w:val="single"/>
        </w:rPr>
        <w:t>Consideration for Restricted Shares</w:t>
      </w:r>
      <w:r>
        <w:rPr>
          <w:rFonts w:ascii="Times New Roman;Times;serif" w:hAnsi="Times New Roman;Times;serif"/>
          <w:color w:val="000000"/>
          <w:sz w:val="20"/>
        </w:rPr>
        <w:t xml:space="preserve">. The Committee shall determine the amount, if any, that a Grantee shall pay for Restricted Shares. </w:t>
      </w:r>
    </w:p>
    <w:p>
      <w:pPr>
        <w:pStyle w:val="TextBody"/>
        <w:bidi w:val="0"/>
        <w:spacing w:before="120" w:after="283"/>
        <w:ind w:left="0" w:right="0" w:firstLine="400"/>
        <w:jc w:val="left"/>
        <w:rPr>
          <w:rFonts w:ascii="Times New Roman;Times;serif" w:hAnsi="Times New Roman;Times;serif"/>
          <w:color w:val="000000"/>
          <w:sz w:val="20"/>
        </w:rPr>
      </w:pPr>
      <w:bookmarkStart w:id="169" w:name="tANXBAS84"/>
      <w:bookmarkEnd w:id="169"/>
      <w:r>
        <w:rPr>
          <w:rFonts w:ascii="Times New Roman;Times;serif" w:hAnsi="Times New Roman;Times;serif"/>
          <w:color w:val="000000"/>
          <w:sz w:val="20"/>
        </w:rPr>
        <w:t>8.4 </w:t>
      </w:r>
      <w:r>
        <w:rPr>
          <w:rFonts w:ascii="Times New Roman;Times;serif" w:hAnsi="Times New Roman;Times;serif"/>
          <w:color w:val="000000"/>
          <w:sz w:val="20"/>
          <w:u w:val="single"/>
        </w:rPr>
        <w:t>Effect of Forfeiture</w:t>
      </w:r>
      <w:r>
        <w:rPr>
          <w:rFonts w:ascii="Times New Roman;Times;serif" w:hAnsi="Times New Roman;Times;serif"/>
          <w:color w:val="000000"/>
          <w:sz w:val="20"/>
        </w:rPr>
        <w:t xml:space="preserve">. If Restricted Shares are forfeited, and if the Grantee was required to pay for such shares or acquired such Restricted Shares upon the exercise of an Option, the Grantee shall be deemed to have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bidi w:val="0"/>
        <w:spacing w:before="200" w:after="200"/>
        <w:jc w:val="left"/>
        <w:rPr/>
      </w:pPr>
      <w:r>
        <w:rPr/>
      </w:r>
    </w:p>
    <w:p>
      <w:pPr>
        <w:pStyle w:val="TextBody"/>
        <w:bidi w:val="0"/>
        <w:jc w:val="left"/>
        <w:rPr/>
      </w:pPr>
      <w:hyperlink w:anchor="TOC">
        <w:bookmarkStart w:id="170" w:name="ny20080978x2_def14a_301-annexb_pg17"/>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 </w:t>
      </w:r>
    </w:p>
    <w:p>
      <w:pPr>
        <w:pStyle w:val="TextBody"/>
        <w:bidi w:val="0"/>
        <w:spacing w:before="120" w:after="283"/>
        <w:ind w:left="0" w:right="0" w:firstLine="400"/>
        <w:jc w:val="left"/>
        <w:rPr>
          <w:rFonts w:ascii="Times New Roman;Times;serif" w:hAnsi="Times New Roman;Times;serif"/>
          <w:color w:val="000000"/>
          <w:sz w:val="20"/>
        </w:rPr>
      </w:pPr>
      <w:bookmarkStart w:id="171" w:name="tANXBAS85"/>
      <w:bookmarkEnd w:id="171"/>
      <w:r>
        <w:rPr>
          <w:rFonts w:ascii="Times New Roman;Times;serif" w:hAnsi="Times New Roman;Times;serif"/>
          <w:color w:val="000000"/>
          <w:sz w:val="20"/>
        </w:rPr>
        <w:t>8.5 </w:t>
      </w:r>
      <w:r>
        <w:rPr>
          <w:rFonts w:ascii="Times New Roman;Times;serif" w:hAnsi="Times New Roman;Times;serif"/>
          <w:color w:val="000000"/>
          <w:sz w:val="20"/>
          <w:u w:val="single"/>
        </w:rPr>
        <w:t>Escrow; Legends</w:t>
      </w:r>
      <w:r>
        <w:rPr>
          <w:rFonts w:ascii="Times New Roman;Times;serif" w:hAnsi="Times New Roman;Times;serif"/>
          <w:color w:val="000000"/>
          <w:sz w:val="20"/>
        </w:rPr>
        <w:t xml:space="preserve">. The Committee may provide that the certificates for any Restricted Shares (x) shall be held (together with a stock power executed in blank by the Grantee) in escrow by the Secretary of the Company until such Restricted Shares become nonforfeitable or are forfeited and/or (y) shall bear an appropriate legend restricting the transfer of such Restricted Shares under the Plan. If any Restricted Shares become nonforfeitable, the Company shall cause certificates for such shares to be delivered without such legend. </w:t>
      </w:r>
    </w:p>
    <w:p>
      <w:pPr>
        <w:pStyle w:val="TextBody"/>
        <w:bidi w:val="0"/>
        <w:spacing w:before="310" w:after="283"/>
        <w:jc w:val="center"/>
        <w:rPr>
          <w:rFonts w:ascii="Times New Roman;Times;serif" w:hAnsi="Times New Roman;Times;serif"/>
          <w:b/>
          <w:color w:val="000000"/>
          <w:sz w:val="20"/>
        </w:rPr>
      </w:pPr>
      <w:bookmarkStart w:id="172" w:name="tANXBA9"/>
      <w:bookmarkEnd w:id="172"/>
      <w:r>
        <w:rPr>
          <w:rFonts w:ascii="Times New Roman;Times;serif" w:hAnsi="Times New Roman;Times;serif"/>
          <w:b/>
          <w:color w:val="000000"/>
          <w:sz w:val="20"/>
        </w:rPr>
        <w:t xml:space="preserve">Article 9.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Performance Units and Performance Shares </w:t>
      </w:r>
    </w:p>
    <w:p>
      <w:pPr>
        <w:pStyle w:val="TextBody"/>
        <w:bidi w:val="0"/>
        <w:spacing w:before="120" w:after="283"/>
        <w:ind w:left="0" w:right="0" w:firstLine="400"/>
        <w:jc w:val="left"/>
        <w:rPr>
          <w:rFonts w:ascii="Times New Roman;Times;serif" w:hAnsi="Times New Roman;Times;serif"/>
          <w:color w:val="000000"/>
          <w:sz w:val="20"/>
        </w:rPr>
      </w:pPr>
      <w:bookmarkStart w:id="173" w:name="tANXBAS91"/>
      <w:bookmarkEnd w:id="173"/>
      <w:r>
        <w:rPr>
          <w:rFonts w:ascii="Times New Roman;Times;serif" w:hAnsi="Times New Roman;Times;serif"/>
          <w:color w:val="000000"/>
          <w:sz w:val="20"/>
        </w:rPr>
        <w:t>9.1 </w:t>
      </w:r>
      <w:r>
        <w:rPr>
          <w:rFonts w:ascii="Times New Roman;Times;serif" w:hAnsi="Times New Roman;Times;serif"/>
          <w:color w:val="000000"/>
          <w:sz w:val="20"/>
          <w:u w:val="single"/>
        </w:rPr>
        <w:t>Grant of Performance Units and Performance Shares</w:t>
      </w:r>
      <w:r>
        <w:rPr>
          <w:rFonts w:ascii="Times New Roman;Times;serif" w:hAnsi="Times New Roman;Times;serif"/>
          <w:color w:val="000000"/>
          <w:sz w:val="20"/>
        </w:rPr>
        <w:t xml:space="preserve">. Subject to and consistent with the provisions of the Plan, Performance Units or Performance Shares may be granted to any Eligible Person in such amounts and upon such terms, and at any time and from time to time, as shall be determined by the Committee. </w:t>
      </w:r>
    </w:p>
    <w:p>
      <w:pPr>
        <w:pStyle w:val="TextBody"/>
        <w:bidi w:val="0"/>
        <w:spacing w:before="120" w:after="283"/>
        <w:ind w:left="0" w:right="0" w:firstLine="400"/>
        <w:jc w:val="left"/>
        <w:rPr>
          <w:rFonts w:ascii="Times New Roman;Times;serif" w:hAnsi="Times New Roman;Times;serif"/>
          <w:color w:val="000000"/>
          <w:sz w:val="20"/>
        </w:rPr>
      </w:pPr>
      <w:bookmarkStart w:id="174" w:name="tANXBAS92"/>
      <w:bookmarkEnd w:id="174"/>
      <w:r>
        <w:rPr>
          <w:rFonts w:ascii="Times New Roman;Times;serif" w:hAnsi="Times New Roman;Times;serif"/>
          <w:color w:val="000000"/>
          <w:sz w:val="20"/>
        </w:rPr>
        <w:t>9.2 </w:t>
      </w:r>
      <w:r>
        <w:rPr>
          <w:rFonts w:ascii="Times New Roman;Times;serif" w:hAnsi="Times New Roman;Times;serif"/>
          <w:color w:val="000000"/>
          <w:sz w:val="20"/>
          <w:u w:val="single"/>
        </w:rPr>
        <w:t>Value/Performance Goals</w:t>
      </w:r>
      <w:r>
        <w:rPr>
          <w:rFonts w:ascii="Times New Roman;Times;serif" w:hAnsi="Times New Roman;Times;serif"/>
          <w:color w:val="000000"/>
          <w:sz w:val="20"/>
        </w:rPr>
        <w:t xml:space="preserve">. The Committee shall set performance goals in its discretion which, depending on the extent to which they are met, will determine the number or value of Performance Units or Performance Shares that will be paid to the Grantee.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Performance Unit</w:t>
      </w:r>
      <w:r>
        <w:rPr>
          <w:rFonts w:ascii="Times New Roman;Times;serif" w:hAnsi="Times New Roman;Times;serif"/>
          <w:color w:val="000000"/>
          <w:sz w:val="20"/>
        </w:rPr>
        <w:t>. Each Performance Unit shall have an initial value that is established by the Committee at the time of grant.</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Share</w:t>
      </w:r>
      <w:r>
        <w:rPr>
          <w:rFonts w:ascii="Times New Roman;Times;serif" w:hAnsi="Times New Roman;Times;serif"/>
          <w:color w:val="000000"/>
          <w:sz w:val="20"/>
        </w:rPr>
        <w:t xml:space="preserve">. Each Performance Share shall have an initial value equal to the Fair Market Value of a Share on the date of grant. </w:t>
      </w:r>
    </w:p>
    <w:p>
      <w:pPr>
        <w:pStyle w:val="TextBody"/>
        <w:bidi w:val="0"/>
        <w:spacing w:before="120" w:after="283"/>
        <w:ind w:left="0" w:right="0" w:firstLine="400"/>
        <w:jc w:val="left"/>
        <w:rPr>
          <w:rFonts w:ascii="Times New Roman;Times;serif" w:hAnsi="Times New Roman;Times;serif"/>
          <w:color w:val="000000"/>
          <w:sz w:val="20"/>
        </w:rPr>
      </w:pPr>
      <w:bookmarkStart w:id="175" w:name="tANXBAS93"/>
      <w:bookmarkEnd w:id="175"/>
      <w:r>
        <w:rPr>
          <w:rFonts w:ascii="Times New Roman;Times;serif" w:hAnsi="Times New Roman;Times;serif"/>
          <w:color w:val="000000"/>
          <w:sz w:val="20"/>
        </w:rPr>
        <w:t>9.3 </w:t>
      </w:r>
      <w:r>
        <w:rPr>
          <w:rFonts w:ascii="Times New Roman;Times;serif" w:hAnsi="Times New Roman;Times;serif"/>
          <w:color w:val="000000"/>
          <w:sz w:val="20"/>
          <w:u w:val="single"/>
        </w:rPr>
        <w:t>Earning of Performance Units and Performance Shares</w:t>
      </w:r>
      <w:r>
        <w:rPr>
          <w:rFonts w:ascii="Times New Roman;Times;serif" w:hAnsi="Times New Roman;Times;serif"/>
          <w:color w:val="000000"/>
          <w:sz w:val="20"/>
        </w:rPr>
        <w:t>. After the applicable Performance Period has ended, the holder of Performance Units or Performance Shares shall be entitled to payment based on the level of achievement of performance goals set by the Committee.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discretion of the Committee, the settlement of Performance Units or Performance Shares may be in cash, Shares of equivalent value, or in some combination thereof, as set forth in the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discretion of the Committee, a Grantee may be entitled to receive any dividends or Dividend Equivalents declared with respect to Shares deliverable in connection with vested Performance Shares which have been earned, but not yet delivered to the Grantee.</w:t>
      </w:r>
    </w:p>
    <w:p>
      <w:pPr>
        <w:pStyle w:val="TextBody"/>
        <w:bidi w:val="0"/>
        <w:spacing w:before="310" w:after="283"/>
        <w:jc w:val="center"/>
        <w:rPr>
          <w:rFonts w:ascii="Times New Roman;Times;serif" w:hAnsi="Times New Roman;Times;serif"/>
          <w:b/>
          <w:color w:val="000000"/>
          <w:sz w:val="20"/>
        </w:rPr>
      </w:pPr>
      <w:bookmarkStart w:id="176" w:name="tANXBA10"/>
      <w:bookmarkEnd w:id="176"/>
      <w:r>
        <w:rPr>
          <w:rFonts w:ascii="Times New Roman;Times;serif" w:hAnsi="Times New Roman;Times;serif"/>
          <w:b/>
          <w:color w:val="000000"/>
          <w:sz w:val="20"/>
        </w:rPr>
        <w:t xml:space="preserve">Article 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Deferred Stock and Restricted Stock Units </w:t>
      </w:r>
    </w:p>
    <w:p>
      <w:pPr>
        <w:pStyle w:val="TextBody"/>
        <w:bidi w:val="0"/>
        <w:spacing w:before="120" w:after="283"/>
        <w:ind w:left="0" w:right="0" w:firstLine="400"/>
        <w:jc w:val="left"/>
        <w:rPr>
          <w:rFonts w:ascii="Times New Roman;Times;serif" w:hAnsi="Times New Roman;Times;serif"/>
          <w:color w:val="000000"/>
          <w:sz w:val="20"/>
        </w:rPr>
      </w:pPr>
      <w:bookmarkStart w:id="177" w:name="tANXBAS101"/>
      <w:bookmarkEnd w:id="177"/>
      <w:r>
        <w:rPr>
          <w:rFonts w:ascii="Times New Roman;Times;serif" w:hAnsi="Times New Roman;Times;serif"/>
          <w:color w:val="000000"/>
          <w:sz w:val="20"/>
        </w:rPr>
        <w:t>10.1 </w:t>
      </w:r>
      <w:r>
        <w:rPr>
          <w:rFonts w:ascii="Times New Roman;Times;serif" w:hAnsi="Times New Roman;Times;serif"/>
          <w:color w:val="000000"/>
          <w:sz w:val="20"/>
          <w:u w:val="single"/>
        </w:rPr>
        <w:t>Grant of Deferred Stock and Restricted Stock Units</w:t>
      </w:r>
      <w:r>
        <w:rPr>
          <w:rFonts w:ascii="Times New Roman;Times;serif" w:hAnsi="Times New Roman;Times;serif"/>
          <w:color w:val="000000"/>
          <w:sz w:val="20"/>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pStyle w:val="TextBody"/>
        <w:bidi w:val="0"/>
        <w:spacing w:before="160" w:after="283"/>
        <w:ind w:left="0" w:right="0" w:firstLine="400"/>
        <w:jc w:val="left"/>
        <w:rPr>
          <w:rFonts w:ascii="Times New Roman;Times;serif" w:hAnsi="Times New Roman;Times;serif"/>
          <w:color w:val="000000"/>
          <w:sz w:val="20"/>
        </w:rPr>
      </w:pPr>
      <w:bookmarkStart w:id="178" w:name="tANXBAS102"/>
      <w:bookmarkEnd w:id="178"/>
      <w:r>
        <w:rPr>
          <w:rFonts w:ascii="Times New Roman;Times;serif" w:hAnsi="Times New Roman;Times;serif"/>
          <w:color w:val="000000"/>
          <w:sz w:val="20"/>
        </w:rPr>
        <w:t>10.2 </w:t>
      </w:r>
      <w:r>
        <w:rPr>
          <w:rFonts w:ascii="Times New Roman;Times;serif" w:hAnsi="Times New Roman;Times;serif"/>
          <w:color w:val="000000"/>
          <w:sz w:val="20"/>
          <w:u w:val="single"/>
        </w:rPr>
        <w:t>Vesting and Delivery</w:t>
      </w:r>
      <w:r>
        <w:rPr>
          <w:rFonts w:ascii="Times New Roman;Times;serif" w:hAnsi="Times New Roman;Times;serif"/>
          <w:color w:val="000000"/>
          <w:sz w:val="20"/>
        </w:rPr>
        <w:t>.</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Delivery with Respect to Deferred Stock</w:t>
      </w:r>
      <w:r>
        <w:rPr>
          <w:rFonts w:ascii="Times New Roman;Times;serif" w:hAnsi="Times New Roman;Times;serif"/>
          <w:color w:val="000000"/>
          <w:sz w:val="20"/>
        </w:rPr>
        <w:t xml:space="preserve">. Delivery of Shares subject to a Deferred Stock grant will occur upon expiration of the deferral period or upon the occurrence of one or more of the distribution events described in Section 409A(a)(2) of the Code as specified by the Committee in the Grantee’s Award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bidi w:val="0"/>
        <w:spacing w:before="200" w:after="200"/>
        <w:jc w:val="left"/>
        <w:rPr/>
      </w:pPr>
      <w:r>
        <w:rPr/>
      </w:r>
    </w:p>
    <w:p>
      <w:pPr>
        <w:pStyle w:val="TextBody"/>
        <w:bidi w:val="0"/>
        <w:jc w:val="left"/>
        <w:rPr/>
      </w:pPr>
      <w:hyperlink w:anchor="TOC">
        <w:bookmarkStart w:id="179" w:name="ny20080978x2_def14a_301-annexb_pg18"/>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Delivery with Respect to Restricted Stock Units</w:t>
      </w:r>
      <w:r>
        <w:rPr>
          <w:rFonts w:ascii="Times New Roman;Times;serif" w:hAnsi="Times New Roman;Times;serif"/>
          <w:color w:val="000000"/>
          <w:sz w:val="20"/>
        </w:rPr>
        <w:t>. Delivery of Shares subject to a grant of Restricted Stock Units shall occur no later than the 15</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 </w:t>
      </w:r>
    </w:p>
    <w:p>
      <w:pPr>
        <w:pStyle w:val="TextBody"/>
        <w:bidi w:val="0"/>
        <w:spacing w:before="120" w:after="283"/>
        <w:ind w:left="0" w:right="0" w:firstLine="400"/>
        <w:jc w:val="left"/>
        <w:rPr>
          <w:rFonts w:ascii="Times New Roman;Times;serif" w:hAnsi="Times New Roman;Times;serif"/>
          <w:color w:val="000000"/>
          <w:sz w:val="20"/>
        </w:rPr>
      </w:pPr>
      <w:bookmarkStart w:id="180" w:name="tANXBAS103"/>
      <w:bookmarkEnd w:id="180"/>
      <w:r>
        <w:rPr>
          <w:rFonts w:ascii="Times New Roman;Times;serif" w:hAnsi="Times New Roman;Times;serif"/>
          <w:color w:val="000000"/>
          <w:sz w:val="20"/>
        </w:rPr>
        <w:t>10.3 </w:t>
      </w:r>
      <w:r>
        <w:rPr>
          <w:rFonts w:ascii="Times New Roman;Times;serif" w:hAnsi="Times New Roman;Times;serif"/>
          <w:color w:val="000000"/>
          <w:sz w:val="20"/>
          <w:u w:val="single"/>
        </w:rPr>
        <w:t>Voting and Dividend Equivalent Rights Attributable to Deferred Stock and Restricted Stock Units</w:t>
      </w:r>
      <w:r>
        <w:rPr>
          <w:rFonts w:ascii="Times New Roman;Times;serif" w:hAnsi="Times New Roman;Times;serif"/>
          <w:color w:val="000000"/>
          <w:sz w:val="20"/>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pStyle w:val="TextBody"/>
        <w:bidi w:val="0"/>
        <w:spacing w:before="240" w:after="283"/>
        <w:jc w:val="center"/>
        <w:rPr>
          <w:rFonts w:ascii="Times New Roman;Times;serif" w:hAnsi="Times New Roman;Times;serif"/>
          <w:b/>
          <w:color w:val="000000"/>
          <w:sz w:val="20"/>
        </w:rPr>
      </w:pPr>
      <w:bookmarkStart w:id="181" w:name="tANXBA11"/>
      <w:bookmarkEnd w:id="181"/>
      <w:r>
        <w:rPr>
          <w:rFonts w:ascii="Times New Roman;Times;serif" w:hAnsi="Times New Roman;Times;serif"/>
          <w:b/>
          <w:color w:val="000000"/>
          <w:sz w:val="20"/>
        </w:rPr>
        <w:t xml:space="preserve">Article 11.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Dividend Equivalents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any payments in respect of any Dividend Equivalents granted in conjunction with any Options or SARs may not be conditioned, directly or indirectly, on the Grantee’s exercise of the Options or SARs or paid at the same time that the Options or SARs are exercised. The timing of payment or distribution of Dividend Equivalents must comply with the requirements of Section 409A of the Code. </w:t>
      </w:r>
    </w:p>
    <w:p>
      <w:pPr>
        <w:pStyle w:val="TextBody"/>
        <w:bidi w:val="0"/>
        <w:spacing w:before="240" w:after="283"/>
        <w:jc w:val="center"/>
        <w:rPr>
          <w:rFonts w:ascii="Times New Roman;Times;serif" w:hAnsi="Times New Roman;Times;serif"/>
          <w:b/>
          <w:color w:val="000000"/>
          <w:sz w:val="20"/>
        </w:rPr>
      </w:pPr>
      <w:bookmarkStart w:id="182" w:name="tANXBA12"/>
      <w:bookmarkEnd w:id="182"/>
      <w:r>
        <w:rPr>
          <w:rFonts w:ascii="Times New Roman;Times;serif" w:hAnsi="Times New Roman;Times;serif"/>
          <w:b/>
          <w:color w:val="000000"/>
          <w:sz w:val="20"/>
        </w:rPr>
        <w:t xml:space="preserve">Article 12.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Bonus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of the Plan, the Committee may grant Bonus Shares to any Eligible Person, in such amount and upon such terms and at any time and from time to time as shall be determined by the Committee. </w:t>
      </w:r>
    </w:p>
    <w:p>
      <w:pPr>
        <w:pStyle w:val="TextBody"/>
        <w:bidi w:val="0"/>
        <w:spacing w:before="240" w:after="283"/>
        <w:jc w:val="center"/>
        <w:rPr>
          <w:rFonts w:ascii="Times New Roman;Times;serif" w:hAnsi="Times New Roman;Times;serif"/>
          <w:b/>
          <w:color w:val="000000"/>
          <w:sz w:val="20"/>
        </w:rPr>
      </w:pPr>
      <w:bookmarkStart w:id="183" w:name="tANXBA13"/>
      <w:bookmarkEnd w:id="183"/>
      <w:r>
        <w:rPr>
          <w:rFonts w:ascii="Times New Roman;Times;serif" w:hAnsi="Times New Roman;Times;serif"/>
          <w:b/>
          <w:color w:val="000000"/>
          <w:sz w:val="20"/>
        </w:rPr>
        <w:t xml:space="preserve">Article 13.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Other Stock-Based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bidi w:val="0"/>
        <w:spacing w:before="200" w:after="200"/>
        <w:jc w:val="left"/>
        <w:rPr/>
      </w:pPr>
      <w:r>
        <w:rPr/>
      </w:r>
    </w:p>
    <w:p>
      <w:pPr>
        <w:pStyle w:val="TextBody"/>
        <w:bidi w:val="0"/>
        <w:jc w:val="left"/>
        <w:rPr/>
      </w:pPr>
      <w:hyperlink w:anchor="TOC">
        <w:bookmarkStart w:id="184" w:name="ny20080978x2_def14a_301-annexb_pg19"/>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5" w:name="tANXBA14"/>
      <w:bookmarkEnd w:id="185"/>
      <w:r>
        <w:rPr>
          <w:rFonts w:ascii="Times New Roman;Times;serif" w:hAnsi="Times New Roman;Times;serif"/>
          <w:b/>
          <w:color w:val="000000"/>
          <w:sz w:val="20"/>
        </w:rPr>
        <w:t xml:space="preserve">Article 14.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Non-Employee Director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terms of the Plan, the Board may grant Awards to any Non-Employee Director, in such amount and upon such terms and at any time and from time to time as shall be determined by the full Board in its sole discretion. Except as otherwise provided in Section 5.6(b), a Non-Employee Director may not be granted Awards with respect to Shares that have a Fair Market Value (determined as of the date of grant) in excess of $250,000 in a single calendar year.</w:t>
      </w:r>
    </w:p>
    <w:p>
      <w:pPr>
        <w:pStyle w:val="TextBody"/>
        <w:bidi w:val="0"/>
        <w:spacing w:before="410" w:after="283"/>
        <w:jc w:val="center"/>
        <w:rPr>
          <w:rFonts w:ascii="Times New Roman;Times;serif" w:hAnsi="Times New Roman;Times;serif"/>
          <w:b/>
          <w:color w:val="000000"/>
          <w:sz w:val="20"/>
        </w:rPr>
      </w:pPr>
      <w:bookmarkStart w:id="186" w:name="tANXBA15"/>
      <w:bookmarkEnd w:id="186"/>
      <w:r>
        <w:rPr>
          <w:rFonts w:ascii="Times New Roman;Times;serif" w:hAnsi="Times New Roman;Times;serif"/>
          <w:b/>
          <w:color w:val="000000"/>
          <w:sz w:val="20"/>
        </w:rPr>
        <w:t xml:space="preserve">Article 15.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Modification, and Termination </w:t>
      </w:r>
    </w:p>
    <w:p>
      <w:pPr>
        <w:pStyle w:val="TextBody"/>
        <w:bidi w:val="0"/>
        <w:spacing w:before="120" w:after="283"/>
        <w:ind w:left="0" w:right="0" w:firstLine="400"/>
        <w:jc w:val="left"/>
        <w:rPr>
          <w:rFonts w:ascii="Times New Roman;Times;serif" w:hAnsi="Times New Roman;Times;serif"/>
          <w:color w:val="000000"/>
          <w:sz w:val="20"/>
        </w:rPr>
      </w:pPr>
      <w:bookmarkStart w:id="187" w:name="tANXBAS151"/>
      <w:bookmarkEnd w:id="187"/>
      <w:r>
        <w:rPr>
          <w:rFonts w:ascii="Times New Roman;Times;serif" w:hAnsi="Times New Roman;Times;serif"/>
          <w:color w:val="000000"/>
          <w:sz w:val="20"/>
        </w:rPr>
        <w:t>15.1 </w:t>
      </w:r>
      <w:r>
        <w:rPr>
          <w:rFonts w:ascii="Times New Roman;Times;serif" w:hAnsi="Times New Roman;Times;serif"/>
          <w:color w:val="000000"/>
          <w:sz w:val="20"/>
          <w:u w:val="single"/>
        </w:rPr>
        <w:t>Amendment, Modification, and Termination</w:t>
      </w:r>
      <w:r>
        <w:rPr>
          <w:rFonts w:ascii="Times New Roman;Times;serif" w:hAnsi="Times New Roman;Times;serif"/>
          <w:color w:val="000000"/>
          <w:sz w:val="20"/>
        </w:rPr>
        <w:t xml:space="preserve">.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 </w:t>
      </w:r>
    </w:p>
    <w:p>
      <w:pPr>
        <w:pStyle w:val="TextBody"/>
        <w:bidi w:val="0"/>
        <w:spacing w:before="120" w:after="283"/>
        <w:ind w:left="0" w:right="0" w:firstLine="400"/>
        <w:jc w:val="left"/>
        <w:rPr>
          <w:rFonts w:ascii="Times New Roman;Times;serif" w:hAnsi="Times New Roman;Times;serif"/>
          <w:color w:val="000000"/>
          <w:sz w:val="20"/>
        </w:rPr>
      </w:pPr>
      <w:bookmarkStart w:id="188" w:name="tANXBAS152"/>
      <w:bookmarkEnd w:id="188"/>
      <w:r>
        <w:rPr>
          <w:rFonts w:ascii="Times New Roman;Times;serif" w:hAnsi="Times New Roman;Times;serif"/>
          <w:color w:val="000000"/>
          <w:sz w:val="20"/>
        </w:rPr>
        <w:t>15.2 </w:t>
      </w:r>
      <w:r>
        <w:rPr>
          <w:rFonts w:ascii="Times New Roman;Times;serif" w:hAnsi="Times New Roman;Times;serif"/>
          <w:color w:val="000000"/>
          <w:sz w:val="20"/>
          <w:u w:val="single"/>
        </w:rPr>
        <w:t>Awards Previously Granted</w:t>
      </w:r>
      <w:r>
        <w:rPr>
          <w:rFonts w:ascii="Times New Roman;Times;serif" w:hAnsi="Times New Roman;Times;serif"/>
          <w:color w:val="000000"/>
          <w:sz w:val="20"/>
        </w:rPr>
        <w:t xml:space="preserve">. Except as otherwise specifically permitted in the Plan or an Award Agreement, no termination, amendment, or modification of the Plan shall adversely affect in any material way any Award previously granted under the Plan, without the written consent of the Grantee of such Award. </w:t>
      </w:r>
    </w:p>
    <w:p>
      <w:pPr>
        <w:pStyle w:val="TextBody"/>
        <w:bidi w:val="0"/>
        <w:spacing w:before="410" w:after="283"/>
        <w:jc w:val="center"/>
        <w:rPr>
          <w:rFonts w:ascii="Times New Roman;Times;serif" w:hAnsi="Times New Roman;Times;serif"/>
          <w:b/>
          <w:color w:val="000000"/>
          <w:sz w:val="20"/>
        </w:rPr>
      </w:pPr>
      <w:bookmarkStart w:id="189" w:name="tANXBA16"/>
      <w:bookmarkEnd w:id="189"/>
      <w:r>
        <w:rPr>
          <w:rFonts w:ascii="Times New Roman;Times;serif" w:hAnsi="Times New Roman;Times;serif"/>
          <w:b/>
          <w:color w:val="000000"/>
          <w:sz w:val="20"/>
        </w:rPr>
        <w:t xml:space="preserve">Article 16.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Compliance with Code Section 409A </w:t>
      </w:r>
    </w:p>
    <w:p>
      <w:pPr>
        <w:pStyle w:val="TextBody"/>
        <w:bidi w:val="0"/>
        <w:spacing w:before="120" w:after="283"/>
        <w:ind w:left="0" w:right="0" w:firstLine="400"/>
        <w:jc w:val="left"/>
        <w:rPr>
          <w:rFonts w:ascii="Times New Roman;Times;serif" w:hAnsi="Times New Roman;Times;serif"/>
          <w:color w:val="000000"/>
          <w:sz w:val="20"/>
        </w:rPr>
      </w:pPr>
      <w:bookmarkStart w:id="190" w:name="tANXBAS161"/>
      <w:bookmarkEnd w:id="190"/>
      <w:r>
        <w:rPr>
          <w:rFonts w:ascii="Times New Roman;Times;serif" w:hAnsi="Times New Roman;Times;serif"/>
          <w:color w:val="000000"/>
          <w:sz w:val="20"/>
        </w:rPr>
        <w:t>16.1 </w:t>
      </w:r>
      <w:r>
        <w:rPr>
          <w:rFonts w:ascii="Times New Roman;Times;serif" w:hAnsi="Times New Roman;Times;serif"/>
          <w:color w:val="000000"/>
          <w:sz w:val="20"/>
          <w:u w:val="single"/>
        </w:rPr>
        <w:t>Awards Subject to Code Section 409A</w:t>
      </w:r>
      <w:r>
        <w:rPr>
          <w:rFonts w:ascii="Times New Roman;Times;serif" w:hAnsi="Times New Roman;Times;serif"/>
          <w:color w:val="000000"/>
          <w:sz w:val="20"/>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pStyle w:val="TextBody"/>
        <w:bidi w:val="0"/>
        <w:spacing w:before="120" w:after="283"/>
        <w:ind w:left="0" w:right="0" w:firstLine="400"/>
        <w:jc w:val="left"/>
        <w:rPr>
          <w:rFonts w:ascii="Times New Roman;Times;serif" w:hAnsi="Times New Roman;Times;serif"/>
          <w:color w:val="000000"/>
          <w:sz w:val="20"/>
        </w:rPr>
      </w:pPr>
      <w:bookmarkStart w:id="191" w:name="tANXBAS162"/>
      <w:bookmarkEnd w:id="191"/>
      <w:r>
        <w:rPr>
          <w:rFonts w:ascii="Times New Roman;Times;serif" w:hAnsi="Times New Roman;Times;serif"/>
          <w:color w:val="000000"/>
          <w:sz w:val="20"/>
        </w:rPr>
        <w:t>16.2 </w:t>
      </w:r>
      <w:r>
        <w:rPr>
          <w:rFonts w:ascii="Times New Roman;Times;serif" w:hAnsi="Times New Roman;Times;serif"/>
          <w:color w:val="000000"/>
          <w:sz w:val="20"/>
          <w:u w:val="single"/>
        </w:rPr>
        <w:t>Deferral and/or Distribution Elections</w:t>
      </w:r>
      <w:r>
        <w:rPr>
          <w:rFonts w:ascii="Times New Roman;Times;serif" w:hAnsi="Times New Roman;Times;serif"/>
          <w:color w:val="000000"/>
          <w:sz w:val="20"/>
        </w:rPr>
        <w:t xml:space="preserve">. Except as otherwise permitted or required by Code Section 409A, the following rules shall apply to any deferral and/or elections as to the form or timing of distributions (each, an “Election”) that may be permitted or required by the Committee with respect to a 409A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(a) Any Election must be in writing and specify the amount being deferred, and the time and form of distribution (i.e., lump sum or installments) as permitted by this Plan. An Election may but need not specify whether payment will be made in cash, Shares or other property.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(c) Unless otherwise provided by the Committee, an Election shall continue in effect until a written election to revoke or change such Election is received by the Committee, prior to the last day for making an Election for the subsequent year. </w:t>
      </w:r>
    </w:p>
    <w:p>
      <w:pPr>
        <w:pStyle w:val="TextBody"/>
        <w:bidi w:val="0"/>
        <w:spacing w:before="120" w:after="283"/>
        <w:ind w:left="0" w:right="0" w:firstLine="400"/>
        <w:jc w:val="left"/>
        <w:rPr>
          <w:rFonts w:ascii="Times New Roman;Times;serif" w:hAnsi="Times New Roman;Times;serif"/>
          <w:color w:val="000000"/>
          <w:sz w:val="20"/>
        </w:rPr>
      </w:pPr>
      <w:bookmarkStart w:id="192" w:name="tANXBAS163"/>
      <w:bookmarkEnd w:id="192"/>
      <w:r>
        <w:rPr>
          <w:rFonts w:ascii="Times New Roman;Times;serif" w:hAnsi="Times New Roman;Times;serif"/>
          <w:color w:val="000000"/>
          <w:sz w:val="20"/>
        </w:rPr>
        <w:t>16.3 </w:t>
      </w:r>
      <w:r>
        <w:rPr>
          <w:rFonts w:ascii="Times New Roman;Times;serif" w:hAnsi="Times New Roman;Times;serif"/>
          <w:color w:val="000000"/>
          <w:sz w:val="20"/>
          <w:u w:val="single"/>
        </w:rPr>
        <w:t>Subsequent Elections</w:t>
      </w:r>
      <w:r>
        <w:rPr>
          <w:rFonts w:ascii="Times New Roman;Times;serif" w:hAnsi="Times New Roman;Times;serif"/>
          <w:color w:val="000000"/>
          <w:sz w:val="20"/>
        </w:rPr>
        <w:t xml:space="preserve">. Except as otherwise permitted or required by Code Section 409A, any 409A Award which permits a subsequent Election to further defer the distribution or change the form of distribution shall comply with the following requirements: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 subsequent Election may take effect until at least twelve (12) months after the date on which the subsequent Election is made;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subsequent Election related to a distribution upon separation from service, a specified time, or a Change in Control must result in a delay of the distribution for a period of not less than five (5) years from the date such distribution would otherwise have been made;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bidi w:val="0"/>
        <w:spacing w:before="200" w:after="200"/>
        <w:jc w:val="left"/>
        <w:rPr/>
      </w:pPr>
      <w:r>
        <w:rPr/>
      </w:r>
    </w:p>
    <w:p>
      <w:pPr>
        <w:pStyle w:val="TextBody"/>
        <w:bidi w:val="0"/>
        <w:jc w:val="left"/>
        <w:rPr/>
      </w:pPr>
      <w:hyperlink w:anchor="TOC">
        <w:bookmarkStart w:id="193" w:name="ny20080978x2_def14a_301-annexb_pg20"/>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(c) No subsequent Election related to a distribution to be made at a specified time or pursuant to a fixed schedule shall be made less than twelve (12) months prior to the date the first scheduled payment would otherwise be made. </w:t>
      </w:r>
    </w:p>
    <w:p>
      <w:pPr>
        <w:pStyle w:val="TextBody"/>
        <w:bidi w:val="0"/>
        <w:spacing w:before="120" w:after="283"/>
        <w:ind w:left="0" w:right="0" w:firstLine="400"/>
        <w:jc w:val="left"/>
        <w:rPr>
          <w:rFonts w:ascii="Times New Roman;Times;serif" w:hAnsi="Times New Roman;Times;serif"/>
          <w:color w:val="000000"/>
          <w:sz w:val="20"/>
        </w:rPr>
      </w:pPr>
      <w:bookmarkStart w:id="194" w:name="tANXBAS164"/>
      <w:bookmarkEnd w:id="194"/>
      <w:r>
        <w:rPr>
          <w:rFonts w:ascii="Times New Roman;Times;serif" w:hAnsi="Times New Roman;Times;serif"/>
          <w:color w:val="000000"/>
          <w:sz w:val="20"/>
        </w:rPr>
        <w:t>16.4 </w:t>
      </w:r>
      <w:r>
        <w:rPr>
          <w:rFonts w:ascii="Times New Roman;Times;serif" w:hAnsi="Times New Roman;Times;serif"/>
          <w:color w:val="000000"/>
          <w:sz w:val="20"/>
          <w:u w:val="single"/>
        </w:rPr>
        <w:t>Distributions Pursuant to Deferral Elections</w:t>
      </w:r>
      <w:r>
        <w:rPr>
          <w:rFonts w:ascii="Times New Roman;Times;serif" w:hAnsi="Times New Roman;Times;serif"/>
          <w:color w:val="000000"/>
          <w:sz w:val="20"/>
        </w:rPr>
        <w:t xml:space="preserve">. Except as otherwise permitted or required by Code Section 409A, no distribution in settlement of a 409A Award may commence earlier than: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(a) Separation from Service;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date the Participant becomes Disabled (as defined in Section 2.15(b);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Participant’s death;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 specified time (or pursuant to a fixed schedule) that is either (i) specified by the Committee upon the grant of the Award and set forth in the Award Agreement or (ii) specified by the Grantee in an Election complying with the requirements of Section 16.2 and/or 16.3, as applicable;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(e) A change in ownership of the Company or a substantial portion of its assets within the meaning of Treasury Regulation Section 1.409A-3(i)(5)(v) or (vii) or a change in effective control of the Company within the meaning of Treasury Regulation Section 1.409A-3(i)(5)(vi) (a “Change in Control”). </w:t>
      </w:r>
    </w:p>
    <w:p>
      <w:pPr>
        <w:pStyle w:val="TextBody"/>
        <w:bidi w:val="0"/>
        <w:spacing w:before="120" w:after="283"/>
        <w:ind w:left="0" w:right="0" w:firstLine="400"/>
        <w:jc w:val="left"/>
        <w:rPr>
          <w:rFonts w:ascii="Times New Roman;Times;serif" w:hAnsi="Times New Roman;Times;serif"/>
          <w:color w:val="000000"/>
          <w:sz w:val="20"/>
        </w:rPr>
      </w:pPr>
      <w:bookmarkStart w:id="195" w:name="tANXBAS165"/>
      <w:bookmarkEnd w:id="195"/>
      <w:r>
        <w:rPr>
          <w:rFonts w:ascii="Times New Roman;Times;serif" w:hAnsi="Times New Roman;Times;serif"/>
          <w:color w:val="000000"/>
          <w:sz w:val="20"/>
        </w:rPr>
        <w:t>16.5 </w:t>
      </w:r>
      <w:r>
        <w:rPr>
          <w:rFonts w:ascii="Times New Roman;Times;serif" w:hAnsi="Times New Roman;Times;serif"/>
          <w:color w:val="000000"/>
          <w:sz w:val="20"/>
          <w:u w:val="single"/>
        </w:rPr>
        <w:t>Six Month Delay</w:t>
      </w:r>
      <w:r>
        <w:rPr>
          <w:rFonts w:ascii="Times New Roman;Times;serif" w:hAnsi="Times New Roman;Times;serif"/>
          <w:color w:val="000000"/>
          <w:sz w:val="20"/>
        </w:rPr>
        <w:t xml:space="preserve">. Notwithstanding anything herein or in any Award Agreement or Election to the contrary, to the extent that distribution of a 409A Award is triggered by a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 </w:t>
      </w:r>
    </w:p>
    <w:p>
      <w:pPr>
        <w:pStyle w:val="TextBody"/>
        <w:bidi w:val="0"/>
        <w:spacing w:before="120" w:after="283"/>
        <w:ind w:left="0" w:right="0" w:firstLine="400"/>
        <w:jc w:val="left"/>
        <w:rPr>
          <w:rFonts w:ascii="Times New Roman;Times;serif" w:hAnsi="Times New Roman;Times;serif"/>
          <w:color w:val="000000"/>
          <w:sz w:val="20"/>
        </w:rPr>
      </w:pPr>
      <w:bookmarkStart w:id="196" w:name="tANXBAS166"/>
      <w:bookmarkEnd w:id="196"/>
      <w:r>
        <w:rPr>
          <w:rFonts w:ascii="Times New Roman;Times;serif" w:hAnsi="Times New Roman;Times;serif"/>
          <w:color w:val="000000"/>
          <w:sz w:val="20"/>
        </w:rPr>
        <w:t>16.6 </w:t>
      </w:r>
      <w:r>
        <w:rPr>
          <w:rFonts w:ascii="Times New Roman;Times;serif" w:hAnsi="Times New Roman;Times;serif"/>
          <w:color w:val="000000"/>
          <w:sz w:val="20"/>
          <w:u w:val="single"/>
        </w:rPr>
        <w:t>Death or Disability</w:t>
      </w:r>
      <w:r>
        <w:rPr>
          <w:rFonts w:ascii="Times New Roman;Times;serif" w:hAnsi="Times New Roman;Times;serif"/>
          <w:color w:val="000000"/>
          <w:sz w:val="20"/>
        </w:rPr>
        <w:t xml:space="preserve">.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 </w:t>
      </w:r>
    </w:p>
    <w:p>
      <w:pPr>
        <w:pStyle w:val="TextBody"/>
        <w:bidi w:val="0"/>
        <w:spacing w:before="120" w:after="283"/>
        <w:ind w:left="0" w:right="0" w:firstLine="400"/>
        <w:jc w:val="left"/>
        <w:rPr>
          <w:rFonts w:ascii="Times New Roman;Times;serif" w:hAnsi="Times New Roman;Times;serif"/>
          <w:color w:val="000000"/>
          <w:sz w:val="20"/>
        </w:rPr>
      </w:pPr>
      <w:bookmarkStart w:id="197" w:name="tANXBAS167"/>
      <w:bookmarkEnd w:id="197"/>
      <w:r>
        <w:rPr>
          <w:rFonts w:ascii="Times New Roman;Times;serif" w:hAnsi="Times New Roman;Times;serif"/>
          <w:color w:val="000000"/>
          <w:sz w:val="20"/>
        </w:rPr>
        <w:t>16.7 </w:t>
      </w:r>
      <w:r>
        <w:rPr>
          <w:rFonts w:ascii="Times New Roman;Times;serif" w:hAnsi="Times New Roman;Times;serif"/>
          <w:color w:val="000000"/>
          <w:sz w:val="20"/>
          <w:u w:val="single"/>
        </w:rPr>
        <w:t>No Acceleration of Distributions</w:t>
      </w:r>
      <w:r>
        <w:rPr>
          <w:rFonts w:ascii="Times New Roman;Times;serif" w:hAnsi="Times New Roman;Times;serif"/>
          <w:color w:val="000000"/>
          <w:sz w:val="20"/>
        </w:rPr>
        <w:t xml:space="preserve">. This Plan does not permit the acceleration of the time or schedule of any distribution under a 409A Award, except as provided by Code Section 409A and/or applicable regulations or rulings issued thereunder. </w:t>
      </w:r>
    </w:p>
    <w:p>
      <w:pPr>
        <w:pStyle w:val="TextBody"/>
        <w:bidi w:val="0"/>
        <w:spacing w:before="240" w:after="283"/>
        <w:jc w:val="center"/>
        <w:rPr>
          <w:rFonts w:ascii="Times New Roman;Times;serif" w:hAnsi="Times New Roman;Times;serif"/>
          <w:b/>
          <w:color w:val="000000"/>
          <w:sz w:val="20"/>
        </w:rPr>
      </w:pPr>
      <w:bookmarkStart w:id="198" w:name="tANXBA17"/>
      <w:bookmarkEnd w:id="198"/>
      <w:r>
        <w:rPr>
          <w:rFonts w:ascii="Times New Roman;Times;serif" w:hAnsi="Times New Roman;Times;serif"/>
          <w:b/>
          <w:color w:val="000000"/>
          <w:sz w:val="20"/>
        </w:rPr>
        <w:t xml:space="preserve">Article 17.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Withholding </w:t>
      </w:r>
    </w:p>
    <w:p>
      <w:pPr>
        <w:pStyle w:val="TextBody"/>
        <w:bidi w:val="0"/>
        <w:spacing w:before="140" w:after="283"/>
        <w:ind w:left="0" w:right="0" w:firstLine="400"/>
        <w:jc w:val="left"/>
        <w:rPr>
          <w:rFonts w:ascii="Times New Roman;Times;serif" w:hAnsi="Times New Roman;Times;serif"/>
          <w:color w:val="000000"/>
          <w:sz w:val="20"/>
        </w:rPr>
      </w:pPr>
      <w:bookmarkStart w:id="199" w:name="tANXBAS171"/>
      <w:bookmarkEnd w:id="199"/>
      <w:r>
        <w:rPr>
          <w:rFonts w:ascii="Times New Roman;Times;serif" w:hAnsi="Times New Roman;Times;serif"/>
          <w:color w:val="000000"/>
          <w:sz w:val="20"/>
        </w:rPr>
        <w:t>17.1 </w:t>
      </w:r>
      <w:r>
        <w:rPr>
          <w:rFonts w:ascii="Times New Roman;Times;serif" w:hAnsi="Times New Roman;Times;serif"/>
          <w:color w:val="000000"/>
          <w:sz w:val="20"/>
          <w:u w:val="single"/>
        </w:rPr>
        <w:t>Required Withholding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(ii) delivering part or all of the amount to be withheld in the form of Common Stock valued at its Fair Market Value on the Tax Date;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(iv) withholding from any compensation otherwise due to the Grantee.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bidi w:val="0"/>
        <w:spacing w:before="200" w:after="200"/>
        <w:jc w:val="left"/>
        <w:rPr/>
      </w:pPr>
      <w:r>
        <w:rPr/>
      </w:r>
    </w:p>
    <w:p>
      <w:pPr>
        <w:pStyle w:val="TextBody"/>
        <w:bidi w:val="0"/>
        <w:jc w:val="left"/>
        <w:rPr/>
      </w:pPr>
      <w:hyperlink w:anchor="TOC">
        <w:bookmarkStart w:id="200" w:name="ny20080978x2_def14a_301-annexb_pg21"/>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(b) Any Grantee who makes a Disqualifying Disposition (as defined in Section 6.4(f)) or an election under Section 83(b) of the Code shall remit to the Company an amount sufficient to satisfy all resulting tax withholding requirements in the same manner as set forth in subsection (a). </w:t>
      </w:r>
    </w:p>
    <w:p>
      <w:pPr>
        <w:pStyle w:val="TextBody"/>
        <w:bidi w:val="0"/>
        <w:spacing w:before="120" w:after="283"/>
        <w:ind w:left="0" w:right="0" w:firstLine="400"/>
        <w:jc w:val="left"/>
        <w:rPr>
          <w:rFonts w:ascii="Times New Roman;Times;serif" w:hAnsi="Times New Roman;Times;serif"/>
          <w:color w:val="000000"/>
          <w:sz w:val="20"/>
        </w:rPr>
      </w:pPr>
      <w:bookmarkStart w:id="201" w:name="tANXBAS172"/>
      <w:bookmarkEnd w:id="201"/>
      <w:r>
        <w:rPr>
          <w:rFonts w:ascii="Times New Roman;Times;serif" w:hAnsi="Times New Roman;Times;serif"/>
          <w:color w:val="000000"/>
          <w:sz w:val="20"/>
        </w:rPr>
        <w:t>17.2 </w:t>
      </w:r>
      <w:r>
        <w:rPr>
          <w:rFonts w:ascii="Times New Roman;Times;serif" w:hAnsi="Times New Roman;Times;serif"/>
          <w:color w:val="000000"/>
          <w:sz w:val="20"/>
          <w:u w:val="single"/>
        </w:rPr>
        <w:t>Notification under Code Section 83(b)</w:t>
      </w:r>
      <w:r>
        <w:rPr>
          <w:rFonts w:ascii="Times New Roman;Times;serif" w:hAnsi="Times New Roman;Times;serif"/>
          <w:color w:val="000000"/>
          <w:sz w:val="20"/>
        </w:rPr>
        <w:t xml:space="preserve">. If the Grantee, in connection with the exercise of any Option, or the grant of Restricted Shares, makes the election permitted under Section 83(b) of the Code to include in such Grantee’s gross income in the year of transfer the amounts specified in Section 83(b) of the Code, then such Grantee shall notify the Company of such election within 10 days of filing the notice of the election with the Internal Revenue Service, in addition to any filing and notification required pursuant to regulations issued under Section 83(b) of the Code. The Committee may, in connection with the grant of an Award or at any time thereafter, prohibit a Grantee from making the election described above. </w:t>
      </w:r>
    </w:p>
    <w:p>
      <w:pPr>
        <w:pStyle w:val="TextBody"/>
        <w:bidi w:val="0"/>
        <w:spacing w:before="240" w:after="283"/>
        <w:jc w:val="center"/>
        <w:rPr>
          <w:rFonts w:ascii="Times New Roman;Times;serif" w:hAnsi="Times New Roman;Times;serif"/>
          <w:b/>
          <w:color w:val="000000"/>
          <w:sz w:val="20"/>
        </w:rPr>
      </w:pPr>
      <w:bookmarkStart w:id="202" w:name="tANXBA18"/>
      <w:bookmarkEnd w:id="202"/>
      <w:r>
        <w:rPr>
          <w:rFonts w:ascii="Times New Roman;Times;serif" w:hAnsi="Times New Roman;Times;serif"/>
          <w:b/>
          <w:color w:val="000000"/>
          <w:sz w:val="20"/>
        </w:rPr>
        <w:t xml:space="preserve">Article 18.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Provisions </w:t>
      </w:r>
    </w:p>
    <w:p>
      <w:pPr>
        <w:pStyle w:val="TextBody"/>
        <w:bidi w:val="0"/>
        <w:spacing w:before="120" w:after="283"/>
        <w:ind w:left="0" w:right="0" w:firstLine="400"/>
        <w:jc w:val="left"/>
        <w:rPr>
          <w:rFonts w:ascii="Times New Roman;Times;serif" w:hAnsi="Times New Roman;Times;serif"/>
          <w:color w:val="000000"/>
          <w:sz w:val="20"/>
        </w:rPr>
      </w:pPr>
      <w:bookmarkStart w:id="203" w:name="tANXBAS181"/>
      <w:bookmarkEnd w:id="203"/>
      <w:r>
        <w:rPr>
          <w:rFonts w:ascii="Times New Roman;Times;serif" w:hAnsi="Times New Roman;Times;serif"/>
          <w:color w:val="000000"/>
          <w:sz w:val="20"/>
        </w:rPr>
        <w:t>18.1 </w:t>
      </w:r>
      <w:r>
        <w:rPr>
          <w:rFonts w:ascii="Times New Roman;Times;serif" w:hAnsi="Times New Roman;Times;serif"/>
          <w:color w:val="000000"/>
          <w:sz w:val="20"/>
          <w:u w:val="single"/>
        </w:rPr>
        <w:t>Successors</w:t>
      </w:r>
      <w:r>
        <w:rPr>
          <w:rFonts w:ascii="Times New Roman;Times;serif" w:hAnsi="Times New Roman;Times;serif"/>
          <w:color w:val="000000"/>
          <w:sz w:val="20"/>
        </w:rPr>
        <w:t xml:space="preserve">.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 </w:t>
      </w:r>
    </w:p>
    <w:p>
      <w:pPr>
        <w:pStyle w:val="TextBody"/>
        <w:bidi w:val="0"/>
        <w:spacing w:before="120" w:after="283"/>
        <w:ind w:left="0" w:right="0" w:firstLine="400"/>
        <w:jc w:val="left"/>
        <w:rPr>
          <w:rFonts w:ascii="Times New Roman;Times;serif" w:hAnsi="Times New Roman;Times;serif"/>
          <w:color w:val="000000"/>
          <w:sz w:val="20"/>
        </w:rPr>
      </w:pPr>
      <w:bookmarkStart w:id="204" w:name="tANXBAS182"/>
      <w:bookmarkEnd w:id="204"/>
      <w:r>
        <w:rPr>
          <w:rFonts w:ascii="Times New Roman;Times;serif" w:hAnsi="Times New Roman;Times;serif"/>
          <w:color w:val="000000"/>
          <w:sz w:val="20"/>
        </w:rPr>
        <w:t>18.2 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120" w:after="283"/>
        <w:ind w:left="0" w:right="0" w:firstLine="400"/>
        <w:jc w:val="left"/>
        <w:rPr>
          <w:rFonts w:ascii="Times New Roman;Times;serif" w:hAnsi="Times New Roman;Times;serif"/>
          <w:color w:val="000000"/>
          <w:sz w:val="20"/>
        </w:rPr>
      </w:pPr>
      <w:bookmarkStart w:id="205" w:name="tANXBAS183"/>
      <w:bookmarkEnd w:id="205"/>
      <w:r>
        <w:rPr>
          <w:rFonts w:ascii="Times New Roman;Times;serif" w:hAnsi="Times New Roman;Times;serif"/>
          <w:color w:val="000000"/>
          <w:sz w:val="20"/>
        </w:rPr>
        <w:t>18.3 </w:t>
      </w:r>
      <w:r>
        <w:rPr>
          <w:rFonts w:ascii="Times New Roman;Times;serif" w:hAnsi="Times New Roman;Times;serif"/>
          <w:color w:val="000000"/>
          <w:sz w:val="20"/>
          <w:u w:val="single"/>
        </w:rPr>
        <w:t>Requirements of Law</w:t>
      </w:r>
      <w:r>
        <w:rPr>
          <w:rFonts w:ascii="Times New Roman;Times;serif" w:hAnsi="Times New Roman;Times;serif"/>
          <w:color w:val="000000"/>
          <w:sz w:val="20"/>
        </w:rPr>
        <w:t xml:space="preserve">.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 </w:t>
      </w:r>
    </w:p>
    <w:p>
      <w:pPr>
        <w:pStyle w:val="TextBody"/>
        <w:bidi w:val="0"/>
        <w:spacing w:before="160" w:after="283"/>
        <w:ind w:left="0" w:right="0" w:firstLine="400"/>
        <w:jc w:val="left"/>
        <w:rPr>
          <w:rFonts w:ascii="Times New Roman;Times;serif" w:hAnsi="Times New Roman;Times;serif"/>
          <w:color w:val="000000"/>
          <w:sz w:val="20"/>
        </w:rPr>
      </w:pPr>
      <w:bookmarkStart w:id="206" w:name="tANXBAS184"/>
      <w:bookmarkEnd w:id="206"/>
      <w:r>
        <w:rPr>
          <w:rFonts w:ascii="Times New Roman;Times;serif" w:hAnsi="Times New Roman;Times;serif"/>
          <w:color w:val="000000"/>
          <w:sz w:val="20"/>
        </w:rPr>
        <w:t>18.4 </w:t>
      </w:r>
      <w:r>
        <w:rPr>
          <w:rFonts w:ascii="Times New Roman;Times;serif" w:hAnsi="Times New Roman;Times;serif"/>
          <w:color w:val="000000"/>
          <w:sz w:val="20"/>
          <w:u w:val="single"/>
        </w:rPr>
        <w:t>Securities Law Compliance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bidi w:val="0"/>
        <w:spacing w:before="200" w:after="200"/>
        <w:jc w:val="left"/>
        <w:rPr/>
      </w:pPr>
      <w:r>
        <w:rPr/>
      </w:r>
    </w:p>
    <w:p>
      <w:pPr>
        <w:pStyle w:val="TextBody"/>
        <w:bidi w:val="0"/>
        <w:jc w:val="left"/>
        <w:rPr/>
      </w:pPr>
      <w:hyperlink w:anchor="TOC">
        <w:bookmarkStart w:id="207" w:name="ny20080978x2_def14a_301-annexb_pg22"/>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 </w:t>
      </w:r>
    </w:p>
    <w:p>
      <w:pPr>
        <w:pStyle w:val="TextBody"/>
        <w:bidi w:val="0"/>
        <w:spacing w:before="120" w:after="283"/>
        <w:ind w:left="0" w:right="0" w:firstLine="400"/>
        <w:jc w:val="left"/>
        <w:rPr>
          <w:rFonts w:ascii="Times New Roman;Times;serif" w:hAnsi="Times New Roman;Times;serif"/>
          <w:color w:val="000000"/>
          <w:sz w:val="20"/>
        </w:rPr>
      </w:pPr>
      <w:bookmarkStart w:id="208" w:name="tANXBAS185"/>
      <w:bookmarkEnd w:id="208"/>
      <w:r>
        <w:rPr>
          <w:rFonts w:ascii="Times New Roman;Times;serif" w:hAnsi="Times New Roman;Times;serif"/>
          <w:color w:val="000000"/>
          <w:sz w:val="20"/>
        </w:rPr>
        <w:t>18.5 </w:t>
      </w:r>
      <w:r>
        <w:rPr>
          <w:rFonts w:ascii="Times New Roman;Times;serif" w:hAnsi="Times New Roman;Times;serif"/>
          <w:color w:val="000000"/>
          <w:sz w:val="20"/>
          <w:u w:val="single"/>
        </w:rPr>
        <w:t>Forfeiture Events</w:t>
      </w:r>
      <w:r>
        <w:rPr>
          <w:rFonts w:ascii="Times New Roman;Times;serif" w:hAnsi="Times New Roman;Times;serif"/>
          <w:color w:val="000000"/>
          <w:sz w:val="20"/>
        </w:rPr>
        <w:t xml:space="preserve">.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 </w:t>
      </w:r>
    </w:p>
    <w:p>
      <w:pPr>
        <w:pStyle w:val="TextBody"/>
        <w:bidi w:val="0"/>
        <w:spacing w:before="120" w:after="283"/>
        <w:ind w:left="0" w:right="0" w:firstLine="400"/>
        <w:jc w:val="left"/>
        <w:rPr>
          <w:rFonts w:ascii="Times New Roman;Times;serif" w:hAnsi="Times New Roman;Times;serif"/>
          <w:color w:val="000000"/>
          <w:sz w:val="20"/>
        </w:rPr>
      </w:pPr>
      <w:bookmarkStart w:id="209" w:name="tANXBAS186"/>
      <w:bookmarkEnd w:id="209"/>
      <w:r>
        <w:rPr>
          <w:rFonts w:ascii="Times New Roman;Times;serif" w:hAnsi="Times New Roman;Times;serif"/>
          <w:color w:val="000000"/>
          <w:sz w:val="20"/>
        </w:rPr>
        <w:t>18.6 </w:t>
      </w:r>
      <w:r>
        <w:rPr>
          <w:rFonts w:ascii="Times New Roman;Times;serif" w:hAnsi="Times New Roman;Times;serif"/>
          <w:color w:val="000000"/>
          <w:sz w:val="20"/>
          <w:u w:val="single"/>
        </w:rPr>
        <w:t>No Rights as a Stockholder</w:t>
      </w:r>
      <w:r>
        <w:rPr>
          <w:rFonts w:ascii="Times New Roman;Times;serif" w:hAnsi="Times New Roman;Times;serif"/>
          <w:color w:val="000000"/>
          <w:sz w:val="20"/>
        </w:rPr>
        <w:t xml:space="preserve">.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 </w:t>
      </w:r>
    </w:p>
    <w:p>
      <w:pPr>
        <w:pStyle w:val="TextBody"/>
        <w:bidi w:val="0"/>
        <w:spacing w:before="120" w:after="283"/>
        <w:ind w:left="0" w:right="0" w:firstLine="400"/>
        <w:jc w:val="left"/>
        <w:rPr>
          <w:rFonts w:ascii="Times New Roman;Times;serif" w:hAnsi="Times New Roman;Times;serif"/>
          <w:color w:val="000000"/>
          <w:sz w:val="20"/>
        </w:rPr>
      </w:pPr>
      <w:bookmarkStart w:id="210" w:name="tANXBAS187"/>
      <w:bookmarkEnd w:id="210"/>
      <w:r>
        <w:rPr>
          <w:rFonts w:ascii="Times New Roman;Times;serif" w:hAnsi="Times New Roman;Times;serif"/>
          <w:color w:val="000000"/>
          <w:sz w:val="20"/>
        </w:rPr>
        <w:t>18.7 </w:t>
      </w:r>
      <w:r>
        <w:rPr>
          <w:rFonts w:ascii="Times New Roman;Times;serif" w:hAnsi="Times New Roman;Times;serif"/>
          <w:color w:val="000000"/>
          <w:sz w:val="20"/>
          <w:u w:val="single"/>
        </w:rPr>
        <w:t>Nature of Payments</w:t>
      </w:r>
      <w:r>
        <w:rPr>
          <w:rFonts w:ascii="Times New Roman;Times;serif" w:hAnsi="Times New Roman;Times;serif"/>
          <w:color w:val="000000"/>
          <w:sz w:val="20"/>
        </w:rPr>
        <w:t xml:space="preserve">.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 </w:t>
      </w:r>
    </w:p>
    <w:p>
      <w:pPr>
        <w:pStyle w:val="TextBody"/>
        <w:bidi w:val="0"/>
        <w:spacing w:before="120" w:after="283"/>
        <w:ind w:left="0" w:right="0" w:firstLine="400"/>
        <w:jc w:val="left"/>
        <w:rPr>
          <w:rFonts w:ascii="Times New Roman;Times;serif" w:hAnsi="Times New Roman;Times;serif"/>
          <w:color w:val="000000"/>
          <w:sz w:val="20"/>
        </w:rPr>
      </w:pPr>
      <w:bookmarkStart w:id="211" w:name="tANXBAS188"/>
      <w:bookmarkEnd w:id="211"/>
      <w:r>
        <w:rPr>
          <w:rFonts w:ascii="Times New Roman;Times;serif" w:hAnsi="Times New Roman;Times;serif"/>
          <w:color w:val="000000"/>
          <w:sz w:val="20"/>
        </w:rPr>
        <w:t>18.8 </w:t>
      </w:r>
      <w:r>
        <w:rPr>
          <w:rFonts w:ascii="Times New Roman;Times;serif" w:hAnsi="Times New Roman;Times;serif"/>
          <w:color w:val="000000"/>
          <w:sz w:val="20"/>
          <w:u w:val="single"/>
        </w:rPr>
        <w:t>Non-Exclusivity of Plan</w:t>
      </w:r>
      <w:r>
        <w:rPr>
          <w:rFonts w:ascii="Times New Roman;Times;serif" w:hAnsi="Times New Roman;Times;serif"/>
          <w:color w:val="000000"/>
          <w:sz w:val="20"/>
        </w:rPr>
        <w:t xml:space="preserve">.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 </w:t>
      </w:r>
    </w:p>
    <w:p>
      <w:pPr>
        <w:pStyle w:val="TextBody"/>
        <w:bidi w:val="0"/>
        <w:spacing w:before="120" w:after="283"/>
        <w:ind w:left="0" w:right="0" w:firstLine="400"/>
        <w:jc w:val="left"/>
        <w:rPr>
          <w:rFonts w:ascii="Times New Roman;Times;serif" w:hAnsi="Times New Roman;Times;serif"/>
          <w:color w:val="000000"/>
          <w:sz w:val="20"/>
        </w:rPr>
      </w:pPr>
      <w:bookmarkStart w:id="212" w:name="tANXBAS189"/>
      <w:bookmarkEnd w:id="212"/>
      <w:r>
        <w:rPr>
          <w:rFonts w:ascii="Times New Roman;Times;serif" w:hAnsi="Times New Roman;Times;serif"/>
          <w:color w:val="000000"/>
          <w:sz w:val="20"/>
        </w:rPr>
        <w:t>18.9 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The Plan, and all agreements hereunder, shall be construed in accordance with and governed by the laws of the Commonwealth of Massachusetts,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 </w:t>
      </w:r>
    </w:p>
    <w:p>
      <w:pPr>
        <w:pStyle w:val="TextBody"/>
        <w:bidi w:val="0"/>
        <w:spacing w:before="120" w:after="283"/>
        <w:ind w:left="0" w:right="0" w:firstLine="400"/>
        <w:jc w:val="left"/>
        <w:rPr>
          <w:rFonts w:ascii="Times New Roman;Times;serif" w:hAnsi="Times New Roman;Times;serif"/>
          <w:color w:val="000000"/>
          <w:sz w:val="20"/>
        </w:rPr>
      </w:pPr>
      <w:bookmarkStart w:id="213" w:name="tANXBAS1810"/>
      <w:bookmarkEnd w:id="213"/>
      <w:r>
        <w:rPr>
          <w:rFonts w:ascii="Times New Roman;Times;serif" w:hAnsi="Times New Roman;Times;serif"/>
          <w:color w:val="000000"/>
          <w:sz w:val="20"/>
        </w:rPr>
        <w:t>18.10 </w:t>
      </w:r>
      <w:r>
        <w:rPr>
          <w:rFonts w:ascii="Times New Roman;Times;serif" w:hAnsi="Times New Roman;Times;serif"/>
          <w:color w:val="000000"/>
          <w:sz w:val="20"/>
          <w:u w:val="single"/>
        </w:rPr>
        <w:t>Unfunded Status of Awards; Creation of Trusts</w:t>
      </w:r>
      <w:r>
        <w:rPr>
          <w:rFonts w:ascii="Times New Roman;Times;serif" w:hAnsi="Times New Roman;Times;serif"/>
          <w:color w:val="000000"/>
          <w:sz w:val="20"/>
        </w:rPr>
        <w:t xml:space="preserve">.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B-18</w:t>
      </w:r>
    </w:p>
    <w:p>
      <w:pPr>
        <w:pStyle w:val="HorizontalLine"/>
        <w:bidi w:val="0"/>
        <w:spacing w:before="200" w:after="200"/>
        <w:jc w:val="left"/>
        <w:rPr/>
      </w:pPr>
      <w:r>
        <w:rPr/>
      </w:r>
    </w:p>
    <w:p>
      <w:pPr>
        <w:pStyle w:val="TextBody"/>
        <w:bidi w:val="0"/>
        <w:jc w:val="left"/>
        <w:rPr/>
      </w:pPr>
      <w:hyperlink w:anchor="TOC">
        <w:bookmarkStart w:id="214" w:name="ny20080978x2_def14a_301-annexb_pg23"/>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 </w:t>
      </w:r>
    </w:p>
    <w:p>
      <w:pPr>
        <w:pStyle w:val="TextBody"/>
        <w:bidi w:val="0"/>
        <w:spacing w:before="120" w:after="283"/>
        <w:ind w:left="0" w:right="0" w:firstLine="400"/>
        <w:jc w:val="left"/>
        <w:rPr>
          <w:rFonts w:ascii="Times New Roman;Times;serif" w:hAnsi="Times New Roman;Times;serif"/>
          <w:color w:val="000000"/>
          <w:sz w:val="20"/>
        </w:rPr>
      </w:pPr>
      <w:bookmarkStart w:id="215" w:name="tANXBAS1811"/>
      <w:bookmarkEnd w:id="215"/>
      <w:r>
        <w:rPr>
          <w:rFonts w:ascii="Times New Roman;Times;serif" w:hAnsi="Times New Roman;Times;serif"/>
          <w:color w:val="000000"/>
          <w:sz w:val="20"/>
        </w:rPr>
        <w:t>18.11 </w:t>
      </w:r>
      <w:r>
        <w:rPr>
          <w:rFonts w:ascii="Times New Roman;Times;serif" w:hAnsi="Times New Roman;Times;serif"/>
          <w:color w:val="000000"/>
          <w:sz w:val="20"/>
          <w:u w:val="single"/>
        </w:rPr>
        <w:t>Affiliation</w:t>
      </w:r>
      <w:r>
        <w:rPr>
          <w:rFonts w:ascii="Times New Roman;Times;serif" w:hAnsi="Times New Roman;Times;serif"/>
          <w:color w:val="000000"/>
          <w:sz w:val="20"/>
        </w:rPr>
        <w:t xml:space="preserve">.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 </w:t>
      </w:r>
    </w:p>
    <w:p>
      <w:pPr>
        <w:pStyle w:val="TextBody"/>
        <w:bidi w:val="0"/>
        <w:spacing w:before="120" w:after="283"/>
        <w:ind w:left="0" w:right="0" w:firstLine="400"/>
        <w:jc w:val="left"/>
        <w:rPr>
          <w:rFonts w:ascii="Times New Roman;Times;serif" w:hAnsi="Times New Roman;Times;serif"/>
          <w:color w:val="000000"/>
          <w:sz w:val="20"/>
        </w:rPr>
      </w:pPr>
      <w:bookmarkStart w:id="216" w:name="tANXBAS1812"/>
      <w:bookmarkEnd w:id="216"/>
      <w:r>
        <w:rPr>
          <w:rFonts w:ascii="Times New Roman;Times;serif" w:hAnsi="Times New Roman;Times;serif"/>
          <w:color w:val="000000"/>
          <w:sz w:val="20"/>
        </w:rPr>
        <w:t>18.12 </w:t>
      </w:r>
      <w:r>
        <w:rPr>
          <w:rFonts w:ascii="Times New Roman;Times;serif" w:hAnsi="Times New Roman;Times;serif"/>
          <w:color w:val="000000"/>
          <w:sz w:val="20"/>
          <w:u w:val="single"/>
        </w:rPr>
        <w:t>Participation</w:t>
      </w:r>
      <w:r>
        <w:rPr>
          <w:rFonts w:ascii="Times New Roman;Times;serif" w:hAnsi="Times New Roman;Times;serif"/>
          <w:color w:val="000000"/>
          <w:sz w:val="20"/>
        </w:rPr>
        <w:t xml:space="preserve">. No employee or officer shall have the right to be selected to receive an Award under this Plan or, having been so selected, to be selected to receive a future Award. </w:t>
      </w:r>
    </w:p>
    <w:p>
      <w:pPr>
        <w:pStyle w:val="TextBody"/>
        <w:bidi w:val="0"/>
        <w:spacing w:before="120" w:after="283"/>
        <w:ind w:left="0" w:right="0" w:firstLine="400"/>
        <w:jc w:val="left"/>
        <w:rPr>
          <w:rFonts w:ascii="Times New Roman;Times;serif" w:hAnsi="Times New Roman;Times;serif"/>
          <w:color w:val="000000"/>
          <w:sz w:val="20"/>
        </w:rPr>
      </w:pPr>
      <w:bookmarkStart w:id="217" w:name="tANXBAS1813"/>
      <w:bookmarkEnd w:id="217"/>
      <w:r>
        <w:rPr>
          <w:rFonts w:ascii="Times New Roman;Times;serif" w:hAnsi="Times New Roman;Times;serif"/>
          <w:color w:val="000000"/>
          <w:sz w:val="20"/>
        </w:rPr>
        <w:t>18.13 </w:t>
      </w:r>
      <w:r>
        <w:rPr>
          <w:rFonts w:ascii="Times New Roman;Times;serif" w:hAnsi="Times New Roman;Times;serif"/>
          <w:color w:val="000000"/>
          <w:sz w:val="20"/>
          <w:u w:val="single"/>
        </w:rPr>
        <w:t>Military Service</w:t>
      </w:r>
      <w:r>
        <w:rPr>
          <w:rFonts w:ascii="Times New Roman;Times;serif" w:hAnsi="Times New Roman;Times;serif"/>
          <w:color w:val="000000"/>
          <w:sz w:val="20"/>
        </w:rPr>
        <w:t xml:space="preserve">. Awards shall be administered in accordance with Section 414(u) of the Code and the Uniformed Services Employment and Reemployment Rights Act of 1994. </w:t>
      </w:r>
    </w:p>
    <w:p>
      <w:pPr>
        <w:pStyle w:val="TextBody"/>
        <w:bidi w:val="0"/>
        <w:spacing w:before="120" w:after="283"/>
        <w:ind w:left="0" w:right="0" w:firstLine="400"/>
        <w:jc w:val="left"/>
        <w:rPr>
          <w:rFonts w:ascii="Times New Roman;Times;serif" w:hAnsi="Times New Roman;Times;serif"/>
          <w:color w:val="000000"/>
          <w:sz w:val="20"/>
        </w:rPr>
      </w:pPr>
      <w:bookmarkStart w:id="218" w:name="tANXBAS1814"/>
      <w:bookmarkEnd w:id="218"/>
      <w:r>
        <w:rPr>
          <w:rFonts w:ascii="Times New Roman;Times;serif" w:hAnsi="Times New Roman;Times;serif"/>
          <w:color w:val="000000"/>
          <w:sz w:val="20"/>
        </w:rPr>
        <w:t>18.14 </w:t>
      </w:r>
      <w:r>
        <w:rPr>
          <w:rFonts w:ascii="Times New Roman;Times;serif" w:hAnsi="Times New Roman;Times;serif"/>
          <w:color w:val="000000"/>
          <w:sz w:val="20"/>
          <w:u w:val="single"/>
        </w:rPr>
        <w:t>Construction</w:t>
      </w:r>
      <w:r>
        <w:rPr>
          <w:rFonts w:ascii="Times New Roman;Times;serif" w:hAnsi="Times New Roman;Times;serif"/>
          <w:color w:val="000000"/>
          <w:sz w:val="20"/>
        </w:rPr>
        <w:t xml:space="preserve">. The following rules of construction will apply to the Plan: (a) the word “or” is disjunctive but not necessarily exclusive, and (b) words in the singular include the plural, words in the plural include the singular, and words in the neuter gender include the masculine and feminine genders and words in the masculine or feminine gender include the other neuter genders. </w:t>
      </w:r>
    </w:p>
    <w:p>
      <w:pPr>
        <w:pStyle w:val="TextBody"/>
        <w:bidi w:val="0"/>
        <w:spacing w:before="120" w:after="283"/>
        <w:ind w:left="0" w:right="0" w:firstLine="400"/>
        <w:jc w:val="left"/>
        <w:rPr>
          <w:rFonts w:ascii="Times New Roman;Times;serif" w:hAnsi="Times New Roman;Times;serif"/>
          <w:color w:val="000000"/>
          <w:sz w:val="20"/>
        </w:rPr>
      </w:pPr>
      <w:bookmarkStart w:id="219" w:name="tANXBAS1815"/>
      <w:bookmarkEnd w:id="219"/>
      <w:r>
        <w:rPr>
          <w:rFonts w:ascii="Times New Roman;Times;serif" w:hAnsi="Times New Roman;Times;serif"/>
          <w:color w:val="000000"/>
          <w:sz w:val="20"/>
        </w:rPr>
        <w:t>18.15 </w:t>
      </w:r>
      <w:r>
        <w:rPr>
          <w:rFonts w:ascii="Times New Roman;Times;serif" w:hAnsi="Times New Roman;Times;serif"/>
          <w:color w:val="000000"/>
          <w:sz w:val="20"/>
          <w:u w:val="single"/>
        </w:rPr>
        <w:t>Headings</w:t>
      </w:r>
      <w:r>
        <w:rPr>
          <w:rFonts w:ascii="Times New Roman;Times;serif" w:hAnsi="Times New Roman;Times;serif"/>
          <w:color w:val="000000"/>
          <w:sz w:val="20"/>
        </w:rPr>
        <w:t xml:space="preserve">. The headings of articles and sections are included solely for convenience of reference, and if there is any conflict between such headings and the text of this Plan, the text shall control. </w:t>
      </w:r>
    </w:p>
    <w:p>
      <w:pPr>
        <w:pStyle w:val="TextBody"/>
        <w:bidi w:val="0"/>
        <w:spacing w:before="120" w:after="283"/>
        <w:ind w:left="0" w:right="0" w:firstLine="400"/>
        <w:jc w:val="left"/>
        <w:rPr>
          <w:rFonts w:ascii="Times New Roman;Times;serif" w:hAnsi="Times New Roman;Times;serif"/>
          <w:color w:val="000000"/>
          <w:sz w:val="20"/>
        </w:rPr>
      </w:pPr>
      <w:bookmarkStart w:id="220" w:name="tANXBAS1816"/>
      <w:bookmarkEnd w:id="220"/>
      <w:r>
        <w:rPr>
          <w:rFonts w:ascii="Times New Roman;Times;serif" w:hAnsi="Times New Roman;Times;serif"/>
          <w:color w:val="000000"/>
          <w:sz w:val="20"/>
        </w:rPr>
        <w:t>18.16 </w:t>
      </w:r>
      <w:r>
        <w:rPr>
          <w:rFonts w:ascii="Times New Roman;Times;serif" w:hAnsi="Times New Roman;Times;serif"/>
          <w:color w:val="000000"/>
          <w:sz w:val="20"/>
          <w:u w:val="single"/>
        </w:rPr>
        <w:t>Obligations</w:t>
      </w:r>
      <w:r>
        <w:rPr>
          <w:rFonts w:ascii="Times New Roman;Times;serif" w:hAnsi="Times New Roman;Times;serif"/>
          <w:color w:val="000000"/>
          <w:sz w:val="20"/>
        </w:rPr>
        <w:t xml:space="preserve">.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 </w:t>
      </w:r>
    </w:p>
    <w:p>
      <w:pPr>
        <w:pStyle w:val="TextBody"/>
        <w:bidi w:val="0"/>
        <w:spacing w:before="120" w:after="283"/>
        <w:ind w:left="0" w:right="0" w:firstLine="400"/>
        <w:jc w:val="left"/>
        <w:rPr>
          <w:rFonts w:ascii="Times New Roman;Times;serif" w:hAnsi="Times New Roman;Times;serif"/>
          <w:color w:val="000000"/>
          <w:sz w:val="20"/>
        </w:rPr>
      </w:pPr>
      <w:bookmarkStart w:id="221" w:name="tANXBAS1817"/>
      <w:bookmarkEnd w:id="221"/>
      <w:r>
        <w:rPr>
          <w:rFonts w:ascii="Times New Roman;Times;serif" w:hAnsi="Times New Roman;Times;serif"/>
          <w:color w:val="000000"/>
          <w:sz w:val="20"/>
        </w:rPr>
        <w:t>18.17 </w:t>
      </w:r>
      <w:r>
        <w:rPr>
          <w:rFonts w:ascii="Times New Roman;Times;serif" w:hAnsi="Times New Roman;Times;serif"/>
          <w:color w:val="000000"/>
          <w:sz w:val="20"/>
          <w:u w:val="single"/>
        </w:rPr>
        <w:t>Stockholder Approval</w:t>
      </w:r>
      <w:r>
        <w:rPr>
          <w:rFonts w:ascii="Times New Roman;Times;serif" w:hAnsi="Times New Roman;Times;serif"/>
          <w:color w:val="000000"/>
          <w:sz w:val="20"/>
        </w:rPr>
        <w:t xml:space="preserve">. All Incentive Stock Options granted on or after the Effective Date and prior to the date the Company’s stockholders approve the Plan are expressly conditioned upon and subject to approval of the Plan by the Company’s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B-19</w:t>
      </w:r>
    </w:p>
    <w:p>
      <w:pPr>
        <w:pStyle w:val="HorizontalLine"/>
        <w:bidi w:val="0"/>
        <w:spacing w:before="200" w:after="200"/>
        <w:jc w:val="left"/>
        <w:rPr/>
      </w:pPr>
      <w:r>
        <w:rPr/>
      </w:r>
    </w:p>
    <w:p>
      <w:pPr>
        <w:pStyle w:val="TextBody"/>
        <w:bidi w:val="0"/>
        <w:jc w:val="left"/>
        <w:rPr/>
      </w:pPr>
      <w:hyperlink w:anchor="TOC">
        <w:bookmarkStart w:id="222" w:name="ny20080978x2_def14a_400-proxycard_pg1"/>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223" w:name="ny20080978x2_def14a_400-proxycard_pg2"/>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3.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37828</Words>
  <Characters>201105</Characters>
  <CharactersWithSpaces>240406</CharactersWithSpaces>
  <Paragraphs>4732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