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GALECTIN THERAPEUTICS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06"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06"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298065"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98065" cy="523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12,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cordially invited to attend the annual meeting of stockholders of Galectin Therapeutics Inc. The meeting will be held on Thursday, May 23, 2013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9:00 a.m., local time, at the offices of Arnall Golden Gregory LLP, located at 171 17</w:t>
      </w:r>
      <w:r>
        <w:rPr>
          <w:rFonts w:ascii="Arial" w:cs="Arial" w:eastAsia="Arial" w:hAnsi="Arial"/>
          <w:sz w:val="10"/>
          <w:szCs w:val="10"/>
          <w:color w:val="auto"/>
        </w:rPr>
        <w:t>th</w:t>
      </w:r>
      <w:r>
        <w:rPr>
          <w:rFonts w:ascii="Arial" w:cs="Arial" w:eastAsia="Arial" w:hAnsi="Arial"/>
          <w:sz w:val="16"/>
          <w:szCs w:val="16"/>
          <w:color w:val="auto"/>
        </w:rPr>
        <w:t xml:space="preserve"> Street NW, Suite 2100, Atlanta, GA 30363, for the following purposes:</w:t>
      </w:r>
    </w:p>
    <w:p>
      <w:pPr>
        <w:spacing w:after="0" w:line="107" w:lineRule="exact"/>
        <w:rPr>
          <w:sz w:val="20"/>
          <w:szCs w:val="20"/>
          <w:color w:val="auto"/>
        </w:rPr>
      </w:pPr>
    </w:p>
    <w:p>
      <w:pPr>
        <w:ind w:left="900" w:right="1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2014 annual meeting of our stockholders.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this proxy statement.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recommend, by non-binding vote, the frequency with which Galectin will conduct stockholder advisory votes on executive compensation.</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McGladrey LLP as our independent registered public accounting firm for the fiscal year ending December 31, 2013.</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Your vote is very important. Therefore, whether or not you plan to attend the annual meeting in person, please complete and return the enclosed proxy card.</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30365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Chief Medical Officer</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rPr>
              <w:t>GALECTIN THERAPEUTICS INC.</w:t>
            </w:r>
          </w:p>
        </w:tc>
      </w:tr>
      <w:tr>
        <w:trPr>
          <w:trHeight w:val="256"/>
        </w:trPr>
        <w:tc>
          <w:tcPr>
            <w:tcW w:w="1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w w:val="88"/>
              </w:rPr>
              <w:t>4960 Peachtree Industrial Blvd., Suite 240</w:t>
            </w:r>
          </w:p>
        </w:tc>
      </w:tr>
      <w:tr>
        <w:trPr>
          <w:trHeight w:val="228"/>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86"/>
              </w:rPr>
              <w:t>Norcross, Georgia 30071</w:t>
            </w:r>
          </w:p>
        </w:tc>
      </w:tr>
      <w:tr>
        <w:trPr>
          <w:trHeight w:val="417"/>
        </w:trPr>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w w:val="98"/>
              </w:rPr>
              <w:t>NOTICE OF THE 2013 ANNUAL MEETING OF STOCKHOLDERS</w:t>
            </w:r>
          </w:p>
        </w:tc>
      </w:tr>
      <w:tr>
        <w:trPr>
          <w:trHeight w:val="407"/>
        </w:trPr>
        <w:tc>
          <w:tcPr>
            <w:tcW w:w="17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9:00 a.m. on Thursday, May 23, 2013</w:t>
            </w:r>
          </w:p>
        </w:tc>
      </w:tr>
      <w:tr>
        <w:trPr>
          <w:trHeight w:val="318"/>
        </w:trPr>
        <w:tc>
          <w:tcPr>
            <w:tcW w:w="17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Arnall Golden Gregory LLP</w:t>
            </w:r>
          </w:p>
        </w:tc>
      </w:tr>
      <w:tr>
        <w:trPr>
          <w:trHeight w:val="216"/>
        </w:trPr>
        <w:tc>
          <w:tcPr>
            <w:tcW w:w="1780" w:type="dxa"/>
            <w:vAlign w:val="bottom"/>
          </w:tcPr>
          <w:p>
            <w:pPr>
              <w:spacing w:after="0"/>
              <w:rPr>
                <w:sz w:val="18"/>
                <w:szCs w:val="18"/>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171 17</w:t>
            </w:r>
            <w:r>
              <w:rPr>
                <w:rFonts w:ascii="Arial" w:cs="Arial" w:eastAsia="Arial" w:hAnsi="Arial"/>
                <w:sz w:val="11"/>
                <w:szCs w:val="11"/>
                <w:color w:val="auto"/>
              </w:rPr>
              <w:t>th</w:t>
            </w:r>
            <w:r>
              <w:rPr>
                <w:rFonts w:ascii="Arial" w:cs="Arial" w:eastAsia="Arial" w:hAnsi="Arial"/>
                <w:sz w:val="18"/>
                <w:szCs w:val="18"/>
                <w:color w:val="auto"/>
              </w:rPr>
              <w:t xml:space="preserve"> Street NW, Suite 2100</w:t>
            </w:r>
          </w:p>
        </w:tc>
      </w:tr>
      <w:tr>
        <w:trPr>
          <w:trHeight w:val="222"/>
        </w:trPr>
        <w:tc>
          <w:tcPr>
            <w:tcW w:w="1780" w:type="dxa"/>
            <w:vAlign w:val="bottom"/>
          </w:tcPr>
          <w:p>
            <w:pPr>
              <w:spacing w:after="0"/>
              <w:rPr>
                <w:sz w:val="19"/>
                <w:szCs w:val="19"/>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Atlanta, GA 30363</w:t>
            </w:r>
          </w:p>
        </w:tc>
      </w:tr>
      <w:tr>
        <w:trPr>
          <w:trHeight w:val="331"/>
        </w:trPr>
        <w:tc>
          <w:tcPr>
            <w:tcW w:w="17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40" w:type="dxa"/>
            <w:vAlign w:val="bottom"/>
          </w:tcPr>
          <w:p>
            <w:pPr>
              <w:ind w:left="400"/>
              <w:spacing w:after="0"/>
              <w:rPr>
                <w:sz w:val="20"/>
                <w:szCs w:val="20"/>
                <w:color w:val="auto"/>
              </w:rPr>
            </w:pPr>
            <w:r>
              <w:rPr>
                <w:rFonts w:ascii="Arial" w:cs="Arial" w:eastAsia="Arial" w:hAnsi="Arial"/>
                <w:sz w:val="18"/>
                <w:szCs w:val="18"/>
                <w:color w:val="auto"/>
                <w:w w:val="99"/>
              </w:rPr>
              <w:t>(1)</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89"/>
              </w:rPr>
              <w:t>To elect the eight (8) nominees named in this proxy statement to serve for one-year terms, expiring at our 2014 annual</w:t>
            </w: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meeting of stockholders.</w:t>
            </w:r>
          </w:p>
        </w:tc>
      </w:tr>
      <w:tr>
        <w:trPr>
          <w:trHeight w:val="318"/>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(2)</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89"/>
              </w:rPr>
              <w:t>To vote on a non-binding advisory resolution to approve the compensation paid to Galectin’s named executive officers,</w:t>
            </w: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as disclosed in this proxy statement.</w:t>
            </w:r>
          </w:p>
        </w:tc>
      </w:tr>
      <w:tr>
        <w:trPr>
          <w:trHeight w:val="318"/>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(3)</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92"/>
              </w:rPr>
              <w:t>To recommend, by non-binding vote, the frequency with which Galectin will conduct stockholder advisory votes on</w:t>
            </w: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executive compensation.</w:t>
            </w:r>
          </w:p>
        </w:tc>
      </w:tr>
      <w:tr>
        <w:trPr>
          <w:trHeight w:val="318"/>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(4)</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96"/>
              </w:rPr>
              <w:t>To ratify the selection by the Audit Committee of the Board of Directors of McGladrey LLP as our independent</w:t>
            </w: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registered public accounting firm for the fiscal year ending December 31, 2013.</w:t>
            </w:r>
          </w:p>
        </w:tc>
      </w:tr>
      <w:tr>
        <w:trPr>
          <w:trHeight w:val="324"/>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(5)</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To transact such other business as may properly come before the meeting.</w:t>
            </w:r>
          </w:p>
        </w:tc>
      </w:tr>
      <w:tr>
        <w:trPr>
          <w:trHeight w:val="318"/>
        </w:trPr>
        <w:tc>
          <w:tcPr>
            <w:tcW w:w="17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88"/>
              </w:rPr>
              <w:t>You can vote if you were a shareholder of record of our common stock, our Series A 12% Convertible Preferred Stock, our Series</w:t>
            </w:r>
          </w:p>
        </w:tc>
      </w:tr>
      <w:tr>
        <w:trPr>
          <w:trHeight w:val="222"/>
        </w:trPr>
        <w:tc>
          <w:tcPr>
            <w:tcW w:w="1780" w:type="dxa"/>
            <w:vAlign w:val="bottom"/>
          </w:tcPr>
          <w:p>
            <w:pPr>
              <w:spacing w:after="0"/>
              <w:rPr>
                <w:sz w:val="19"/>
                <w:szCs w:val="19"/>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90"/>
              </w:rPr>
              <w:t>B-1 Convertible Preferred Stock or our Series B-2 Convertible Preferred Stock, as of the close of business on March 27, 2013.</w:t>
            </w:r>
          </w:p>
        </w:tc>
      </w:tr>
      <w:tr>
        <w:trPr>
          <w:trHeight w:val="324"/>
        </w:trPr>
        <w:tc>
          <w:tcPr>
            <w:tcW w:w="17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 copy of our 2012 Annual Report on Form 10-K is included with this proxy statement.</w:t>
            </w:r>
          </w:p>
        </w:tc>
      </w:tr>
      <w:tr>
        <w:trPr>
          <w:trHeight w:val="286"/>
        </w:trPr>
        <w:tc>
          <w:tcPr>
            <w:tcW w:w="17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88"/>
              </w:rPr>
              <w:t xml:space="preserve">You may also read our Annual Report and this Notice and proxy statement on our website at </w:t>
            </w:r>
            <w:r>
              <w:rPr>
                <w:rFonts w:ascii="Arial" w:cs="Arial" w:eastAsia="Arial" w:hAnsi="Arial"/>
                <w:sz w:val="18"/>
                <w:szCs w:val="18"/>
                <w:i w:val="1"/>
                <w:iCs w:val="1"/>
                <w:color w:val="auto"/>
                <w:w w:val="88"/>
              </w:rPr>
              <w:t>www.galectintherapeutics.com or at</w:t>
            </w:r>
          </w:p>
        </w:tc>
      </w:tr>
      <w:tr>
        <w:trPr>
          <w:trHeight w:val="235"/>
        </w:trPr>
        <w:tc>
          <w:tcPr>
            <w:tcW w:w="178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i w:val="1"/>
                <w:iCs w:val="1"/>
                <w:color w:val="auto"/>
              </w:rPr>
              <w:t>http://www.rrdezproxy.com/2013/GalectinTherapeutics/</w:t>
            </w:r>
          </w:p>
        </w:tc>
        <w:tc>
          <w:tcPr>
            <w:tcW w:w="21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1780" w:type="dxa"/>
            <w:vAlign w:val="bottom"/>
          </w:tcPr>
          <w:p>
            <w:pPr>
              <w:spacing w:after="0"/>
              <w:rPr>
                <w:sz w:val="20"/>
                <w:szCs w:val="20"/>
                <w:color w:val="auto"/>
              </w:rPr>
            </w:pPr>
            <w:r>
              <w:rPr>
                <w:rFonts w:ascii="Arial" w:cs="Arial" w:eastAsia="Arial" w:hAnsi="Arial"/>
                <w:sz w:val="18"/>
                <w:szCs w:val="18"/>
                <w:b w:val="1"/>
                <w:bCs w:val="1"/>
                <w:color w:val="auto"/>
              </w:rPr>
              <w:t>Date of Mailing:</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95"/>
              </w:rPr>
              <w:t>This Notice, the proxy statement and the form of proxy are first being mailed to shareholders on or about April 12, 2013.</w:t>
            </w:r>
          </w:p>
        </w:tc>
      </w:tr>
      <w:tr>
        <w:trPr>
          <w:trHeight w:val="419"/>
        </w:trPr>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3"/>
          </w:tcPr>
          <w:p>
            <w:pPr>
              <w:ind w:left="4440"/>
              <w:spacing w:after="0"/>
              <w:rPr>
                <w:sz w:val="20"/>
                <w:szCs w:val="20"/>
                <w:color w:val="auto"/>
              </w:rPr>
            </w:pPr>
            <w:r>
              <w:rPr>
                <w:rFonts w:ascii="Arial" w:cs="Arial" w:eastAsia="Arial" w:hAnsi="Arial"/>
                <w:sz w:val="18"/>
                <w:szCs w:val="18"/>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69850</wp:posOffset>
            </wp:positionV>
            <wp:extent cx="19812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00"/>
          </w:cols>
          <w:pgMar w:left="240" w:top="25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Norcross, Georgia 30071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2013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23, 2013</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proxy statement contains information about our 2013 annual meeting of stockholders. The meeting will be held on Thursday, May 23, 2013, beginning at 9:00 a.m. local time, at the offices of Arnall Golden Gregory LLP, located at 171 17</w:t>
      </w:r>
      <w:r>
        <w:rPr>
          <w:rFonts w:ascii="Arial" w:cs="Arial" w:eastAsia="Arial" w:hAnsi="Arial"/>
          <w:sz w:val="10"/>
          <w:szCs w:val="10"/>
          <w:color w:val="auto"/>
        </w:rPr>
        <w:t>th</w:t>
      </w:r>
      <w:r>
        <w:rPr>
          <w:rFonts w:ascii="Arial" w:cs="Arial" w:eastAsia="Arial" w:hAnsi="Arial"/>
          <w:sz w:val="16"/>
          <w:szCs w:val="16"/>
          <w:color w:val="auto"/>
        </w:rPr>
        <w:t xml:space="preserve"> Street NW, Suite 2100, Atlanta, GA 30363.</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proxy materials, together with our annual report to stockholders for our 2012 fiscal year, are first being mailed to stockholders on or about April 12, 2013 and may also be found at www.galectintherapeutics.com.</w:t>
      </w:r>
    </w:p>
    <w:p>
      <w:pPr>
        <w:spacing w:after="0" w:line="28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stockholders will consider and vote on the following matters:</w:t>
      </w:r>
    </w:p>
    <w:p>
      <w:pPr>
        <w:spacing w:after="0" w:line="90" w:lineRule="exact"/>
        <w:rPr>
          <w:sz w:val="20"/>
          <w:szCs w:val="20"/>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2014 annual meeting of our stockholders.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this proxy statement.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recommend, by non-binding vote, the frequency with which Galectin will conduct stockholder advisory votes on executive compensation.</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McGladrey LLP as our independent registered public accounting firm for the fiscal year ending December 31, 2013.</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vote if you were a shareholder of Galectin Therapeutics as of the close of business on the record date, March 27, 2013. Shares outstanding on the record date are the following: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16,109,090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1,562,500 shares of Series A 12% Convertible Preferred Stock (“Series A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 and</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 and together with the Series B-1 preferred stock, the “Series B preferred stock”).</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shares of Series A preferred stock and Series B preferred stock vote on an as-converted basis with the shares of common stock. Prior to giving effect to the reverse stock split discussed in the next question, on an as-converted basis, each share of Series A preferred stock had one vote, and each share of Series B preferred stock had four votes. The shares of our Series C Super Dividend Convertible Preferred Stock (“Series C preferred stock, and together with the Series A preferred stock and Series B preferred stock, the “Preferred Stock”) do not have voting rights prior to conversion to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do I have?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 preferred stock entitles you to two-thirds of a vote (i.e. three shares of Series B preferred stock equals two votes) on each matter that is submitted to a vote of holders of our common stock. On March 23, 2012, we effected a one-for-six reverse split of the shares of our common stock that were then issued and outstanding as well as the authorized but unissued shares of common stock. The reverse split by a similar ratio impacts the number of shares of common stock issuable upon conversion of shares of each series of Preferred Stock.</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Directors and executive officers of Galectin Therapeutics own or control the voting of 5,155,994 shares of common stock or the common equivalent of voting preferred stock, representing approximately 28% of the total outstanding voting shares at the record date. We expect all of these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of the proposals as described in this proxy statement and for the frequency of a non-binding vote on executive compensation to be </w:t>
      </w:r>
      <w:r>
        <w:rPr>
          <w:rFonts w:ascii="Arial" w:cs="Arial" w:eastAsia="Arial" w:hAnsi="Arial"/>
          <w:sz w:val="16"/>
          <w:szCs w:val="16"/>
          <w:b w:val="1"/>
          <w:bCs w:val="1"/>
          <w:color w:val="auto"/>
        </w:rPr>
        <w:t>EVERY YEAR</w:t>
      </w:r>
      <w:r>
        <w:rPr>
          <w:rFonts w:ascii="Arial" w:cs="Arial" w:eastAsia="Arial" w:hAnsi="Arial"/>
          <w:sz w:val="16"/>
          <w:szCs w:val="16"/>
          <w:color w:val="auto"/>
        </w:rPr>
        <w:t>.</w:t>
      </w:r>
    </w:p>
    <w:p>
      <w:pPr>
        <w:spacing w:after="0" w:line="182"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What is the difference between the Galectin Therapeutics securities that are traded under the NASDAQ trading symbols “GALT”, “GALTU”, and “GALTW” and how is each voted?</w:t>
      </w:r>
    </w:p>
    <w:p>
      <w:pPr>
        <w:spacing w:after="0" w:line="4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common stock is listed and trades on the NASDAQ Capital Markets under the symbol “GALT”. The units of securities that we sold in our public offering that that was closed on March 28, 2012, are listed and trade on the NASDAQ Capital Markets under the symbol “GALTU”. Each Unit consists of two shares of our common stock and one warrant to purchase one share of our common stock. A holder of Units has one vote for each of the two shares in the Unit. The warrants we sold in the public offering are listed and now trade on the NASDAQ Capital Markets under the symbol “GALTW”. The warrants do not have voting rights.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45" w:lineRule="exact"/>
        <w:rPr>
          <w:sz w:val="20"/>
          <w:szCs w:val="20"/>
          <w:color w:val="auto"/>
        </w:rPr>
      </w:pPr>
    </w:p>
    <w:p>
      <w:pPr>
        <w:ind w:left="900" w:right="18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You may vote by completing and signing the proxy card enclosed with this proxy statement and promptly mailing 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7" w:lineRule="exact"/>
        <w:rPr>
          <w:rFonts w:ascii="Arial" w:cs="Arial" w:eastAsia="Arial" w:hAnsi="Arial"/>
          <w:sz w:val="18"/>
          <w:szCs w:val="18"/>
          <w:color w:val="auto"/>
        </w:rPr>
      </w:pPr>
    </w:p>
    <w:p>
      <w:pPr>
        <w:ind w:left="900" w:right="34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Ballots will be available at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left="460" w:right="260"/>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eight nominees to serve as directors on the Board of Directors, each for a term of one year, expiring at our 2014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on a nonbinding advisory basis, the compensation of the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recommendation, by non-binding vote, that Galectin conduct a stockholder advisory vote on executive compensation on an annual basis, or</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EVERY YEAR</w:t>
      </w:r>
      <w:r>
        <w:rPr>
          <w:rFonts w:ascii="Arial" w:cs="Arial" w:eastAsia="Arial" w:hAnsi="Arial"/>
          <w:sz w:val="18"/>
          <w:szCs w:val="18"/>
          <w:color w:val="auto"/>
        </w:rPr>
        <w: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McGladrey LLP, as our independent registered public accounting firm for the 2013 fiscal year.</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my vote important?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below. Choose the way to vote that is the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9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directors presented in this Proxy Statement to the Board of Directors, (2) “</w:t>
      </w:r>
      <w:r>
        <w:rPr>
          <w:rFonts w:ascii="Arial" w:cs="Arial" w:eastAsia="Arial" w:hAnsi="Arial"/>
          <w:sz w:val="16"/>
          <w:szCs w:val="16"/>
          <w:b w:val="1"/>
          <w:bCs w:val="1"/>
          <w:color w:val="auto"/>
        </w:rPr>
        <w:t>FOR</w:t>
      </w:r>
      <w:r>
        <w:rPr>
          <w:rFonts w:ascii="Arial" w:cs="Arial" w:eastAsia="Arial" w:hAnsi="Arial"/>
          <w:sz w:val="16"/>
          <w:szCs w:val="16"/>
          <w:color w:val="auto"/>
        </w:rPr>
        <w:t>” approving, on a nonbinding advisory basis, the compensation of the named executive offices, (3)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approving, on a nonbinding advisory basis, an advisory vote on executive compensation “</w:t>
      </w:r>
      <w:r>
        <w:rPr>
          <w:rFonts w:ascii="Arial" w:cs="Arial" w:eastAsia="Arial" w:hAnsi="Arial"/>
          <w:sz w:val="16"/>
          <w:szCs w:val="16"/>
          <w:b w:val="1"/>
          <w:bCs w:val="1"/>
          <w:color w:val="auto"/>
        </w:rPr>
        <w:t>EVERY YEAR</w:t>
      </w:r>
      <w:r>
        <w:rPr>
          <w:rFonts w:ascii="Arial" w:cs="Arial" w:eastAsia="Arial" w:hAnsi="Arial"/>
          <w:sz w:val="16"/>
          <w:szCs w:val="16"/>
          <w:color w:val="auto"/>
        </w:rPr>
        <w:t>”, (4)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McGladrey LLP as our independent registered public accounting firm to audit the financial statements for our 2013 fiscal year, and (5) as to any other business that may come before the annual meeting, in accordance with the judgment of the person or persons named in the proxy.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proposal to ratify the selection of McGladrey LLP as our independent auditors for fiscal year 2013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may view and also download our proxy materials, including the 2012 Annual Report, our Form 10-K for the year ended December 12, 2012, and the Notice on our website at www.galectintherapeutics.com, as well as http://www.rrdezproxy.com/2013/GalectinTherapeutics/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is the quorum requirement?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18,369,507 shares of common stock outstanding or deemed outstanding based on voting rights of Series A preferred stock or Series B preferred stock on an as-converted basis. Thus, 6,123,169 shares must be represented by stockholders present at the meeting or by proxy to have a quorum.</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directors are elected by a plurality of the votes cast by the holders of shares entitled to vote in the election.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eight nominees and nine positions to be filled, this means that the eight individuals receiving the most votes will be elected. Abstentions and broker non-votes will therefore not be relevant to the outcome. If the shares you own are held in “street name” by a brokerage firm, your brokerage firm, as the record holder of your shares, is required to vote your shares according to your instructions. Two directors, whom we refer to as Series B directors, are nominated and elected by the holder(s) of the Series B preferred stock voting as a separate class.</w:t>
      </w:r>
    </w:p>
    <w:p>
      <w:pPr>
        <w:spacing w:after="0" w:line="1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Advisory approval of executive compensation</w:t>
      </w:r>
      <w:r>
        <w:rPr>
          <w:rFonts w:ascii="Arial" w:cs="Arial" w:eastAsia="Arial" w:hAnsi="Arial"/>
          <w:sz w:val="16"/>
          <w:szCs w:val="16"/>
          <w:color w:val="auto"/>
        </w:rPr>
        <w:t>. The advisory vote regarding the approval of executive compensation will be determined by a plurality of</w:t>
      </w:r>
      <w:r>
        <w:rPr>
          <w:rFonts w:ascii="Arial" w:cs="Arial" w:eastAsia="Arial" w:hAnsi="Arial"/>
          <w:sz w:val="16"/>
          <w:szCs w:val="16"/>
          <w:i w:val="1"/>
          <w:iCs w:val="1"/>
          <w:color w:val="auto"/>
        </w:rPr>
        <w:t xml:space="preserve"> </w:t>
      </w:r>
      <w:r>
        <w:rPr>
          <w:rFonts w:ascii="Arial" w:cs="Arial" w:eastAsia="Arial" w:hAnsi="Arial"/>
          <w:sz w:val="16"/>
          <w:szCs w:val="16"/>
          <w:color w:val="auto"/>
        </w:rPr>
        <w:t>votes cast by the holders of shares entitled to vote in the election. Accordingly, abstentions and broker non-votes will not be relevant to the outcome.</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Advisory approval of frequency of stockholder advisory vote on executive compensation</w:t>
      </w:r>
      <w:r>
        <w:rPr>
          <w:rFonts w:ascii="Arial" w:cs="Arial" w:eastAsia="Arial" w:hAnsi="Arial"/>
          <w:sz w:val="18"/>
          <w:szCs w:val="18"/>
          <w:color w:val="auto"/>
        </w:rPr>
        <w:t>. The advisory vote regarding the frequency with which Galectin</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conduct shareholder advisory votes on executive compensation will be determined by a plurality of votes cast by the holders of shares entitled to vote in the election. Accordingly, abstentions and broker non-votes will not be relevant to the outcome. Shareholders may choose an annual, biennial, or triennial frequency, i.e., every year, every two years, every three years, or they may abstain. The frequency option that receives the most votes will be deemed the option chosen by the advisory vote.</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votes cast “for” must exceed the votes cast “against” in order to ratify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selection of McGladrey LLP, as our independent registered public accounting firm. Accordingly, abstentions and broker non-votes will not be relevant to the outcome.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has eleven members. Why are only eight elected at the annual meeting?</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holder(s) of our Series B preferred stock have the right, as long as any shares of Series B preferred stock are outstanding, to vote as a separate class to nominate and elect two of our directors, referred to as the Series B directors, and to nominate three directors, referred to as the Series B nominees, who must be recommended for election by holders of all of our securities entitled to vote on election of directors. The holder(s) of the Series B preferred stock declined to exercise their right to designate the three Series B nominees for purposes of the 2013 annual meeting. Messrs. Czirr and Greenberg are the Series B directors who, if elected by the holder(s) of the Series B preferred stock at the 2013 annual meeting, will serve on our Board as the Series B directors. As of March 27, 2013,</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10X Fund L.P. is the owner of all of the issued and outstanding shares of the Series B preferred stock. For additional information, please see “Security Ownership of Certain Beneficial Owners and Management” below. Also, one slot is being kept open this year and an appointment may be made later in the year to be approved by shareholders at the 2014 annual meeting.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2013 Annual Meeting who will not be an officer, director or nominee.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Galectin by December 13, 2013 for inclusion in its proxy statement and form of proxy. In addition, all stockholder proposals submitted outside of the stockholder proposal rules promulgated pursuant to Rule 14a-8 under the Exchange Act, including nominations of director candidates, must be received by Galectin by no later than February 22, 2014 but no earlier than January 23, 2014, in order to be considered timely.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are also advised to review our Bylaws, which contain additional requirements about advance notice of stockholder proposals and director nominations.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report the voting results on Form 8-K within four business days after the end of our annual meeting of stockholders.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as of March 27, 2013, certain information concerning the beneficial ownership of our common stock, our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27, 2013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On March 23, 2012, we effected a one-for-six reverse split of our outstanding shares of common stock as well as the authorized but unissued shares of common stock. The reverse split by the same ratio affects the number of shares of our common stock issuable upon conversion of the shares of each series of Preferred Stock. All common share, common equivalent share ratios and per share amounts have been adjusted to reflect this reverse split.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Series A</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Series B</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A</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Address(1)</w:t>
            </w:r>
          </w:p>
        </w:tc>
        <w:tc>
          <w:tcPr>
            <w:tcW w:w="1960" w:type="dxa"/>
            <w:vAlign w:val="bottom"/>
            <w:vMerge w:val="restart"/>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Beneficially</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Preferred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4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90"/>
              </w:rPr>
              <w:t>Owned(2)</w:t>
            </w:r>
          </w:p>
        </w:tc>
        <w:tc>
          <w:tcPr>
            <w:tcW w:w="8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Stock(3)</w:t>
            </w:r>
          </w:p>
        </w:tc>
        <w:tc>
          <w:tcPr>
            <w:tcW w:w="220" w:type="dxa"/>
            <w:vAlign w:val="bottom"/>
          </w:tcPr>
          <w:p>
            <w:pPr>
              <w:spacing w:after="0"/>
              <w:rPr>
                <w:sz w:val="14"/>
                <w:szCs w:val="14"/>
                <w:color w:val="auto"/>
              </w:rPr>
            </w:pPr>
          </w:p>
        </w:tc>
        <w:tc>
          <w:tcPr>
            <w:tcW w:w="12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Owned</w:t>
            </w:r>
          </w:p>
        </w:tc>
        <w:tc>
          <w:tcPr>
            <w:tcW w:w="10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Stock(4)</w:t>
            </w:r>
          </w:p>
        </w:tc>
        <w:tc>
          <w:tcPr>
            <w:tcW w:w="11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Owned(5)</w:t>
            </w: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5"/>
              </w:rPr>
              <w:t>Securities(6)</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10,071,311(7)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(16)</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8,867,527(9)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9,056,537(10)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 (17)</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24,451(15)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100,000</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David Smith (18)</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175,000</w:t>
            </w:r>
          </w:p>
        </w:tc>
        <w:tc>
          <w:tcPr>
            <w:tcW w:w="6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(18)</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100,000(14)</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Directors and Other Named Executive</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00" w:type="dxa"/>
            <w:vAlign w:val="bottom"/>
            <w:gridSpan w:val="2"/>
          </w:tcPr>
          <w:p>
            <w:pPr>
              <w:ind w:left="220"/>
              <w:spacing w:after="0"/>
              <w:rPr>
                <w:sz w:val="20"/>
                <w:szCs w:val="20"/>
                <w:color w:val="auto"/>
              </w:rPr>
            </w:pPr>
            <w:r>
              <w:rPr>
                <w:rFonts w:ascii="Arial" w:cs="Arial" w:eastAsia="Arial" w:hAnsi="Arial"/>
                <w:sz w:val="18"/>
                <w:szCs w:val="18"/>
                <w:b w:val="1"/>
                <w:bCs w:val="1"/>
                <w:color w:val="auto"/>
              </w:rPr>
              <w:t>Officers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10,071,311(7)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100,000</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9,056,537(10)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12,964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112,402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17,911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105,714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Paul Pressler</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17,464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132,463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Marc Rubin</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15,706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871,669(11)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McGauley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21,250(12)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6"/>
              </w:rPr>
              <w:t>All executive officers and directors as a</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0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group (13 persons)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11,774,136(13)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100,000</w:t>
            </w:r>
          </w:p>
        </w:tc>
        <w:tc>
          <w:tcPr>
            <w:tcW w:w="6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3,000,000</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left="452" w:hanging="408"/>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t>Less than 1%.</w:t>
      </w:r>
    </w:p>
    <w:p>
      <w:pPr>
        <w:spacing w:after="0" w:line="15" w:lineRule="exact"/>
        <w:rPr>
          <w:sz w:val="20"/>
          <w:szCs w:val="20"/>
          <w:color w:val="auto"/>
        </w:rPr>
      </w:pPr>
    </w:p>
    <w:p>
      <w:pPr>
        <w:ind w:left="452" w:right="20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ind w:left="452" w:right="80"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27, 2013,</w:t>
      </w:r>
    </w:p>
    <w:p>
      <w:pPr>
        <w:spacing w:after="0" w:line="174"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8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Exercisable Within 60 Days</w:t>
            </w:r>
          </w:p>
        </w:tc>
      </w:tr>
      <w:tr>
        <w:trPr>
          <w:trHeight w:val="203"/>
        </w:trPr>
        <w:tc>
          <w:tcPr>
            <w:tcW w:w="8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Czirr</w:t>
            </w:r>
          </w:p>
        </w:tc>
        <w:tc>
          <w:tcPr>
            <w:tcW w:w="2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Mr. Martin</w:t>
            </w:r>
          </w:p>
        </w:tc>
        <w:tc>
          <w:tcPr>
            <w:tcW w:w="2080" w:type="dxa"/>
            <w:vAlign w:val="bottom"/>
          </w:tcPr>
          <w:p>
            <w:pPr>
              <w:jc w:val="right"/>
              <w:spacing w:after="0"/>
              <w:rPr>
                <w:sz w:val="20"/>
                <w:szCs w:val="20"/>
                <w:color w:val="auto"/>
              </w:rPr>
            </w:pPr>
            <w:r>
              <w:rPr>
                <w:rFonts w:ascii="Arial" w:cs="Arial" w:eastAsia="Arial" w:hAnsi="Arial"/>
                <w:sz w:val="18"/>
                <w:szCs w:val="18"/>
                <w:color w:val="auto"/>
              </w:rPr>
              <w:t>97,522</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Amelio</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Mr. Freeman</w:t>
            </w:r>
          </w:p>
        </w:tc>
        <w:tc>
          <w:tcPr>
            <w:tcW w:w="208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Greenburg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Mr. Mauldin</w:t>
            </w:r>
          </w:p>
        </w:tc>
        <w:tc>
          <w:tcPr>
            <w:tcW w:w="208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Prelack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102,778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Mr. Pressler</w:t>
            </w:r>
          </w:p>
        </w:tc>
        <w:tc>
          <w:tcPr>
            <w:tcW w:w="208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Mr. Rubin</w:t>
            </w:r>
          </w:p>
        </w:tc>
        <w:tc>
          <w:tcPr>
            <w:tcW w:w="2080" w:type="dxa"/>
            <w:vAlign w:val="bottom"/>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Traber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678,335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Dr. Shlevin</w:t>
            </w:r>
          </w:p>
        </w:tc>
        <w:tc>
          <w:tcPr>
            <w:tcW w:w="20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McGauley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1,516,892</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52" w:right="20" w:hanging="452"/>
        <w:spacing w:after="0" w:line="283"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16,109,090 shares of our common stock outstanding as of March 27, 2013 and (ii) the number of shares of our common stock that such person has the right to acquire within 60 days after March 27, 2013, which does not include any shares of common stock that may be issued in payment of dividends to holders of our preferred stock during that period.</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1,562,500 shares of Series A preferred stock outstanding as of March 27,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900,000 shares of Series B-1 preferred stock and 2,100,000 shares of Series B-2 preferred stock outstanding as of March 27, 2013.</w:t>
      </w:r>
    </w:p>
    <w:p>
      <w:pPr>
        <w:spacing w:after="0" w:line="32" w:lineRule="exact"/>
        <w:rPr>
          <w:rFonts w:ascii="Arial" w:cs="Arial" w:eastAsia="Arial" w:hAnsi="Arial"/>
          <w:sz w:val="16"/>
          <w:szCs w:val="16"/>
          <w:color w:val="auto"/>
        </w:rPr>
      </w:pPr>
    </w:p>
    <w:p>
      <w:pPr>
        <w:ind w:left="452" w:right="120" w:hanging="452"/>
        <w:spacing w:after="0" w:line="300" w:lineRule="auto"/>
        <w:tabs>
          <w:tab w:leader="none" w:pos="4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the combined voting power of the voting securities (comprised of the aggregate of the shares of common stock, Series A preferred stock and Series B preferred stock, each series voting on an as-converted basis with the common stock) on all matters presented for stockholder vote at the annual meeting (except for such separate class votes as are required by law or the terms of a class or series of securities) and excludes (i) shares of common stock underlying options and warrants not exercised as of the record date and (ii) the Series C preferred stock which does not have voting rights.</w:t>
      </w:r>
    </w:p>
    <w:p>
      <w:pPr>
        <w:spacing w:after="0" w:line="1" w:lineRule="exact"/>
        <w:rPr>
          <w:rFonts w:ascii="Arial" w:cs="Arial" w:eastAsia="Arial" w:hAnsi="Arial"/>
          <w:sz w:val="15"/>
          <w:szCs w:val="15"/>
          <w:color w:val="auto"/>
        </w:rPr>
      </w:pPr>
    </w:p>
    <w:p>
      <w:pPr>
        <w:ind w:left="452" w:right="20" w:hanging="452"/>
        <w:spacing w:after="0" w:line="281"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5,000,000 common shares issuable upon exercise of warrants; (iv) 1,000,000 shares of common stock; and (v) 867,527 common shares issued as stock dividends paid on the Series B preferred stock, as to which Mr. Czirr, in his capacity as a managing member of 10X Capital Management Fund, LLC, a Florida limited liability company and general partner of 10X Fund, which we refer to as 10X Management, has shared voting and investment power, and disclaims beneficial ownership.</w:t>
      </w:r>
    </w:p>
    <w:p>
      <w:pPr>
        <w:spacing w:after="0" w:line="3" w:lineRule="exact"/>
        <w:rPr>
          <w:rFonts w:ascii="Arial" w:cs="Arial" w:eastAsia="Arial" w:hAnsi="Arial"/>
          <w:sz w:val="16"/>
          <w:szCs w:val="16"/>
          <w:color w:val="auto"/>
        </w:rPr>
      </w:pPr>
    </w:p>
    <w:p>
      <w:pPr>
        <w:ind w:left="452" w:right="220"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Series B preferred stock as to which such person has shared voting power but which will be voted by 10X Fund.</w:t>
      </w:r>
    </w:p>
    <w:p>
      <w:pPr>
        <w:ind w:left="452" w:hanging="452"/>
        <w:spacing w:after="0" w:line="254"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5,000,000 common shares issuable upon exercise of warrants; (iv) 1,000,000 shares of common stock, and (v) 867,527 common shares issued as stock dividends paid on the Series B preferred stock, as to which Mr. Martin, in his capacity as a managing member of 10X Management, its general partner, has</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428" w:right="259" w:bottom="1440" w:gutter="0" w:footer="0" w:header="0"/>
        </w:sectPr>
      </w:pPr>
    </w:p>
    <w:bookmarkStart w:id="11" w:name="page12"/>
    <w:bookmarkEnd w:id="11"/>
    <w:p>
      <w:pPr>
        <w:ind w:left="460"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voting and investment power, and disclaims beneficial ownership. Each of Mr. Czirr and Mr. Martin, in his capacity as a managing member of 10X Management, the general partner of 10X Fund, has voting and investment power, and disclaims beneficial ownership, of these securities.</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5,000,000 common shares issuable upon exercise of warrants; (iv) 1,000,000 common shares, and (iv) 867,527 common shares issued as stock dividends paid on the Series B preferred stock, all of which are held of record by 10X Fund as to which Mr. Martin, in his capacity as a managing member of 10X Management, has shared voting and investment power, and disclaims beneficial ownership.</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100,000 common shares issuable upon exercise of warrants.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1,250 common shares issuable upon exercise of warrants.</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7,000,000 common shares issuable upon conversion of the shares of Series B preferred stock and exercise of warrants and (ii) 1,867,527 common shares issued upon exercise of warrants or paid as stock dividends on the Series B preferred stock,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16,667 shares of our common stock issuable upon conversion of Series A preferred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Contact: c/o 10X Capital Management, LLC 1099 Forest Lake Terrace Niceville, FL 32578.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Contact: c/o James C. Czirr 425 Janish Drive, Sandpoint, ID 83864.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other than that one Form 4 of Steven Prelack that reported one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Nominating and Corporate Governance Committee of our Board of Directors has nominated eight members currently serving on our Board to be re-elected at the annual meeting to serve one-year terms until the 2014 annual meeting of stockholders and until their respective successors are elected and qualified. Each nominee has agreed to serve if elected. Mr. Rome is not standing for re-election and will retire from the Board as of the Annual Meeting.</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Nominating and Corporate Governance Committee is nominating eight directors, which is fewer than the number (eleven) of directors permitted by our governance documents, to be elected to the Board of Directors because Messrs. Czirr and Greenberg are the Series B directors who are nominated and elected by the holder(s) of the Series B preferred stock voting as a separate class. Mr. Czirr serves as the Executive Chairman of the Board. Background information with respect to Messrs. Czirr and Greenberg is provided below. If all of the nominees are elected at the annual meeting, our Board of Directors will have ten members.</w:t>
      </w:r>
    </w:p>
    <w:p>
      <w:pPr>
        <w:spacing w:after="0" w:line="98"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27, 2013, including their ages, positions with Galectin Therapeutics,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27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8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03"/>
        </w:trPr>
        <w:tc>
          <w:tcPr>
            <w:tcW w:w="1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1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8"/>
              </w:rPr>
              <w:t>69</w:t>
            </w:r>
          </w:p>
        </w:tc>
        <w:tc>
          <w:tcPr>
            <w:tcW w:w="280" w:type="dxa"/>
            <w:vAlign w:val="bottom"/>
            <w:tcBorders>
              <w:top w:val="single" w:sz="8" w:color="CCEEFF"/>
            </w:tcBorders>
            <w:shd w:val="clear" w:color="auto" w:fill="CCEEFF"/>
          </w:tcPr>
          <w:p>
            <w:pPr>
              <w:spacing w:after="0"/>
              <w:rPr>
                <w:sz w:val="17"/>
                <w:szCs w:val="17"/>
                <w:color w:val="auto"/>
              </w:rPr>
            </w:pPr>
          </w:p>
        </w:tc>
        <w:tc>
          <w:tcPr>
            <w:tcW w:w="6080" w:type="dxa"/>
            <w:vAlign w:val="bottom"/>
            <w:tcBorders>
              <w:top w:val="single" w:sz="8" w:color="CCEEFF"/>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51</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42</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63</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54</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H. Paul Pressler</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81</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58</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56</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President and 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He was a Senior Partner of Sienna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privately-held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In 2008, Acquicor Management LLC (a former shareholder of Jazz Technologies, Inc.), where Dr. Amelio has served as the sole managing member since 2005, declared bankruptcy.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includes his executive leadership and management experience, as well as his extensive experience with global companies, his financial expertise and his years of experience providing strategic advisory services to organizations.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right="2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C. Czirr</w:t>
      </w:r>
      <w:r>
        <w:rPr>
          <w:rFonts w:ascii="Arial" w:cs="Arial" w:eastAsia="Arial" w:hAnsi="Arial"/>
          <w:sz w:val="16"/>
          <w:szCs w:val="16"/>
          <w:color w:val="auto"/>
        </w:rPr>
        <w:t>, age 58, Chairman of the Board since February 2009 and Executive Chairman since February 2010, is a co-founder of l0X Fund, L.P. and is</w:t>
      </w:r>
      <w:r>
        <w:rPr>
          <w:rFonts w:ascii="Arial" w:cs="Arial" w:eastAsia="Arial" w:hAnsi="Arial"/>
          <w:sz w:val="16"/>
          <w:szCs w:val="16"/>
          <w:i w:val="1"/>
          <w:iCs w:val="1"/>
          <w:color w:val="auto"/>
        </w:rPr>
        <w:t xml:space="preserve"> </w:t>
      </w:r>
      <w:r>
        <w:rPr>
          <w:rFonts w:ascii="Arial" w:cs="Arial" w:eastAsia="Arial" w:hAnsi="Arial"/>
          <w:sz w:val="16"/>
          <w:szCs w:val="16"/>
          <w:color w:val="auto"/>
        </w:rPr>
        <w:t>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of Directors and serve as Chairman of the Board because he is the director who was a co-founder of the Company and is very familiar with our business and industry, and capable of effectively identifying sources of capital as well as strategic priorities.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16" w:lineRule="exact"/>
        <w:rPr>
          <w:sz w:val="20"/>
          <w:szCs w:val="20"/>
          <w:color w:val="auto"/>
        </w:rPr>
      </w:pPr>
    </w:p>
    <w:p>
      <w:pPr>
        <w:jc w:val="both"/>
        <w:ind w:right="340" w:firstLine="456"/>
        <w:spacing w:after="0" w:line="303" w:lineRule="auto"/>
        <w:rPr>
          <w:sz w:val="20"/>
          <w:szCs w:val="20"/>
          <w:color w:val="auto"/>
        </w:rPr>
      </w:pPr>
      <w:r>
        <w:rPr>
          <w:rFonts w:ascii="Arial" w:cs="Arial" w:eastAsia="Arial" w:hAnsi="Arial"/>
          <w:sz w:val="15"/>
          <w:szCs w:val="15"/>
          <w:i w:val="1"/>
          <w:iCs w:val="1"/>
          <w:color w:val="auto"/>
        </w:rPr>
        <w:t>Arthur R. Greenberg</w:t>
      </w:r>
      <w:r>
        <w:rPr>
          <w:rFonts w:ascii="Arial" w:cs="Arial" w:eastAsia="Arial" w:hAnsi="Arial"/>
          <w:sz w:val="15"/>
          <w:szCs w:val="15"/>
          <w:color w:val="auto"/>
        </w:rPr>
        <w:t>, age 66, a director since August 2009, has more than 40 years in the semiconductor equipment and materials industries. He is the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and Founder of Prism Technologies, Inc., which provides professional sales and marketing services as well as business development and consulting services. Mr. Greenberg is a member of the board of UV Tech Systems, a designer and manufacturer of equipment used to fabricate semiconductor devices.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Previously, he has been a founder of several successful companies in Silicon Valley and was the first President of SEMI, North America, a semiconductor equipment and materials industry trade association representing the interests, including public policy, of all SEMI members doing business in North America. Mr. Greenberg is also a member of the advisory board of the Salvation Army of Santa Clara County. Mr. Greenberg received his B.S.B.A. degree in Business Administration from Henderson State University. We believe Mr. Greenberg’s qualifications to sit on our Board of Directors includes his executive leadership and management experience, as well as his extensive experience with business development.</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Rod D. Martin, </w:t>
      </w:r>
      <w:r>
        <w:rPr>
          <w:rFonts w:ascii="Arial" w:cs="Arial" w:eastAsia="Arial" w:hAnsi="Arial"/>
          <w:sz w:val="16"/>
          <w:szCs w:val="16"/>
          <w:color w:val="auto"/>
        </w:rPr>
        <w:t>a director since February 2009 and Vice Chair of the Board of Directors since February 2010, is a co-founder of 10X Fund, L.P. and is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member of 10X Capital Management LLC, the general partner of 10X Fund, L.P. Dr. Martin served as a senior advisor to PayPal, Inc. founder Peter Thiel, during the company’s startup phase, its initial public offering and its subsequent acquisition by eBay Inc.; and afterward, served at Clarium Capital, Thiel’s global macro hedge fund. Dr. Martin is co-founder and Executive Chairman of Advanced Search Laboratories, Inc., and also serves on several technology company and nonprofit boards, including Agincourt Ventures, CapLinked, FlowPay, and Hugh O’Brian Youth Leadership. He previously served as Policy Director for former Arkansas Governor Mike Huckabee, and is a widely noted author and speaker. Dr. Martin holds a J.D. from Baylor Law School, a B.A. from the University of Arkansas, and was a Sturgis Fellow at Cambridge University in Great Britain. We believe Dr. Martin’s qualifications to sit on our Board of Directors include his executive leadership experience, as well as his extensive experience with developing companies and organizations.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John Mauldin</w:t>
      </w:r>
      <w:r>
        <w:rPr>
          <w:rFonts w:ascii="Arial" w:cs="Arial" w:eastAsia="Arial" w:hAnsi="Arial"/>
          <w:sz w:val="18"/>
          <w:szCs w:val="18"/>
          <w:color w:val="auto"/>
        </w:rPr>
        <w:t>, a director since May 2011, is President of Millennium Wave Advisors LLC, an investment advisory firm, and a registered representative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Millennium Wave Securities, LLC, a FINRA registered broker-dealer. Previously he was Chief Executive Officer of the American Bureau of Economic Research. He has many publications on investments and financial topics, including a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bestseller and articles in the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Daily</w:t>
      </w:r>
      <w:r>
        <w:rPr>
          <w:rFonts w:ascii="Arial" w:cs="Arial" w:eastAsia="Arial" w:hAnsi="Arial"/>
          <w:sz w:val="18"/>
          <w:szCs w:val="18"/>
          <w:color w:val="auto"/>
        </w:rPr>
        <w:t xml:space="preserve"> </w:t>
      </w:r>
      <w:r>
        <w:rPr>
          <w:rFonts w:ascii="Arial" w:cs="Arial" w:eastAsia="Arial" w:hAnsi="Arial"/>
          <w:sz w:val="18"/>
          <w:szCs w:val="18"/>
          <w:i w:val="1"/>
          <w:iCs w:val="1"/>
          <w:color w:val="auto"/>
        </w:rPr>
        <w:t>Reckoning</w:t>
      </w:r>
      <w:r>
        <w:rPr>
          <w:rFonts w:ascii="Arial" w:cs="Arial" w:eastAsia="Arial" w:hAnsi="Arial"/>
          <w:sz w:val="18"/>
          <w:szCs w:val="18"/>
          <w:color w:val="auto"/>
        </w:rPr>
        <w:t>, and is a frequent guest on CNBC, Yahoo Tech Ticker and Bloomberg TV. He holds a B.A. from Rice University and a M.Div. from Southwestern</w:t>
      </w:r>
      <w:r>
        <w:rPr>
          <w:rFonts w:ascii="Arial" w:cs="Arial" w:eastAsia="Arial" w:hAnsi="Arial"/>
          <w:sz w:val="18"/>
          <w:szCs w:val="18"/>
          <w:i w:val="1"/>
          <w:iCs w:val="1"/>
          <w:color w:val="auto"/>
        </w:rPr>
        <w:t xml:space="preserve"> </w:t>
      </w:r>
      <w:r>
        <w:rPr>
          <w:rFonts w:ascii="Arial" w:cs="Arial" w:eastAsia="Arial" w:hAnsi="Arial"/>
          <w:sz w:val="18"/>
          <w:szCs w:val="18"/>
          <w:color w:val="auto"/>
        </w:rPr>
        <w:t>Baptist Theological Seminary. We believe Mr. Mauldin’s qualifications to sit on our Board of Directors includes his extensive financial management and advisory experience.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ind w:right="28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Steven Prelack, </w:t>
      </w:r>
      <w:r>
        <w:rPr>
          <w:rFonts w:ascii="Arial" w:cs="Arial" w:eastAsia="Arial" w:hAnsi="Arial"/>
          <w:sz w:val="16"/>
          <w:szCs w:val="16"/>
          <w:color w:val="auto"/>
        </w:rPr>
        <w:t>a director since April 2003, is the current Chief Operating Officer of VetCor which owns and operates 88 veterinary hospitals across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country. Previously, from 2001, he was Senior Vice President, Chief Financial Officer and Treasurer of VelQuest Corporation, a provider of automated compliance software solutions for the pharmaceutical industry. In this capacity, Mr. Prelack oversaw sales, business development, operations and finance. Mr. Prelack is also a director of Codeco Corporation, a designer and manufacturer of custom resisters and switches. Mr. Prelack served as Director and Audit Committee Chair for BioVex from 2007 through 2009. Mr. Prelack, a Certified Public Accountant, received a B.B.A. degree from the University of Massachusetts at Amherst in 1979 and is a member of the National Association of Corporate Directors. We believe Mr. Prelack’s qualifications to sit on our Board of Directors includes his extensive executive leadership experience, as well as his many years serving in senor financial management roles.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H. Paul Pressler</w:t>
      </w:r>
      <w:r>
        <w:rPr>
          <w:rFonts w:ascii="Arial" w:cs="Arial" w:eastAsia="Arial" w:hAnsi="Arial"/>
          <w:sz w:val="16"/>
          <w:szCs w:val="16"/>
          <w:color w:val="auto"/>
        </w:rPr>
        <w:t>, a director since May 2011. A graduate of Princeton University, cum laude, and of the University of Texas Law School. He was elected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Texas State Legislature while still in law school. From 1958 to 1970, he was associated with the law firm of Vinson &amp; Elkins. He was a District Judge from 1970 to 1978 and was Justice of the Texas Court of Appeals from 1978 until 1993. Judge Pressler was a partner in the law firm Woodfill &amp; Pressler from 1995 until 2013 and served in private mediation practice for several years. Judge Pressler was a director of Salem Communications Corporation (Nasdaq GM:SALM) from March 2002 to June 2011. He is also a board member of the Liberty Institute and KHCB Network, a non-profit corporation which owns over 30 Christian radio stations in Texas, Louisiana, Oklahoma, and Florida, and is a board member of National Religious Broadcasters and a number of other charitable boards. We believe Mr. Pressler’s qualifications to sit on our Board of Directors includes his extensive legal experience and expertise as well as his executive leadership experience.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is Executive Chairman of the Board of Directors of Titan Pharmaceuticals, Inc. (TTNP: OTC BB)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Mr. Rubin’s qualifications to sit on our Board of Directors includes his extensive executive leadership and management experience in the pharmaceutical industry.</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Peter G. Traber, M.D., </w:t>
      </w:r>
      <w:r>
        <w:rPr>
          <w:rFonts w:ascii="Arial" w:cs="Arial" w:eastAsia="Arial" w:hAnsi="Arial"/>
          <w:sz w:val="16"/>
          <w:szCs w:val="16"/>
          <w:color w:val="auto"/>
        </w:rPr>
        <w:t>a director since February 2009, became President and Chief Executive Officer in March 2011, and is also our Chief Medical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from the University of Michigan. We believe that Dr. Traber is best situated to sit on our Board of Directors because, in addition to serving as our Chief Executive Officer and President as well as serving as our Chief Medical Officer, he brings extensive industry and company-specific experience and expertise to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key employees and key consultants: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James C. Czirr</w:t>
      </w:r>
      <w:r>
        <w:rPr>
          <w:rFonts w:ascii="Arial" w:cs="Arial" w:eastAsia="Arial" w:hAnsi="Arial"/>
          <w:sz w:val="18"/>
          <w:szCs w:val="18"/>
          <w:color w:val="auto"/>
        </w:rPr>
        <w:t>, Executive Chairman and Chairman of the Board (see Board of Directors)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age 63, became our Chief Operating Officer and Secretary on October 1, 2012. Dr. Shlevin previously had been employed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2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Thomas A. McGauley</w:t>
      </w:r>
      <w:r>
        <w:rPr>
          <w:rFonts w:ascii="Arial" w:cs="Arial" w:eastAsia="Arial" w:hAnsi="Arial"/>
          <w:sz w:val="18"/>
          <w:szCs w:val="18"/>
          <w:color w:val="auto"/>
        </w:rPr>
        <w:t>, age 40, became our Chief Financial Officer on March 6, 2012, and previously since 2009 had been our Director of Finance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From November 2005 to January 2010, Mr. McGauley was the Director of Financial Reporting at deCODE genetics, a former NASDAQ listed international life sciences company headquartered in Iceland. Mr. McGauley previously spent more than seven years in public accounting, most recently as a manager at PricewaterhouseCoopers, where he specialized in life science companies from 2003 to 2005. He has also served as a Captain and Company Commander in the U.S. Army and Massachusetts National Guard. Mr. McGauley is a Certified Public Accountant and holds a B.S. in Business Administration from Stonehill College.</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43, effective January 15, 2013 the Company appointed Mr. Horton as its Executive Director of Regulatory Affairs and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Mr. Horton most 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0"/>
          <w:szCs w:val="10"/>
          <w:color w:val="auto"/>
        </w:rPr>
        <w:t>®</w:t>
      </w:r>
      <w:r>
        <w:rPr>
          <w:rFonts w:ascii="Arial" w:cs="Arial" w:eastAsia="Arial" w:hAnsi="Arial"/>
          <w:sz w:val="16"/>
          <w:szCs w:val="16"/>
          <w:color w:val="auto"/>
        </w:rPr>
        <w:t xml:space="preserve"> Stickpack, Creon</w:t>
      </w:r>
      <w:r>
        <w:rPr>
          <w:rFonts w:ascii="Arial" w:cs="Arial" w:eastAsia="Arial" w:hAnsi="Arial"/>
          <w:sz w:val="10"/>
          <w:szCs w:val="10"/>
          <w:color w:val="auto"/>
        </w:rPr>
        <w:t>®</w:t>
      </w:r>
      <w:r>
        <w:rPr>
          <w:rFonts w:ascii="Arial" w:cs="Arial" w:eastAsia="Arial" w:hAnsi="Arial"/>
          <w:sz w:val="16"/>
          <w:szCs w:val="16"/>
          <w:color w:val="auto"/>
        </w:rPr>
        <w:t xml:space="preserve"> Capsules and Luvox</w:t>
      </w:r>
      <w:r>
        <w:rPr>
          <w:rFonts w:ascii="Arial" w:cs="Arial" w:eastAsia="Arial" w:hAnsi="Arial"/>
          <w:sz w:val="10"/>
          <w:szCs w:val="10"/>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0"/>
          <w:szCs w:val="10"/>
          <w:color w:val="auto"/>
        </w:rPr>
        <w:t>®</w:t>
      </w:r>
      <w:r>
        <w:rPr>
          <w:rFonts w:ascii="Arial" w:cs="Arial" w:eastAsia="Arial" w:hAnsi="Arial"/>
          <w:sz w:val="16"/>
          <w:szCs w:val="16"/>
          <w:color w:val="auto"/>
        </w:rPr>
        <w:t xml:space="preserve"> and Androgel</w:t>
      </w:r>
      <w:r>
        <w:rPr>
          <w:rFonts w:ascii="Arial" w:cs="Arial" w:eastAsia="Arial" w:hAnsi="Arial"/>
          <w:sz w:val="10"/>
          <w:szCs w:val="10"/>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Eliezer Zomer, Ph.D., </w:t>
      </w:r>
      <w:r>
        <w:rPr>
          <w:rFonts w:ascii="Arial" w:cs="Arial" w:eastAsia="Arial" w:hAnsi="Arial"/>
          <w:sz w:val="16"/>
          <w:szCs w:val="16"/>
          <w:color w:val="auto"/>
        </w:rPr>
        <w:t>age 66, has been our Executive Vice President of Manufacturing and Product Development since the company’s inception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Anatole Klyosov, Ph.D., D.Sc</w:t>
      </w:r>
      <w:r>
        <w:rPr>
          <w:rFonts w:ascii="Arial" w:cs="Arial" w:eastAsia="Arial" w:hAnsi="Arial"/>
          <w:sz w:val="18"/>
          <w:szCs w:val="18"/>
          <w:color w:val="auto"/>
        </w:rPr>
        <w:t>., age 65, served as our Chief Scientist since the company’s inception in 2000 until March 2013, is Founder Emeritus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serves on our scientific advisory board. Dr. Klyosolv is a co-inventor of our patented technology and a founder of Galectin Therapeutics. Dr. Klyosov was vice president,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09" w:right="25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250 peer- reviewed articles in scientific journals, authored books on enzymes, carbohydrates, and biotechnology, edited two books: Carbohydrates in Drug Design and Galectins,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 xml:space="preserve">Anthony D. Squeglia, </w:t>
      </w:r>
      <w:r>
        <w:rPr>
          <w:rFonts w:ascii="Arial" w:cs="Arial" w:eastAsia="Arial" w:hAnsi="Arial"/>
          <w:sz w:val="18"/>
          <w:szCs w:val="18"/>
          <w:color w:val="auto"/>
        </w:rPr>
        <w:t>age 70, was our Chief Financial Officer from October 2007 until March 6, 2012, and had also been our Vice President of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 From 2001 to 2003, Mr. Squeglia was a Partner in JFS Advisors, a management consulting firm that delivered strategic services to entrepreneurial businesses that includes raising capital,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Maureen E. Foley</w:t>
      </w:r>
      <w:r>
        <w:rPr>
          <w:rFonts w:ascii="Arial" w:cs="Arial" w:eastAsia="Arial" w:hAnsi="Arial"/>
          <w:sz w:val="16"/>
          <w:szCs w:val="16"/>
          <w:color w:val="auto"/>
        </w:rPr>
        <w:t>, age 72, served as our Chief Operating Officer from October 2001 to September 30, 2012, and Corporate Secretary since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2002 to September 30, 2012. She has 30 years of business and operations management experience including facility design, construction, and fit out, project management, IT, HR, press and public relations, accounting and finance to startup companies. Between 1999 and 2000 she managed business operations for efHealthDirect, Inc., a developer of medical records processing software; and ArsDigita, Inc., a web development company. From 1996 to 1999, she served as Manager of Operations with Thermo Fibergen, Inc., a developer of composite materials and a subsidiary of Thermo Fisher Scientific, Inc. Ms. Foley is a graduate of The Wyndham School, Boston, Massachusetts, with a major in Mechanical Engineering.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currently consists of eleven directors, eight of whom will stand for election at our 2013 annual meeting of stockholders and two of whom are nominated and elected by the holder of our Series B preferred stock voting as a separate class.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Our board of directors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6"/>
          <w:szCs w:val="16"/>
          <w:u w:val="single" w:color="auto"/>
          <w:color w:val="auto"/>
        </w:rPr>
        <w:t>www.galectintherapeutics.com</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Compensation Committee met two times in 2012. The members of this committee are Rod D. Martin (chair), Gilbert F. Amelio, Ph.D. and Arthur R. Greenberg.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and, as such, the Committee is responsible for administration of grants and awards to directors, officers, employees, consultants and advisors under our 2001 Stock Incentive Plan, 2003 Non-employee Director Stock Incentive Plan and the 2009 Incentive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Audit Committee met four times in 2012. The members of this committee were Steven Prelack (chair), Jerald K. Rome and Kevin D. Freeman. The Board is currently contemplating additions to the committee in light of Mr. Rome’s retirement at the 2013 Annual Meeting.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Nominating and Corporate Governance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met once in 2012. The members of this committee were Rod D. Martin (chair), Jerald K. Rome and Gilbert F. Amelio, Ph.D.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Company’s Corporate Governance provides that a majority of the members of the Board, and each member of the Audit, Compensation and Nominating and Corporate Governance Committees, must meet certain criteria for independence. Under applicable NASDAQ rules, a director will only qualify as an “independent director” if, in the opinion of our board of directors, that person does not have a relationship which would interfere with the exercise of independent judgment in carrying out the responsibilities of a director.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the NASDAQ rules, Messrs. Freeman, Martin, Mauldin, Prelack, Pressler and Rome and Drs. Amelio and Rubin were determined by the Board to be independent. As employees of Galectin Therapeutics, Dr. Traber and Mr. Czirr are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 This committee also monitors the ethical behavior of our employees, officers and directors.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Since the beginning of fiscal 2012, we did not participate in any transactions in which any of the director nominees, Class B directors, executive officers, any beneficial owner of more than 5% of our common stock, nor any of their immediate family members, had a direct or indirect material interest.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Nominating Committee’s nomination process is designed to ensure that the Nominating Committee fulfills its responsibility to recommend candidates that are properly qualified to serve the Company for the benefit of all of its stockholders, consistent with the standards established by the Nominating Committee under our corporate governance principles. The Nominating Committee did not receive any recommendations from shareholders for the 2013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Board and management encourage communication from our stockholders. Stockholders who wish to communicate with our management should direct their communication to the Secretary of the Board, Galectin Therapeutics Inc., 4960 Peachtree Industrial Blvd., Suite 240, Norcross, GA 30071. Stockholders, or other interested parties, who wish to communicate with the non-management directors or any individual director should direct their communication c/o the Secretary at the address above. The Secretary will forward communications intended for the Board to the Vice Chairman of the Board, currently Mr. Martin,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believes that our Executive Chairman is best situated to serve as Chairman of the Board because he is the director who was a co-founder of the Company and is very familiar with our business and industry, and capable of effectively identifying sources of capital as well as strategic priorities.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The Board believes that the separate roles of the Executive Chairman and Chief Executive Officer promotes strategy development and execution, and facilitates information flow between management and the Board, which are essential to effective governance.</w:t>
      </w:r>
    </w:p>
    <w:p>
      <w:pPr>
        <w:spacing w:after="0" w:line="12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One of the key responsibilities of the Board is to develop strategic direction and hold management accountable for the execution of strategy once it is developed. The Board believes the separate roles of the Executive Chairman and the Chief Executive Officer is in the best interest of stockholders because it provides the appropriate balance between strategy development and independent oversight of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Vice Chair of the Board chairs these sessions.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2012, there were seven meetings of the Board. Each director, except for Mr. Mauldin and Mr. Prelack,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2012 annual meeting of stockholders, nine of the then current board members were present.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considering whether to recommend any candidate for inclusion in the Board’s slate of recommended director nominees, including candidates recommended by shareholders,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shareholders. Our guidelines specify that the value of diversity on the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McGladrey LLP the matters required to be discussed by the Statement on Auditing Standards No. 61, </w:t>
      </w:r>
      <w:r>
        <w:rPr>
          <w:rFonts w:ascii="Arial" w:cs="Arial" w:eastAsia="Arial" w:hAnsi="Arial"/>
          <w:sz w:val="16"/>
          <w:szCs w:val="16"/>
          <w:i w:val="1"/>
          <w:iCs w:val="1"/>
          <w:color w:val="auto"/>
        </w:rPr>
        <w:t>Communication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Audit Committees </w:t>
      </w:r>
      <w:r>
        <w:rPr>
          <w:rFonts w:ascii="Arial" w:cs="Arial" w:eastAsia="Arial" w:hAnsi="Arial"/>
          <w:sz w:val="16"/>
          <w:szCs w:val="16"/>
          <w:color w:val="auto"/>
        </w:rPr>
        <w:t>(as amended), which includes, among other items, matters related to the conduct of the annual audit of our company’s financial statements.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has also received and reviewed the written disclosures and the letter from McGladrey LLP, required by applicable requirements of the Public Company Accounting Oversight Board regarding the communications by McGladrey LLP with the Audit Committee concerning independence, and has discussed with McGladrey LLP, its independence from Galectin Therapeutics.</w:t>
      </w:r>
    </w:p>
    <w:p>
      <w:pPr>
        <w:spacing w:after="0" w:line="118"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Galectin Therapeutics for the 2012 fiscal year be included in the Annual Report filed on Form 10-K for the year ended December 31, 2012.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All 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80" w:type="dxa"/>
            <w:vAlign w:val="bottom"/>
            <w:vMerge w:val="restart"/>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or Paid in</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58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4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6"/>
              </w:rPr>
              <w:t>Cash ($)</w:t>
            </w:r>
          </w:p>
        </w:tc>
        <w:tc>
          <w:tcPr>
            <w:tcW w:w="46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58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7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3"/>
              </w:rPr>
              <w:t>12,000</w:t>
            </w:r>
          </w:p>
        </w:tc>
        <w:tc>
          <w:tcPr>
            <w:tcW w:w="7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James C. Czirr(1)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84,000(5)</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72,000(6)</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H. Paul Pressler</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12,000</w:t>
            </w:r>
          </w:p>
        </w:tc>
        <w:tc>
          <w:tcPr>
            <w:tcW w:w="74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 compensation terminated after becoming an employee in 2011; compensation included in Employee Compensation.</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options granted in 2012, but not actual amounts paid to or realized during 2012. The value as of the grant date for stock options is recognized over the period of service required for the stock awards to vest in full.</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options awards – both exercisable and un-exercisable) at December 31, 2012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3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3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2"/>
              </w:rPr>
              <w:t>Shares Subject</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3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9"/>
              </w:rPr>
              <w:t>to Option</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to Warrant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3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40" w:type="dxa"/>
            <w:vAlign w:val="bottom"/>
            <w:gridSpan w:val="2"/>
            <w:vMerge w:val="restart"/>
          </w:tcPr>
          <w:p>
            <w:pPr>
              <w:spacing w:after="0"/>
              <w:rPr>
                <w:sz w:val="12"/>
                <w:szCs w:val="12"/>
                <w:color w:val="auto"/>
              </w:rPr>
            </w:pPr>
          </w:p>
        </w:tc>
        <w:tc>
          <w:tcPr>
            <w:tcW w:w="23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34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14,188</w:t>
            </w: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380" w:type="dxa"/>
            <w:vAlign w:val="bottom"/>
            <w:gridSpan w:val="2"/>
          </w:tcPr>
          <w:p>
            <w:pPr>
              <w:jc w:val="right"/>
              <w:ind w:right="1120"/>
              <w:spacing w:after="0"/>
              <w:rPr>
                <w:sz w:val="20"/>
                <w:szCs w:val="20"/>
                <w:color w:val="auto"/>
              </w:rPr>
            </w:pPr>
            <w:r>
              <w:rPr>
                <w:rFonts w:ascii="Arial" w:cs="Arial" w:eastAsia="Arial" w:hAnsi="Arial"/>
                <w:sz w:val="18"/>
                <w:szCs w:val="18"/>
                <w:color w:val="auto"/>
              </w:rPr>
              <w:t>666,667(7)</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Arthur R. Greenberg</w:t>
            </w:r>
          </w:p>
        </w:tc>
        <w:tc>
          <w:tcPr>
            <w:tcW w:w="1040" w:type="dxa"/>
            <w:vAlign w:val="bottom"/>
          </w:tcPr>
          <w:p>
            <w:pPr>
              <w:jc w:val="right"/>
              <w:spacing w:after="0"/>
              <w:rPr>
                <w:sz w:val="20"/>
                <w:szCs w:val="20"/>
                <w:color w:val="auto"/>
              </w:rPr>
            </w:pPr>
            <w:r>
              <w:rPr>
                <w:rFonts w:ascii="Arial" w:cs="Arial" w:eastAsia="Arial" w:hAnsi="Arial"/>
                <w:sz w:val="18"/>
                <w:szCs w:val="18"/>
                <w:color w:val="auto"/>
              </w:rPr>
              <w:t>17,735</w:t>
            </w:r>
          </w:p>
        </w:tc>
        <w:tc>
          <w:tcPr>
            <w:tcW w:w="134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Rod D. Martin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97,522</w:t>
            </w:r>
          </w:p>
        </w:tc>
        <w:tc>
          <w:tcPr>
            <w:tcW w:w="1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John Mauldin</w:t>
            </w:r>
          </w:p>
        </w:tc>
        <w:tc>
          <w:tcPr>
            <w:tcW w:w="1040" w:type="dxa"/>
            <w:vAlign w:val="bottom"/>
          </w:tcPr>
          <w:p>
            <w:pPr>
              <w:jc w:val="right"/>
              <w:spacing w:after="0"/>
              <w:rPr>
                <w:sz w:val="20"/>
                <w:szCs w:val="20"/>
                <w:color w:val="auto"/>
              </w:rPr>
            </w:pPr>
            <w:r>
              <w:rPr>
                <w:rFonts w:ascii="Arial" w:cs="Arial" w:eastAsia="Arial" w:hAnsi="Arial"/>
                <w:sz w:val="18"/>
                <w:szCs w:val="18"/>
                <w:color w:val="auto"/>
              </w:rPr>
              <w:t>14,815</w:t>
            </w:r>
          </w:p>
        </w:tc>
        <w:tc>
          <w:tcPr>
            <w:tcW w:w="134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103,945</w:t>
            </w:r>
          </w:p>
        </w:tc>
        <w:tc>
          <w:tcPr>
            <w:tcW w:w="1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H. Paul Pressler</w:t>
            </w:r>
          </w:p>
        </w:tc>
        <w:tc>
          <w:tcPr>
            <w:tcW w:w="1040" w:type="dxa"/>
            <w:vAlign w:val="bottom"/>
          </w:tcPr>
          <w:p>
            <w:pPr>
              <w:jc w:val="right"/>
              <w:spacing w:after="0"/>
              <w:rPr>
                <w:sz w:val="20"/>
                <w:szCs w:val="20"/>
                <w:color w:val="auto"/>
              </w:rPr>
            </w:pPr>
            <w:r>
              <w:rPr>
                <w:rFonts w:ascii="Arial" w:cs="Arial" w:eastAsia="Arial" w:hAnsi="Arial"/>
                <w:sz w:val="18"/>
                <w:szCs w:val="18"/>
                <w:color w:val="auto"/>
              </w:rPr>
              <w:t>14,815</w:t>
            </w:r>
          </w:p>
        </w:tc>
        <w:tc>
          <w:tcPr>
            <w:tcW w:w="134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105,903</w:t>
            </w:r>
          </w:p>
        </w:tc>
        <w:tc>
          <w:tcPr>
            <w:tcW w:w="1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1040" w:type="dxa"/>
            <w:vAlign w:val="bottom"/>
          </w:tcPr>
          <w:p>
            <w:pPr>
              <w:jc w:val="right"/>
              <w:spacing w:after="0"/>
              <w:rPr>
                <w:sz w:val="20"/>
                <w:szCs w:val="20"/>
                <w:color w:val="auto"/>
              </w:rPr>
            </w:pPr>
            <w:r>
              <w:rPr>
                <w:rFonts w:ascii="Arial" w:cs="Arial" w:eastAsia="Arial" w:hAnsi="Arial"/>
                <w:sz w:val="18"/>
                <w:szCs w:val="18"/>
                <w:color w:val="auto"/>
              </w:rPr>
              <w:t>16,495</w:t>
            </w:r>
          </w:p>
        </w:tc>
        <w:tc>
          <w:tcPr>
            <w:tcW w:w="134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23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1,336,669(9)</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1"/>
              </w:rPr>
              <w:t>100,000(8)</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4"/>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2,403,569</w:t>
            </w:r>
          </w:p>
        </w:tc>
        <w:tc>
          <w:tcPr>
            <w:tcW w:w="134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for service as Vice-Chairman and Director.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for service as Audit Committee Chairman.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166,667 of these options were compensation for service as Chairman of the Board during the period prior to appointment as Executive Chairman.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for service as interim Chief Medical Officer prior to appointment as Chief Executive Officer and President.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Granted as incentive for services as Chief Executive Officer and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option grants to our board members (other than for employee board members for services unrelated to board duties) during fiscal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 grants were made to our current board members during fiscal 2011 which vested over a two year period.</w:t>
      </w:r>
    </w:p>
    <w:p>
      <w:pPr>
        <w:spacing w:after="0" w:line="16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the Form 10-K for the 2012 fiscal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travel and other related expenses.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2012 about the securities issued, or authorized for future issuance, under our equity compensation plans, consisting of our 2001 Stock Incentive Plan, our 2003 Non-Employee Director Stock Incentive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average</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0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5780" w:type="dxa"/>
            <w:vAlign w:val="bottom"/>
            <w:gridSpan w:val="3"/>
            <w:vMerge w:val="continue"/>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outstanding options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82"/>
              </w:rPr>
              <w:t>options</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2,099,916</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4.53</w:t>
            </w: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1,417,808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holders(1)</w:t>
            </w:r>
          </w:p>
        </w:tc>
        <w:tc>
          <w:tcPr>
            <w:tcW w:w="1240" w:type="dxa"/>
            <w:vAlign w:val="bottom"/>
          </w:tcPr>
          <w:p>
            <w:pPr>
              <w:jc w:val="right"/>
              <w:spacing w:after="0"/>
              <w:rPr>
                <w:sz w:val="20"/>
                <w:szCs w:val="20"/>
                <w:color w:val="auto"/>
              </w:rPr>
            </w:pPr>
            <w:r>
              <w:rPr>
                <w:rFonts w:ascii="Arial" w:cs="Arial" w:eastAsia="Arial" w:hAnsi="Arial"/>
                <w:sz w:val="18"/>
                <w:szCs w:val="18"/>
                <w:color w:val="auto"/>
              </w:rPr>
              <w:t>1,440,045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7.30</w:t>
            </w:r>
          </w:p>
        </w:tc>
        <w:tc>
          <w:tcPr>
            <w:tcW w:w="102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3,539,961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grants by the Board of Directors for stock options granted to employees and consultants that are outside of the shareholder approved compensation plans. The shares underlying these grants are not registered upon exercise and have six month holding restrictions under Rule 144 of the SEC.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NON-BINDING ADVISORY RESOLUTION TO APPROVE EXECUTIVE COMPENSATION</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Dodd-Frank Wall Street Reform and Consumer Protection Act amended Section 14A of the Securities Exchange Act of 1934, which now requires that we provide our shareholders with the opportunity to vote to approve, on a nonbinding, advisory basis, the compensation of our named executives officers as disclosed in this proxy statement in accordance with the Compensation disclosure rules of the Securities and Exchange Commission.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in more detail below, under Compensation of Named Executive Officers, we seek to closely align the interests of our named executive officers with the interests of our shareholders. Our compensation programs are designed to reward our named executive officers for the achievement of short-term and long-term strategic and operational goals and the achievement of increased total shareholder return.</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This vote is advisory, which means that the vote on executive compensation is not binding on the Company, our Board of Directors or the Compensation Committee of the Board of Directors. However, we welcome input from our shareholders regarding executive compensation and other matters related to the company’s success generally. We believe in a corporate governance structure that is responsive to shareholder concerns and we view this vote as a meaningful opportunity to gauge shareholder approval of our executive compensation policies.</w:t>
      </w:r>
    </w:p>
    <w:p>
      <w:pPr>
        <w:spacing w:after="0" w:line="10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Given the information provided in this proxy statement, the Board of Directors asks you to approve and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non-binding resolution at our Meeting:</w:t>
      </w:r>
    </w:p>
    <w:p>
      <w:pPr>
        <w:spacing w:after="0" w:line="12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“RESOLVED, that the Company’s shareholders approve, on an advisory basis, the compensation of the named executive officers, as disclosed in the Company’s Proxy Statement for the 2013 Annual Meeting of Shareholders pursuant to the compensation disclosure rules of the Securities and Exchange Commission, including the Summary Compensation Table and the other related tables and disclosure.”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2012 and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6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Bonus</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Awards ($)</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4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2"/>
                <w:szCs w:val="12"/>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30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314,946</w:t>
            </w:r>
          </w:p>
        </w:tc>
        <w:tc>
          <w:tcPr>
            <w:tcW w:w="30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25,000</w:t>
            </w:r>
          </w:p>
        </w:tc>
        <w:tc>
          <w:tcPr>
            <w:tcW w:w="3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713,332</w:t>
            </w:r>
          </w:p>
        </w:tc>
        <w:tc>
          <w:tcPr>
            <w:tcW w:w="30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36,021(6)</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1,089,299</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&amp; President (2)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5,563,537</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22,811(7)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5,733,848</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212,503</w:t>
            </w:r>
          </w:p>
        </w:tc>
        <w:tc>
          <w:tcPr>
            <w:tcW w:w="3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79,689(8)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292,192</w:t>
            </w:r>
          </w:p>
        </w:tc>
        <w:tc>
          <w:tcPr>
            <w:tcW w:w="0" w:type="dxa"/>
            <w:vAlign w:val="bottom"/>
          </w:tcPr>
          <w:p>
            <w:pPr>
              <w:spacing w:after="0"/>
              <w:rPr>
                <w:sz w:val="1"/>
                <w:szCs w:val="1"/>
                <w:color w:val="auto"/>
              </w:rPr>
            </w:pPr>
          </w:p>
        </w:tc>
      </w:tr>
      <w:tr>
        <w:trPr>
          <w:trHeight w:val="222"/>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Executive Chairman and Director (3)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92,502</w:t>
            </w:r>
          </w:p>
        </w:tc>
        <w:tc>
          <w:tcPr>
            <w:tcW w:w="3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3,036,375</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39,154(9)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3,168,031</w:t>
            </w:r>
          </w:p>
        </w:tc>
        <w:tc>
          <w:tcPr>
            <w:tcW w:w="0" w:type="dxa"/>
            <w:vAlign w:val="bottom"/>
          </w:tcPr>
          <w:p>
            <w:pPr>
              <w:spacing w:after="0"/>
              <w:rPr>
                <w:sz w:val="1"/>
                <w:szCs w:val="1"/>
                <w:color w:val="auto"/>
              </w:rPr>
            </w:pPr>
          </w:p>
        </w:tc>
      </w:tr>
      <w:tr>
        <w:trPr>
          <w:trHeight w:val="218"/>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473,381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8,908(10)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557,289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color w:val="auto"/>
              </w:rPr>
              <w:t>Maureen Foley,</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286,535</w:t>
            </w:r>
          </w:p>
        </w:tc>
        <w:tc>
          <w:tcPr>
            <w:tcW w:w="3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9,259(11)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295,794</w:t>
            </w:r>
          </w:p>
        </w:tc>
        <w:tc>
          <w:tcPr>
            <w:tcW w:w="0" w:type="dxa"/>
            <w:vAlign w:val="bottom"/>
          </w:tcPr>
          <w:p>
            <w:pPr>
              <w:spacing w:after="0"/>
              <w:rPr>
                <w:sz w:val="1"/>
                <w:szCs w:val="1"/>
                <w:color w:val="auto"/>
              </w:rPr>
            </w:pPr>
          </w:p>
        </w:tc>
      </w:tr>
      <w:tr>
        <w:trPr>
          <w:trHeight w:val="222"/>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148,124</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60,000</w:t>
            </w:r>
          </w:p>
        </w:tc>
        <w:tc>
          <w:tcPr>
            <w:tcW w:w="320" w:type="dxa"/>
            <w:vAlign w:val="bottom"/>
          </w:tcPr>
          <w:p>
            <w:pPr>
              <w:spacing w:after="0"/>
              <w:rPr>
                <w:sz w:val="19"/>
                <w:szCs w:val="19"/>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25,016(12)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4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option awards for fiscal 2012 and 2011, respectively, but not the actual amounts paid to or realized by the named executive officer for the awards during 2012 and 2011. The value as of the grant date for stock options is recognized over the number of days of service required or the achievement of certain specified milestones for the grant to become vested.</w:t>
      </w:r>
    </w:p>
    <w:p>
      <w:pPr>
        <w:spacing w:after="0" w:line="106" w:lineRule="exact"/>
        <w:rPr>
          <w:rFonts w:ascii="Arial" w:cs="Arial" w:eastAsia="Arial" w:hAnsi="Arial"/>
          <w:sz w:val="16"/>
          <w:szCs w:val="16"/>
          <w:color w:val="auto"/>
        </w:rPr>
      </w:pPr>
    </w:p>
    <w:p>
      <w:pPr>
        <w:jc w:val="both"/>
        <w:ind w:left="460" w:right="220"/>
        <w:spacing w:after="0" w:line="259" w:lineRule="auto"/>
        <w:rPr>
          <w:rFonts w:ascii="Arial" w:cs="Arial" w:eastAsia="Arial" w:hAnsi="Arial"/>
          <w:sz w:val="16"/>
          <w:szCs w:val="16"/>
          <w:color w:val="auto"/>
        </w:rPr>
      </w:pPr>
      <w:r>
        <w:rPr>
          <w:rFonts w:ascii="Arial" w:cs="Arial" w:eastAsia="Arial" w:hAnsi="Arial"/>
          <w:sz w:val="18"/>
          <w:szCs w:val="18"/>
          <w:color w:val="auto"/>
        </w:rPr>
        <w:t>The following table includes the assumptions used to calculate the grant date fair value reported for fiscal years 2012 and 2011 on a grant-by-grant basis. On March 23, 2012, we effected a one-for-six reverse split of our common stock, and the number of shares of common stock has been adjusted to reflect the reverse split.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Risk-</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Free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Expected</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Interest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Dividend</w:t>
            </w:r>
          </w:p>
        </w:tc>
        <w:tc>
          <w:tcPr>
            <w:tcW w:w="2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80" w:type="dxa"/>
            <w:vAlign w:val="bottom"/>
            <w:gridSpan w:val="2"/>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Grant</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Granted</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Price</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Volatility</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w:t>
            </w: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Rate</w:t>
            </w:r>
          </w:p>
        </w:tc>
        <w:tc>
          <w:tcPr>
            <w:tcW w:w="5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rPr>
              <w:t>Yield</w:t>
            </w:r>
          </w:p>
        </w:tc>
        <w:tc>
          <w:tcPr>
            <w:tcW w:w="2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48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(Years)</w:t>
            </w: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20" w:type="dxa"/>
            <w:vAlign w:val="bottom"/>
          </w:tcPr>
          <w:p>
            <w:pPr>
              <w:jc w:val="right"/>
              <w:ind w:right="58"/>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195"/>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Peter G. Traber, M.D.</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03/07/2011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666,667</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6.96</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131</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5"/>
              </w:rPr>
              <w:t>6.00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03/07/2011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03/07/2011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05/26/2011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05/23/2012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420,000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06/28/2011</w:t>
            </w: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500,000</w:t>
            </w:r>
          </w:p>
        </w:tc>
        <w:tc>
          <w:tcPr>
            <w:tcW w:w="480" w:type="dxa"/>
            <w:vAlign w:val="bottom"/>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132</w:t>
            </w:r>
          </w:p>
        </w:tc>
        <w:tc>
          <w:tcPr>
            <w:tcW w:w="3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08/27/2012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106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3320" w:firstLine="8"/>
        <w:spacing w:after="0" w:line="268"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83,334 options each vest as of a $5 and $10 billion market capitalization, respectively, of our common stock. ** valued using a Monte Carlo valuation model.</w:t>
      </w:r>
    </w:p>
    <w:p>
      <w:pPr>
        <w:spacing w:after="0" w:line="5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Chief Executive Officer from March 17,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Became an employee as of June 28,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Chief Operating Officer from October 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Resigned effective September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$28,406 for health insurance and $7,615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$21,911 for health insurance and $900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$26,139 for health insurance, $5,550 for retirement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$15,154 for health insurance and $24,000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$7,059 for health insurance and $1,849 for retirement plan contributions.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$5,884 for health insurance expenses and $3,375 for retirement plan contributions.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$16,691 for health insurance expenses and $8,325 for retirement plan contributions.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26, 2011, we entered into an Employment Agreement with Dr. Traber for a three year term beginning March 17, 2011, which shall continue for up to two one-year additional terms unless either party provides at least 6 months’ prior notice that the employment shall not continue. The Agreement provides for an annual salary during the initial year in the amount of $195,000, which may be adjusted beginning the second year based on industry surveys of executive compensation in comparable companies, but shall not be less than $300,000. Dr. Traber is entitled to (i) participate in incentive, retirement, profit-sharing, life, medical, disability and other plans generally available to our senior executives at our expense, (iv) an apartment and use of an automobile while he was in residence near our former Newton, Massachusetts offices, and (v) weekly air-fare from his family’s residence anywhere in the 48 contiguous states.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Agreement provides that Dr. Traber shall receive severance equal to one year of his then salary, two years’ medical coverage, and immediate vesting of all unvested warrants and options if his employment is terminated (i) by the Company “without cause,” (ii) by Dr. Traber for “good reason,” or (iii) following a “change of control” (as each term is defined in the Agreement). If Dr. Traber’s employment is terminated “for cause,” as defined in the Agreement, subject to “cure rights” in certain instances, he is not entitled to severance other than medical insurance coverage pursuant to COBRA.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provides that during its term Dr. Traber shall not engage in any business competitive with the Company, and thereafter he shall not</w:t>
      </w:r>
    </w:p>
    <w:p>
      <w:pPr>
        <w:spacing w:after="0" w:line="38" w:lineRule="exact"/>
        <w:rPr>
          <w:sz w:val="20"/>
          <w:szCs w:val="20"/>
          <w:color w:val="auto"/>
        </w:rPr>
      </w:pPr>
    </w:p>
    <w:p>
      <w:pPr>
        <w:ind w:right="340" w:firstLine="8"/>
        <w:spacing w:after="0" w:line="281"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accept for 12 months business from of our customers or accounts relating to “competing products” or services of the Company, or (ii) render services for 6 months to any “competing organization” (as such terms are defined in the Agreement). The Agreement also contains provisions binding on Dr. Traber with respect to (i) protection of our confidential information; (ii) requirements to disclose and assign inventions or other intellectual property to the Company;</w:t>
      </w:r>
    </w:p>
    <w:p>
      <w:pPr>
        <w:spacing w:after="0" w:line="2" w:lineRule="exact"/>
        <w:rPr>
          <w:rFonts w:ascii="Arial" w:cs="Arial" w:eastAsia="Arial" w:hAnsi="Arial"/>
          <w:sz w:val="16"/>
          <w:szCs w:val="16"/>
          <w:color w:val="auto"/>
        </w:rPr>
      </w:pPr>
    </w:p>
    <w:p>
      <w:pPr>
        <w:ind w:right="40" w:firstLine="8"/>
        <w:spacing w:after="0" w:line="261"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non-solicitation of our executives, or persons with whom we have a business relationship such as investors, suppliers and customers; and (iv) advance review and approval of all writings he proposes to publish.</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contemplated by the Agreement, on May 26, 2011, our Board of Directors granted Dr. Traber 125,000 fully-vested stock options exercisable for 10 years at $7.50 per share. In addition, the Agreement (i) accelerates the vesting 100,000 warrants that we granted to Dr. Traber in consideration of his service to the Company as Chief Medical Officer on a consultant basis prior his becoming an executive officer, (ii) amends our prior grant of 833,334 stock options to include a cashless exercise provision, and (iii) limits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C. Czirr, Executive Chairman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28, 2011, we entered into an employment agreement with James C. Czirr, Executive Chairman of the Company for a three year term beginning June 28, 2011, which may continue for up to two one-year additional terms. The agreement provides for an annual salary of $185,000 for the first year of the initial term and $240,000 for the second and third years. We will negotiate salary if Mr. Czirr’s employment continues during the one-year terms subsequent to the initial term. Mr. Czirr is entitled to (i) participate in incentive, retirement, profit-sharing, life, medical, disability and other plans generally available to senior executives of the Company, (ii) $2,000,000 life insurance coverage and long-term disability insurance at Company expense, and (iii) expense reimbursement including up to $4,000 per month, unless otherwise approved, for office expenses.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agreement provides that Mr. Czirr shall receive severance equal to one year of his then salary, two years’ medical coverage, and immediate vesting of all unvested options if his employment is terminated (i)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“without cause,” (ii) by Mr. Czirr for “good reason,” or (iii) following a “change of control” (as defined in the Agreement). If his employment is terminated “for cause”, subject to “cure rights” in certain instances, he is not entitled to severance.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agreement provides that during its term Mr. Czirr shall not engage in any business competitive with the Company. Following employment, Mr. Czirr shall not (i) accept for 12 months business from our customers or accounts relating to “competing products” or services, or (ii) render services for 6 months to any “competing organization” (as such are defined in the agreement). The agreement also contains provisions binding on Mr. Czirr with respect to (i) protection of our confidential information; (ii) requirements to disclose and assign inventions or other intellectual property to us; (iii) non-solicitation of our executives, or persons with whom we have a business relationship; and (iv) advance review and approval of all writings he proposes to publish.</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contemplated by the agreement, our Board of Directors on June 28, 2011, granted Mr. Czirr 500,000 stock options exercisable at $7.02 per share of our common stock, which vest in twenty equal installments of 25,000 shares beginning 90 days after the grant date, provided Mr. Czirr is employed on the applicable vesting date. We also agreed to register the offer and sale of the shares underlying such options. Mr. Czirr agreed not to loan or pledge securities of the Company until after his obligation to report transactions in our securities has expired, and not to effect short sales of our securities for 5 years after termination of the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entered into an employment agreement with Dr. Shlevin on August 27, 2012 in conjunction with Dr. Shlevin’s appointment as our Chief Operating Officer. The Agreement provides for an initial term from October 1, 2012 through December 31, 2014, and automatically renews for additional one-year periods unless otherwise terminated pursuant to the terms of the Agreement by either party. In accordance with the terms of the Agreement, Dr. Shlevin will receive an initial base salary of $200,000 per year and will receive an annual performance bonus for calendar year 2013 between $20,000 and $40,000, based on the achievement of individual performance goals. He will be eligible for a performance bonus for calendar year 2014 of up to $50,000, based on individual and Company performance. The Agreement also provides for a one-time signing bonus of $25,000 and a grant of options to purchase 250,000 shares of the Company’s common stock. The exercise price of the options is equal to the closing price of the Company’s stock price on August 27, 2012, and 50,000 shares vested upon execution of the Agreement, 50,000 shares will vest on December 31, 2012, 75,000 shares will vest on December 31, 2013, and 75,000 shares will vest on December 31, 2014. The options were granted pursuant to the Company’s Amended and Restated 2009 Incentive Compensation Plan and expire ten years after the date of grant. Dr. Shlevin’s agreement also contains various provisions related to Termination for “Cause” and/or “Without Cause” and/or for “Good Reason” as well as various Change of Control provisions.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Maureen Foley, former Chief Operating Officer</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entered into an Employment Agreement with Ms. Foley dated January 19, 2009, under which she was entitled to receive an annual salary of $185,000 per year and participate in company employee benefit plans. On March 8, 2011, we entered into an Amended Employment Agreement with her which superseded her prior employment agreement. Under the amended Agreement, Ms. Foley was engaged for a one-year term ending March 6, 2012 at a base salary of $150,000 and was entitled to participate in the Company’s standard employee benefits plan, vacation and up to 40 days personal time off in respect of prior service to the Company. On March 1, 2012, the agreement was extended until June 30, 2012. If we terminated Ms. Foley without “cause” or she terminated her employment for “good reason,” as defined in the Agreement, she was entitled to all compensation and benefits through the end of the term and a severance comprised of six months base salary and continued employee benefits. If terminated for cause, she was entitled to six months base salary. The Agreement also provided for a $60,000 signing bonus, a $50,000 lump sum payment and $25,000 transition bonus payment payable by stated dates even if Ms. Foley was terminated for any reason. Ms. Foley resigned effective September 30, 2012. In September 2012, Ms. Foley’s outstanding options were modified to extend the exercisability of the options from ninety days post-employment to the remaining legal life of the option awards.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2012</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provides information with respect to outstanding stock options held by the named executive officers in the Summary Compensation Table as of December 31, 2012. On March 23, 2012, we effected a one-for-six reverse split of our common stock. All common share and per share amounts shown in the table have been adjusted to reflect the reverse split.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gridSpan w:val="4"/>
          </w:tcPr>
          <w:p>
            <w:pPr>
              <w:ind w:left="1040"/>
              <w:spacing w:after="0"/>
              <w:rPr>
                <w:sz w:val="20"/>
                <w:szCs w:val="20"/>
                <w:color w:val="auto"/>
              </w:rPr>
            </w:pPr>
            <w:r>
              <w:rPr>
                <w:rFonts w:ascii="Arial" w:cs="Arial" w:eastAsia="Arial" w:hAnsi="Arial"/>
                <w:sz w:val="14"/>
                <w:szCs w:val="14"/>
                <w:b w:val="1"/>
                <w:bCs w:val="1"/>
                <w:color w:val="auto"/>
              </w:rPr>
              <w:t>Stock Option Awards</w:t>
            </w:r>
          </w:p>
        </w:tc>
        <w:tc>
          <w:tcPr>
            <w:tcW w:w="11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4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7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20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Price Per</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48"/>
        </w:trPr>
        <w:tc>
          <w:tcPr>
            <w:tcW w:w="32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92"/>
              </w:rPr>
              <w:t>Grant Date</w:t>
            </w:r>
          </w:p>
        </w:tc>
        <w:tc>
          <w:tcPr>
            <w:tcW w:w="20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4"/>
              </w:rPr>
              <w:t># Exercisable</w:t>
            </w:r>
          </w:p>
        </w:tc>
        <w:tc>
          <w:tcPr>
            <w:tcW w:w="20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8"/>
              </w:rPr>
              <w:t># Un-Exercisable</w:t>
            </w:r>
          </w:p>
        </w:tc>
        <w:tc>
          <w:tcPr>
            <w:tcW w:w="11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u w:val="single" w:color="auto"/>
                <w:color w:val="auto"/>
                <w:w w:val="89"/>
              </w:rPr>
              <w:t>Share($</w:t>
            </w:r>
            <w:r>
              <w:rPr>
                <w:rFonts w:ascii="Arial" w:cs="Arial" w:eastAsia="Arial" w:hAnsi="Arial"/>
                <w:sz w:val="14"/>
                <w:szCs w:val="14"/>
                <w:b w:val="1"/>
                <w:bCs w:val="1"/>
                <w:color w:val="auto"/>
                <w:w w:val="89"/>
              </w:rPr>
              <w:t>)</w:t>
            </w: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 (2)</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03/07/2011</w:t>
            </w:r>
          </w:p>
        </w:tc>
        <w:tc>
          <w:tcPr>
            <w:tcW w:w="6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125,000(1)</w:t>
            </w:r>
          </w:p>
        </w:tc>
        <w:tc>
          <w:tcPr>
            <w:tcW w:w="2020" w:type="dxa"/>
            <w:vAlign w:val="bottom"/>
            <w:gridSpan w:val="2"/>
            <w:shd w:val="clear" w:color="auto" w:fill="CCEEFF"/>
          </w:tcPr>
          <w:p>
            <w:pPr>
              <w:jc w:val="center"/>
              <w:ind w:left="38"/>
              <w:spacing w:after="0" w:line="203" w:lineRule="exact"/>
              <w:rPr>
                <w:sz w:val="20"/>
                <w:szCs w:val="20"/>
                <w:color w:val="auto"/>
              </w:rPr>
            </w:pPr>
            <w:r>
              <w:rPr>
                <w:rFonts w:ascii="Arial" w:cs="Arial" w:eastAsia="Arial" w:hAnsi="Arial"/>
                <w:sz w:val="18"/>
                <w:szCs w:val="18"/>
                <w:color w:val="auto"/>
                <w:w w:val="89"/>
              </w:rPr>
              <w:t>708,334(1)</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6.96</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03/07/2021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05/26/2011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7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05/23/2012</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120,000(3)</w:t>
            </w:r>
          </w:p>
        </w:tc>
        <w:tc>
          <w:tcPr>
            <w:tcW w:w="2020" w:type="dxa"/>
            <w:vAlign w:val="bottom"/>
            <w:gridSpan w:val="2"/>
            <w:shd w:val="clear" w:color="auto" w:fill="CCEEFF"/>
          </w:tcPr>
          <w:p>
            <w:pPr>
              <w:jc w:val="center"/>
              <w:ind w:left="38"/>
              <w:spacing w:after="0"/>
              <w:rPr>
                <w:sz w:val="20"/>
                <w:szCs w:val="20"/>
                <w:color w:val="auto"/>
              </w:rPr>
            </w:pPr>
            <w:r>
              <w:rPr>
                <w:rFonts w:ascii="Arial" w:cs="Arial" w:eastAsia="Arial" w:hAnsi="Arial"/>
                <w:sz w:val="18"/>
                <w:szCs w:val="18"/>
                <w:color w:val="auto"/>
                <w:w w:val="89"/>
              </w:rPr>
              <w:t>300,000(3)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05/23/2022</w:t>
            </w:r>
          </w:p>
        </w:tc>
        <w:tc>
          <w:tcPr>
            <w:tcW w:w="0" w:type="dxa"/>
            <w:vAlign w:val="bottom"/>
          </w:tcPr>
          <w:p>
            <w:pPr>
              <w:spacing w:after="0"/>
              <w:rPr>
                <w:sz w:val="1"/>
                <w:szCs w:val="1"/>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02/01/2010</w:t>
            </w:r>
          </w:p>
        </w:tc>
        <w:tc>
          <w:tcPr>
            <w:tcW w:w="1260" w:type="dxa"/>
            <w:vAlign w:val="bottom"/>
          </w:tcPr>
          <w:p>
            <w:pPr>
              <w:jc w:val="right"/>
              <w:spacing w:after="0"/>
              <w:rPr>
                <w:sz w:val="20"/>
                <w:szCs w:val="20"/>
                <w:color w:val="auto"/>
              </w:rPr>
            </w:pPr>
            <w:r>
              <w:rPr>
                <w:rFonts w:ascii="Arial" w:cs="Arial" w:eastAsia="Arial" w:hAnsi="Arial"/>
                <w:sz w:val="18"/>
                <w:szCs w:val="18"/>
                <w:color w:val="auto"/>
              </w:rPr>
              <w:t>166,667</w:t>
            </w:r>
          </w:p>
        </w:tc>
        <w:tc>
          <w:tcPr>
            <w:tcW w:w="780" w:type="dxa"/>
            <w:vAlign w:val="bottom"/>
          </w:tcPr>
          <w:p>
            <w:pPr>
              <w:spacing w:after="0"/>
              <w:rPr>
                <w:sz w:val="24"/>
                <w:szCs w:val="24"/>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7.56</w:t>
            </w:r>
          </w:p>
        </w:tc>
        <w:tc>
          <w:tcPr>
            <w:tcW w:w="6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02/01/2015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0" w:type="dxa"/>
            <w:vAlign w:val="bottom"/>
            <w:gridSpan w:val="3"/>
          </w:tcPr>
          <w:p>
            <w:pPr>
              <w:ind w:left="600"/>
              <w:spacing w:after="0"/>
              <w:rPr>
                <w:sz w:val="20"/>
                <w:szCs w:val="20"/>
                <w:color w:val="auto"/>
              </w:rPr>
            </w:pPr>
            <w:r>
              <w:rPr>
                <w:rFonts w:ascii="Arial" w:cs="Arial" w:eastAsia="Arial" w:hAnsi="Arial"/>
                <w:sz w:val="18"/>
                <w:szCs w:val="18"/>
                <w:color w:val="auto"/>
              </w:rPr>
              <w:t>06/28/2011</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150,000(4)</w:t>
            </w: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89"/>
              </w:rPr>
              <w:t>350,000(4)</w:t>
            </w:r>
          </w:p>
        </w:tc>
        <w:tc>
          <w:tcPr>
            <w:tcW w:w="540" w:type="dxa"/>
            <w:vAlign w:val="bottom"/>
          </w:tcPr>
          <w:p>
            <w:pPr>
              <w:jc w:val="right"/>
              <w:spacing w:after="0"/>
              <w:rPr>
                <w:sz w:val="20"/>
                <w:szCs w:val="20"/>
                <w:color w:val="auto"/>
              </w:rPr>
            </w:pPr>
            <w:r>
              <w:rPr>
                <w:rFonts w:ascii="Arial" w:cs="Arial" w:eastAsia="Arial" w:hAnsi="Arial"/>
                <w:sz w:val="18"/>
                <w:szCs w:val="18"/>
                <w:color w:val="auto"/>
              </w:rPr>
              <w:t>7.02</w:t>
            </w:r>
          </w:p>
        </w:tc>
        <w:tc>
          <w:tcPr>
            <w:tcW w:w="6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06/28/2021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08/27/2012</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100,000(5)</w:t>
            </w:r>
          </w:p>
        </w:tc>
        <w:tc>
          <w:tcPr>
            <w:tcW w:w="2020" w:type="dxa"/>
            <w:vAlign w:val="bottom"/>
            <w:gridSpan w:val="2"/>
            <w:shd w:val="clear" w:color="auto" w:fill="CCEEFF"/>
          </w:tcPr>
          <w:p>
            <w:pPr>
              <w:jc w:val="center"/>
              <w:ind w:left="38"/>
              <w:spacing w:after="0"/>
              <w:rPr>
                <w:sz w:val="20"/>
                <w:szCs w:val="20"/>
                <w:color w:val="auto"/>
              </w:rPr>
            </w:pPr>
            <w:r>
              <w:rPr>
                <w:rFonts w:ascii="Arial" w:cs="Arial" w:eastAsia="Arial" w:hAnsi="Arial"/>
                <w:sz w:val="18"/>
                <w:szCs w:val="18"/>
                <w:color w:val="auto"/>
                <w:w w:val="89"/>
              </w:rPr>
              <w:t>150,000(5)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08/27/2022</w:t>
            </w:r>
          </w:p>
        </w:tc>
        <w:tc>
          <w:tcPr>
            <w:tcW w:w="0" w:type="dxa"/>
            <w:vAlign w:val="bottom"/>
          </w:tcPr>
          <w:p>
            <w:pPr>
              <w:spacing w:after="0"/>
              <w:rPr>
                <w:sz w:val="1"/>
                <w:szCs w:val="1"/>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Maureen Foley</w:t>
            </w: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09/02/2003</w:t>
            </w:r>
          </w:p>
        </w:tc>
        <w:tc>
          <w:tcPr>
            <w:tcW w:w="1260" w:type="dxa"/>
            <w:vAlign w:val="bottom"/>
          </w:tcPr>
          <w:p>
            <w:pPr>
              <w:jc w:val="right"/>
              <w:spacing w:after="0"/>
              <w:rPr>
                <w:sz w:val="20"/>
                <w:szCs w:val="20"/>
                <w:color w:val="auto"/>
              </w:rPr>
            </w:pPr>
            <w:r>
              <w:rPr>
                <w:rFonts w:ascii="Arial" w:cs="Arial" w:eastAsia="Arial" w:hAnsi="Arial"/>
                <w:sz w:val="18"/>
                <w:szCs w:val="18"/>
                <w:color w:val="auto"/>
              </w:rPr>
              <w:t>108,334</w:t>
            </w:r>
          </w:p>
        </w:tc>
        <w:tc>
          <w:tcPr>
            <w:tcW w:w="780" w:type="dxa"/>
            <w:vAlign w:val="bottom"/>
          </w:tcPr>
          <w:p>
            <w:pPr>
              <w:spacing w:after="0"/>
              <w:rPr>
                <w:sz w:val="24"/>
                <w:szCs w:val="24"/>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24.30</w:t>
            </w:r>
          </w:p>
        </w:tc>
        <w:tc>
          <w:tcPr>
            <w:tcW w:w="6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12/21/2004</w:t>
            </w:r>
          </w:p>
        </w:tc>
        <w:tc>
          <w:tcPr>
            <w:tcW w:w="1260" w:type="dxa"/>
            <w:vAlign w:val="bottom"/>
          </w:tcPr>
          <w:p>
            <w:pPr>
              <w:jc w:val="right"/>
              <w:spacing w:after="0"/>
              <w:rPr>
                <w:sz w:val="20"/>
                <w:szCs w:val="20"/>
                <w:color w:val="auto"/>
              </w:rPr>
            </w:pPr>
            <w:r>
              <w:rPr>
                <w:rFonts w:ascii="Arial" w:cs="Arial" w:eastAsia="Arial" w:hAnsi="Arial"/>
                <w:sz w:val="18"/>
                <w:szCs w:val="18"/>
                <w:color w:val="auto"/>
              </w:rPr>
              <w:t>12,500</w:t>
            </w:r>
          </w:p>
        </w:tc>
        <w:tc>
          <w:tcPr>
            <w:tcW w:w="780" w:type="dxa"/>
            <w:vAlign w:val="bottom"/>
          </w:tcPr>
          <w:p>
            <w:pPr>
              <w:spacing w:after="0"/>
              <w:rPr>
                <w:sz w:val="18"/>
                <w:szCs w:val="18"/>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11.40</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04/10/2008</w:t>
            </w: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780" w:type="dxa"/>
            <w:vAlign w:val="bottom"/>
          </w:tcPr>
          <w:p>
            <w:pPr>
              <w:spacing w:after="0"/>
              <w:rPr>
                <w:sz w:val="18"/>
                <w:szCs w:val="18"/>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2.64</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04/21/2009</w:t>
            </w:r>
          </w:p>
        </w:tc>
        <w:tc>
          <w:tcPr>
            <w:tcW w:w="1260" w:type="dxa"/>
            <w:vAlign w:val="bottom"/>
          </w:tcPr>
          <w:p>
            <w:pPr>
              <w:jc w:val="right"/>
              <w:spacing w:after="0"/>
              <w:rPr>
                <w:sz w:val="20"/>
                <w:szCs w:val="20"/>
                <w:color w:val="auto"/>
              </w:rPr>
            </w:pPr>
            <w:r>
              <w:rPr>
                <w:rFonts w:ascii="Arial" w:cs="Arial" w:eastAsia="Arial" w:hAnsi="Arial"/>
                <w:sz w:val="18"/>
                <w:szCs w:val="18"/>
                <w:color w:val="auto"/>
              </w:rPr>
              <w:t>12,500</w:t>
            </w:r>
          </w:p>
        </w:tc>
        <w:tc>
          <w:tcPr>
            <w:tcW w:w="780" w:type="dxa"/>
            <w:vAlign w:val="bottom"/>
          </w:tcPr>
          <w:p>
            <w:pPr>
              <w:spacing w:after="0"/>
              <w:rPr>
                <w:sz w:val="18"/>
                <w:szCs w:val="18"/>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04/21/2014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0" w:type="dxa"/>
            <w:vAlign w:val="bottom"/>
            <w:gridSpan w:val="3"/>
          </w:tcPr>
          <w:p>
            <w:pPr>
              <w:ind w:left="580"/>
              <w:spacing w:after="0"/>
              <w:rPr>
                <w:sz w:val="20"/>
                <w:szCs w:val="20"/>
                <w:color w:val="auto"/>
              </w:rPr>
            </w:pPr>
            <w:r>
              <w:rPr>
                <w:rFonts w:ascii="Arial" w:cs="Arial" w:eastAsia="Arial" w:hAnsi="Arial"/>
                <w:sz w:val="18"/>
                <w:szCs w:val="18"/>
                <w:color w:val="auto"/>
              </w:rPr>
              <w:t>02/01/2010</w:t>
            </w:r>
          </w:p>
        </w:tc>
        <w:tc>
          <w:tcPr>
            <w:tcW w:w="1260" w:type="dxa"/>
            <w:vAlign w:val="bottom"/>
          </w:tcPr>
          <w:p>
            <w:pPr>
              <w:jc w:val="right"/>
              <w:spacing w:after="0"/>
              <w:rPr>
                <w:sz w:val="20"/>
                <w:szCs w:val="20"/>
                <w:color w:val="auto"/>
              </w:rPr>
            </w:pPr>
            <w:r>
              <w:rPr>
                <w:rFonts w:ascii="Arial" w:cs="Arial" w:eastAsia="Arial" w:hAnsi="Arial"/>
                <w:sz w:val="18"/>
                <w:szCs w:val="18"/>
                <w:color w:val="auto"/>
              </w:rPr>
              <w:t>33,334</w:t>
            </w:r>
          </w:p>
        </w:tc>
        <w:tc>
          <w:tcPr>
            <w:tcW w:w="780" w:type="dxa"/>
            <w:vAlign w:val="bottom"/>
          </w:tcPr>
          <w:p>
            <w:pPr>
              <w:spacing w:after="0"/>
              <w:rPr>
                <w:sz w:val="19"/>
                <w:szCs w:val="19"/>
                <w:color w:val="auto"/>
              </w:rPr>
            </w:pPr>
          </w:p>
        </w:tc>
        <w:tc>
          <w:tcPr>
            <w:tcW w:w="2020" w:type="dxa"/>
            <w:vAlign w:val="bottom"/>
            <w:gridSpan w:val="2"/>
          </w:tcPr>
          <w:p>
            <w:pPr>
              <w:jc w:val="center"/>
              <w:ind w:left="3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6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02/01/2020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8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125,000 options vested on the grant date, 104,667 options vest on the first and second anniversaries of the grant date, 83,333 options vest on the third and fourth anniversaries of the grant date and 166,667 options vest on the fifth anniversary of the grant date. The remaining 166,667 options vest upon the achievement of certain milestones. With respect to options that vest on anniversaries, exercise rights are accelerated upon achievement of certain milestones.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Also owns 100,000 fully vested warrants exercisable at $4.26 per share of common stock awarded as compensation for service as interim Chief Medical Officer.</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120,000 vested on May 23, 2012, 100,000 vest on the first, second and third anniversaries of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vest at the rate of 25,000 per quarter for 20 quarters beginning September 28, 2011.</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50,000 options vested on the grant date, 50,000 options vest on December 31, 2012, 75,000 vest on December 31, 2013 and 75,0000 options vest on December 31, 2014.</w:t>
      </w:r>
    </w:p>
    <w:p>
      <w:pPr>
        <w:spacing w:after="0" w:line="13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exercise price of the options is set at the closing price of our stock at the date prior to or as of the date of grant. Outstanding options have been recommended by the Compensation Committee and adopted by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VOTE ON THE FREQUENCY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 APPROVAL OF EXECUTIVE COMPENSATION</w:t>
      </w:r>
    </w:p>
    <w:p>
      <w:pPr>
        <w:spacing w:after="0" w:line="16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Pursuant to the Dodd-Frank Act and recently enacted SEC rules, at least once every six years we are required to submit for shareholder vote a non-binding resolution to determine whether we should conduct our shareholder advisory vote on executive compensation every year, every two years, or every three years.</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After careful consideration of the various arguments supporting each frequency level, the board of directors believes that submitting the advisory vote on executive compensation to shareholders on an annual basis (every year) is appropriate for the Company and its shareholders at this time.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proxy card provides four choices (every one, two, or three years, or abstain). Shareholders are being asked for their vote on the frequency of the advisory vote on executive compensation, and are not voting to approve or disapprove the board’s recommendation. As such, Shareholders may choose an annual, biennial, or triennial frequency, i.e., every year, every two years, every three years, or they may abstain. The frequency option that receives the most votes will be deemed the option chosen by the advisory vote.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with your vote on Proposal No. 2 above, your vote on this Proposal No. 3 is advisory, and therefore not binding on the Company or our board of directors. The vote will not be construed to create or imply any change to the fiduciary duties of the Company or our board of directors, or to create or imply any additional fiduciary duties for the Company or our board of directors. Although the vote is non-binding, our board of directors will consider the outcome of the frequency vote and other communications from shareholders when making future decisions regarding the frequency of such advisory votes regarding executive compensation.</w:t>
      </w:r>
    </w:p>
    <w:p>
      <w:pPr>
        <w:spacing w:after="0" w:line="137"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OUR BOARD OF DIRECTORS UNANIMOUSLY RECOMMENDS A FREQUENCY OF ANNUALLY, (</w:t>
      </w:r>
      <w:r>
        <w:rPr>
          <w:rFonts w:ascii="Arial" w:cs="Arial" w:eastAsia="Arial" w:hAnsi="Arial"/>
          <w:sz w:val="18"/>
          <w:szCs w:val="18"/>
          <w:b w:val="1"/>
          <w:bCs w:val="1"/>
          <w:i w:val="1"/>
          <w:iCs w:val="1"/>
          <w:color w:val="auto"/>
        </w:rPr>
        <w:t>“EVERY YEAR”)</w:t>
      </w:r>
      <w:r>
        <w:rPr>
          <w:rFonts w:ascii="Arial" w:cs="Arial" w:eastAsia="Arial" w:hAnsi="Arial"/>
          <w:sz w:val="18"/>
          <w:szCs w:val="18"/>
          <w:b w:val="1"/>
          <w:bCs w:val="1"/>
          <w:color w:val="auto"/>
        </w:rPr>
        <w:t xml:space="preserve"> FOR FUTURE ADVISORY SHAREHOLDER VOTES ON COMPENSATION OF OUR NAMED EXECUTIVE OFFICERS.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appointed McGladrey LLP as our independent auditors for the fiscal year ending December 31, 2013.</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that a representative from McGladrey will be present at the annual meeting, and accordingly, McGladrey will be given the opportunity to make a statement and respond to any questions.</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RATIFICATION OF THE APPOINTMENT OF MCGLADREY LLP, AS GALECTIN THERAPEUTICS’ INDEPENDENT PUBLIC ACCOUNTANTS FOR THE FISCAL YEAR ENDING DECEMBER 31, 2013.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80" w:type="dxa"/>
            <w:vAlign w:val="bottom"/>
            <w:gridSpan w:val="5"/>
          </w:tcPr>
          <w:p>
            <w:pPr>
              <w:ind w:left="1380"/>
              <w:spacing w:after="0"/>
              <w:rPr>
                <w:sz w:val="20"/>
                <w:szCs w:val="20"/>
                <w:color w:val="auto"/>
              </w:rPr>
            </w:pPr>
            <w:r>
              <w:rPr>
                <w:rFonts w:ascii="Arial" w:cs="Arial" w:eastAsia="Arial" w:hAnsi="Arial"/>
                <w:sz w:val="18"/>
                <w:szCs w:val="18"/>
                <w:b w:val="1"/>
                <w:bCs w:val="1"/>
                <w:color w:val="auto"/>
              </w:rPr>
              <w:t>FEES PAID TO MCGLADREY LLP</w:t>
            </w:r>
          </w:p>
        </w:tc>
      </w:tr>
      <w:tr>
        <w:trPr>
          <w:trHeight w:val="340"/>
        </w:trPr>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380" w:type="dxa"/>
            <w:vAlign w:val="bottom"/>
            <w:gridSpan w:val="3"/>
          </w:tcPr>
          <w:p>
            <w:pPr>
              <w:jc w:val="center"/>
              <w:ind w:left="7578"/>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7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$ 128,750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36,873</w:t>
            </w:r>
          </w:p>
        </w:tc>
        <w:tc>
          <w:tcPr>
            <w:tcW w:w="8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$ 165,623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380" w:type="dxa"/>
            <w:vAlign w:val="bottom"/>
            <w:gridSpan w:val="3"/>
          </w:tcPr>
          <w:p>
            <w:pPr>
              <w:jc w:val="center"/>
              <w:ind w:left="7578"/>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Fees(2)</w:t>
            </w:r>
          </w:p>
        </w:tc>
        <w:tc>
          <w:tcPr>
            <w:tcW w:w="76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$ 118,450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12,850</w:t>
            </w:r>
          </w:p>
        </w:tc>
        <w:tc>
          <w:tcPr>
            <w:tcW w:w="8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$ 131,300</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8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2012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 Additional amounts for our 2012 year end audit that were paid in 2013 and will be reported in the proxy statement for the 2014 annual meeting.</w:t>
      </w:r>
    </w:p>
    <w:p>
      <w:pPr>
        <w:spacing w:after="0" w:line="1"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2011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 Additional amounts for our 2011 year end audit that were paid in 2012 and will be reported in the proxy statement for the 2013 annual meeting.</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McGladrey LLP is compatible with maintaining independence.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Pre-Approval Policy and Procedures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15"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CARD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GALECTIN THERAPEUTICS INC.</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undersigned appoints Peter G. Traber, M.D., Thomas A. McGauley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March 27, 2013 at the 2013 annual meeting of stockholders to be held at the offices of Arnall Golden Gregory LLP, located at 171 17</w:t>
      </w:r>
      <w:r>
        <w:rPr>
          <w:rFonts w:ascii="Arial" w:cs="Arial" w:eastAsia="Arial" w:hAnsi="Arial"/>
          <w:sz w:val="10"/>
          <w:szCs w:val="10"/>
          <w:color w:val="auto"/>
        </w:rPr>
        <w:t>th</w:t>
      </w:r>
      <w:r>
        <w:rPr>
          <w:rFonts w:ascii="Arial" w:cs="Arial" w:eastAsia="Arial" w:hAnsi="Arial"/>
          <w:sz w:val="15"/>
          <w:szCs w:val="15"/>
          <w:color w:val="auto"/>
        </w:rPr>
        <w:t xml:space="preserve"> Street NW, Suite 2100, Atlanta, GA 30363 on May 23, 2013 at 9:00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GALECTIN THERAPEUTICS INC.</w:t>
      </w:r>
    </w:p>
    <w:p>
      <w:pPr>
        <w:spacing w:after="0" w:line="21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Important Notice Regarding the Availability of Proxy Materials for the 2013 annual meeting of stockholders of Galectin Therapeutics Inc. to be held at the offices of Arnall Golden Gregory LLP, located at 171 17</w:t>
      </w:r>
      <w:r>
        <w:rPr>
          <w:rFonts w:ascii="Arial" w:cs="Arial" w:eastAsia="Arial" w:hAnsi="Arial"/>
          <w:sz w:val="10"/>
          <w:szCs w:val="10"/>
          <w:color w:val="auto"/>
        </w:rPr>
        <w:t>th</w:t>
      </w:r>
      <w:r>
        <w:rPr>
          <w:rFonts w:ascii="Arial" w:cs="Arial" w:eastAsia="Arial" w:hAnsi="Arial"/>
          <w:sz w:val="16"/>
          <w:szCs w:val="16"/>
          <w:color w:val="auto"/>
        </w:rPr>
        <w:t xml:space="preserve"> Street NW, Suite 2100, Atlanta, GA 30363 on May 23, 2013 at 9:00 A.M. EDT.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and Annual Report to Stockholders are available at http://www.rrdezproxy.com/2013/GalectinTherapeutics/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 Vote Your Proxy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FOLD AND DETACH HERE AND READ THE REVERSE SIDE</w:t>
      </w:r>
      <w:r>
        <w:rPr>
          <w:rFonts w:ascii="Arial" w:cs="Arial" w:eastAsia="Arial" w:hAnsi="Arial"/>
          <w:sz w:val="18"/>
          <w:szCs w:val="18"/>
          <w:color w:val="auto"/>
        </w:rPr>
        <w:t xml:space="preserve"> q</w:t>
      </w:r>
    </w:p>
    <w:p>
      <w:pPr>
        <w:sectPr>
          <w:pgSz w:w="11900" w:h="16838" w:orient="portrait"/>
          <w:cols w:equalWidth="0" w:num="1">
            <w:col w:w="11400"/>
          </w:cols>
          <w:pgMar w:left="240" w:top="280" w:right="259" w:bottom="1440" w:gutter="0" w:footer="0" w:header="0"/>
        </w:sectPr>
      </w:pPr>
    </w:p>
    <w:bookmarkStart w:id="33" w:name="page34"/>
    <w:bookmarkEnd w:id="33"/>
    <w:p>
      <w:pPr>
        <w:spacing w:after="0"/>
        <w:tabs>
          <w:tab w:leader="none" w:pos="7360" w:val="left"/>
        </w:tabs>
        <w:rPr>
          <w:sz w:val="20"/>
          <w:szCs w:val="20"/>
          <w:color w:val="auto"/>
        </w:rPr>
      </w:pPr>
      <w:r>
        <w:rPr>
          <w:rFonts w:ascii="Arial" w:cs="Arial" w:eastAsia="Arial" w:hAnsi="Arial"/>
          <w:sz w:val="14"/>
          <w:szCs w:val="14"/>
          <w:b w:val="1"/>
          <w:bCs w:val="1"/>
          <w:color w:val="auto"/>
        </w:rPr>
        <w:t>THIS PROXY WILL BE VOTED AS DIRECTED. IF NO DIRECTION IS</w:t>
      </w:r>
      <w:r>
        <w:rPr>
          <w:sz w:val="20"/>
          <w:szCs w:val="20"/>
          <w:color w:val="auto"/>
        </w:rPr>
        <w:tab/>
      </w:r>
      <w:r>
        <w:rPr>
          <w:rFonts w:ascii="Arial" w:cs="Arial" w:eastAsia="Arial" w:hAnsi="Arial"/>
          <w:sz w:val="26"/>
          <w:szCs w:val="26"/>
          <w:b w:val="1"/>
          <w:bCs w:val="1"/>
          <w:color w:val="auto"/>
          <w:vertAlign w:val="subscript"/>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0" w:lineRule="exact"/>
        <w:rPr>
          <w:sz w:val="20"/>
          <w:szCs w:val="20"/>
          <w:color w:val="auto"/>
        </w:rPr>
      </w:pPr>
    </w:p>
    <w:p>
      <w:pPr>
        <w:ind w:right="4200"/>
        <w:spacing w:after="0" w:line="297" w:lineRule="auto"/>
        <w:rPr>
          <w:sz w:val="20"/>
          <w:szCs w:val="20"/>
          <w:color w:val="auto"/>
        </w:rPr>
      </w:pPr>
      <w:r>
        <w:rPr>
          <w:rFonts w:ascii="Arial" w:cs="Arial" w:eastAsia="Arial" w:hAnsi="Arial"/>
          <w:sz w:val="12"/>
          <w:szCs w:val="12"/>
          <w:b w:val="1"/>
          <w:bCs w:val="1"/>
          <w:color w:val="auto"/>
        </w:rPr>
        <w:t>INDICATED FOR PROPOSALS 1, 2 AND 4, EACH PROPOSAL WILL BE VOTED “FOR” THE PROPOSAL AND FOR “EVERY YEAR” FOR PROPOSAL 3.</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0"/>
        </w:trPr>
        <w:tc>
          <w:tcPr>
            <w:tcW w:w="860" w:type="dxa"/>
            <w:vAlign w:val="bottom"/>
          </w:tcPr>
          <w:p>
            <w:pPr>
              <w:spacing w:after="0"/>
              <w:rPr>
                <w:sz w:val="20"/>
                <w:szCs w:val="20"/>
                <w:color w:val="auto"/>
              </w:rPr>
            </w:pPr>
            <w:r>
              <w:rPr>
                <w:rFonts w:ascii="Arial" w:cs="Arial" w:eastAsia="Arial" w:hAnsi="Arial"/>
                <w:sz w:val="14"/>
                <w:szCs w:val="14"/>
                <w:color w:val="auto"/>
              </w:rPr>
              <w:t>Please mark</w:t>
            </w:r>
          </w:p>
        </w:tc>
        <w:tc>
          <w:tcPr>
            <w:tcW w:w="580" w:type="dxa"/>
            <w:vAlign w:val="bottom"/>
            <w:vMerge w:val="restart"/>
          </w:tcPr>
          <w:p>
            <w:pPr>
              <w:ind w:left="18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your votes</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Arial" w:cs="Arial" w:eastAsia="Arial" w:hAnsi="Arial"/>
                <w:sz w:val="14"/>
                <w:szCs w:val="14"/>
                <w:color w:val="auto"/>
              </w:rPr>
              <w:t>like this</w:t>
            </w: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2">
            <w:col w:w="9160" w:space="720"/>
            <w:col w:w="1540"/>
          </w:cols>
          <w:pgMar w:left="240" w:top="39"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ELECTION OF DIRECTORS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recommends a vote “FOR” the listed nominees.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 FOR ALL  WITHHOLD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VOTE FOR</w:t>
            </w:r>
          </w:p>
        </w:tc>
        <w:tc>
          <w:tcPr>
            <w:tcW w:w="0" w:type="dxa"/>
            <w:vAlign w:val="bottom"/>
          </w:tcPr>
          <w:p>
            <w:pPr>
              <w:spacing w:after="0"/>
              <w:rPr>
                <w:sz w:val="1"/>
                <w:szCs w:val="1"/>
                <w:color w:val="auto"/>
              </w:rPr>
            </w:pPr>
          </w:p>
        </w:tc>
      </w:tr>
      <w:tr>
        <w:trPr>
          <w:trHeight w:val="149"/>
        </w:trPr>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9"/>
              </w:rPr>
              <w:t>NOMINEES</w:t>
            </w:r>
          </w:p>
        </w:tc>
        <w:tc>
          <w:tcPr>
            <w:tcW w:w="820" w:type="dxa"/>
            <w:vAlign w:val="bottom"/>
          </w:tcPr>
          <w:p>
            <w:pPr>
              <w:jc w:val="right"/>
              <w:ind w:right="185"/>
              <w:spacing w:after="0" w:line="149" w:lineRule="exact"/>
              <w:rPr>
                <w:sz w:val="20"/>
                <w:szCs w:val="20"/>
                <w:color w:val="auto"/>
              </w:rPr>
            </w:pPr>
            <w:r>
              <w:rPr>
                <w:rFonts w:ascii="Arial" w:cs="Arial" w:eastAsia="Arial" w:hAnsi="Arial"/>
                <w:sz w:val="14"/>
                <w:szCs w:val="14"/>
                <w:b w:val="1"/>
                <w:bCs w:val="1"/>
                <w:color w:val="auto"/>
              </w:rPr>
              <w:t>ALL</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ALL EXCEPT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(see instructions</w:t>
            </w:r>
          </w:p>
        </w:tc>
        <w:tc>
          <w:tcPr>
            <w:tcW w:w="0" w:type="dxa"/>
            <w:vAlign w:val="bottom"/>
          </w:tcPr>
          <w:p>
            <w:pPr>
              <w:spacing w:after="0"/>
              <w:rPr>
                <w:sz w:val="1"/>
                <w:szCs w:val="1"/>
                <w:color w:val="auto"/>
              </w:rPr>
            </w:pPr>
          </w:p>
        </w:tc>
      </w:tr>
      <w:tr>
        <w:trPr>
          <w:trHeight w:val="134"/>
        </w:trPr>
        <w:tc>
          <w:tcPr>
            <w:tcW w:w="1120" w:type="dxa"/>
            <w:vAlign w:val="bottom"/>
            <w:vMerge w:val="restart"/>
          </w:tcPr>
          <w:p>
            <w:pPr>
              <w:jc w:val="center"/>
              <w:ind w:right="21"/>
              <w:spacing w:after="0" w:line="321" w:lineRule="exact"/>
              <w:rPr>
                <w:sz w:val="20"/>
                <w:szCs w:val="20"/>
                <w:color w:val="auto"/>
              </w:rPr>
            </w:pPr>
            <w:r>
              <w:rPr>
                <w:rFonts w:ascii="MS PGothic" w:cs="MS PGothic" w:eastAsia="MS PGothic" w:hAnsi="MS PGothic"/>
                <w:sz w:val="32"/>
                <w:szCs w:val="32"/>
                <w:color w:val="auto"/>
                <w:w w:val="87"/>
              </w:rPr>
              <w:t>☐</w:t>
            </w:r>
          </w:p>
        </w:tc>
        <w:tc>
          <w:tcPr>
            <w:tcW w:w="820" w:type="dxa"/>
            <w:vAlign w:val="bottom"/>
            <w:vMerge w:val="restart"/>
          </w:tcPr>
          <w:p>
            <w:pPr>
              <w:jc w:val="right"/>
              <w:ind w:right="185"/>
              <w:spacing w:after="0" w:line="321" w:lineRule="exact"/>
              <w:rPr>
                <w:sz w:val="20"/>
                <w:szCs w:val="20"/>
                <w:color w:val="auto"/>
              </w:rPr>
            </w:pPr>
            <w:r>
              <w:rPr>
                <w:rFonts w:ascii="MS PGothic" w:cs="MS PGothic" w:eastAsia="MS PGothic" w:hAnsi="MS PGothic"/>
                <w:sz w:val="32"/>
                <w:szCs w:val="32"/>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below)</w:t>
            </w:r>
          </w:p>
        </w:tc>
        <w:tc>
          <w:tcPr>
            <w:tcW w:w="0" w:type="dxa"/>
            <w:vAlign w:val="bottom"/>
          </w:tcPr>
          <w:p>
            <w:pPr>
              <w:spacing w:after="0"/>
              <w:rPr>
                <w:sz w:val="1"/>
                <w:szCs w:val="1"/>
                <w:color w:val="auto"/>
              </w:rPr>
            </w:pPr>
          </w:p>
        </w:tc>
      </w:tr>
      <w:tr>
        <w:trPr>
          <w:trHeight w:val="511"/>
        </w:trPr>
        <w:tc>
          <w:tcPr>
            <w:tcW w:w="112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211" w:hanging="211"/>
        <w:spacing w:after="0" w:line="268" w:lineRule="auto"/>
        <w:tabs>
          <w:tab w:leader="none" w:pos="211"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A PROPOSAL TO VOTE ON A NON-BINDING ADVISORY RESOLUTION TO APPROVE THE COMPENSATION PAID TO THE COMPANY’S NAMED EXECUTIVE OFFICERS AS DISCLOSED IN THIS PROXY STATEMENT. The Board of Directors recommends that you vote “FOR” this proposal.</w:t>
      </w:r>
    </w:p>
    <w:p>
      <w:pPr>
        <w:spacing w:after="0" w:line="20" w:lineRule="exact"/>
        <w:rPr>
          <w:sz w:val="20"/>
          <w:szCs w:val="20"/>
          <w:color w:val="auto"/>
        </w:rPr>
      </w:pPr>
      <w:r>
        <w:rPr>
          <w:sz w:val="20"/>
          <w:szCs w:val="20"/>
          <w:color w:val="auto"/>
        </w:rPr>
        <w:br w:type="column"/>
      </w:r>
    </w:p>
    <w:p>
      <w:pPr>
        <w:ind w:left="20"/>
        <w:spacing w:after="0"/>
        <w:tabs>
          <w:tab w:leader="none" w:pos="600" w:val="left"/>
          <w:tab w:leader="none" w:pos="14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321" w:lineRule="exact"/>
        <w:tabs>
          <w:tab w:leader="none" w:pos="760" w:val="left"/>
          <w:tab w:leader="none" w:pos="158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670" w:lineRule="exact"/>
        <w:rPr>
          <w:sz w:val="20"/>
          <w:szCs w:val="20"/>
          <w:color w:val="auto"/>
        </w:rPr>
      </w:pPr>
    </w:p>
    <w:p>
      <w:pPr>
        <w:sectPr>
          <w:pgSz w:w="11900" w:h="16838" w:orient="portrait"/>
          <w:cols w:equalWidth="0" w:num="4">
            <w:col w:w="2740" w:space="360"/>
            <w:col w:w="2920" w:space="109"/>
            <w:col w:w="3051" w:space="200"/>
            <w:col w:w="2040"/>
          </w:cols>
          <w:pgMar w:left="240" w:top="39" w:right="2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To withhold authority to vote for any individual nominee, strike a line through that nominee’s name below:</w:t>
      </w:r>
    </w:p>
    <w:p>
      <w:pPr>
        <w:sectPr>
          <w:pgSz w:w="11900" w:h="16838" w:orient="portrait"/>
          <w:cols w:equalWidth="0" w:num="1">
            <w:col w:w="11420"/>
          </w:cols>
          <w:pgMar w:left="240" w:top="39" w:right="239" w:bottom="1440" w:gutter="0" w:footer="0" w:header="0"/>
          <w:type w:val="continuous"/>
        </w:sectPr>
      </w:pPr>
    </w:p>
    <w:p>
      <w:pPr>
        <w:spacing w:after="0" w:line="296"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Gilbert F. Amelio, Ph.D.</w:t>
      </w:r>
    </w:p>
    <w:p>
      <w:pPr>
        <w:spacing w:after="0" w:line="22" w:lineRule="exact"/>
        <w:rPr>
          <w:rFonts w:ascii="Arial" w:cs="Arial" w:eastAsia="Arial" w:hAnsi="Arial"/>
          <w:sz w:val="12"/>
          <w:szCs w:val="12"/>
          <w:color w:val="auto"/>
        </w:rPr>
      </w:pP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Kevin D. Freeman</w:t>
      </w: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Rod D. Martin</w:t>
      </w: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John Mauldin</w:t>
      </w: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Steven Prelack</w:t>
      </w: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 Paul Pressler</w:t>
      </w:r>
    </w:p>
    <w:p>
      <w:pPr>
        <w:ind w:left="140" w:hanging="132"/>
        <w:spacing w:after="0" w:line="221" w:lineRule="auto"/>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Marc Rubin, M.D.</w:t>
      </w:r>
    </w:p>
    <w:p>
      <w:pPr>
        <w:ind w:left="140" w:hanging="132"/>
        <w:spacing w:after="0"/>
        <w:tabs>
          <w:tab w:leader="none" w:pos="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Peter G. Traber, M.D.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07" w:right="300" w:hanging="207"/>
        <w:spacing w:after="0" w:line="266" w:lineRule="auto"/>
        <w:tabs>
          <w:tab w:leader="none" w:pos="207"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A PROPOSAL TO VOTE ON A NON-BINDING ADVISORY RESOLUTION TO APPROVE THE FREQUENCY OF THE APPROVAL OF THE COMPENSATION PAID TO THE COMPANY’S NAMED EXECUTIVE OFFICERS. The Board of Directors recommends that you vote for the frequency to be “EVERY YEAR” for this proposal.</w:t>
      </w:r>
    </w:p>
    <w:p>
      <w:pPr>
        <w:spacing w:after="0" w:line="298" w:lineRule="exact"/>
        <w:rPr>
          <w:rFonts w:ascii="Arial" w:cs="Arial" w:eastAsia="Arial" w:hAnsi="Arial"/>
          <w:sz w:val="12"/>
          <w:szCs w:val="12"/>
          <w:b w:val="1"/>
          <w:bCs w:val="1"/>
          <w:color w:val="auto"/>
        </w:rPr>
      </w:pPr>
    </w:p>
    <w:p>
      <w:pPr>
        <w:ind w:left="207" w:right="120" w:hanging="207"/>
        <w:spacing w:after="0" w:line="268" w:lineRule="auto"/>
        <w:tabs>
          <w:tab w:leader="none" w:pos="207"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A PROPOSAL TO RATIFY THE APPOINTMENT OF MCGLADREY LLP AS THE INDEPENDENT REGISTERED PUBLIC ACCOUNTING FIRM TO AUDIT THE FINANCIAL STATEMENTS FOR THE 2013 FISCAL YEAR. The Board of Directors recommends a vote “FOR” this proposal</w:t>
      </w:r>
    </w:p>
    <w:p>
      <w:pPr>
        <w:spacing w:after="0" w:line="71" w:lineRule="exact"/>
        <w:rPr>
          <w:rFonts w:ascii="Arial" w:cs="Arial" w:eastAsia="Arial" w:hAnsi="Arial"/>
          <w:sz w:val="12"/>
          <w:szCs w:val="12"/>
          <w:b w:val="1"/>
          <w:bCs w:val="1"/>
          <w:color w:val="auto"/>
        </w:rPr>
      </w:pPr>
    </w:p>
    <w:p>
      <w:pPr>
        <w:jc w:val="both"/>
        <w:ind w:left="207" w:right="240" w:hanging="207"/>
        <w:spacing w:after="0" w:line="288" w:lineRule="auto"/>
        <w:tabs>
          <w:tab w:leader="none" w:pos="207"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their discretion, the proxies are authorized to vote upon such other business as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47"/>
        <w:spacing w:after="0"/>
        <w:rPr>
          <w:sz w:val="20"/>
          <w:szCs w:val="20"/>
          <w:color w:val="auto"/>
        </w:rPr>
      </w:pPr>
      <w:r>
        <w:rPr>
          <w:rFonts w:ascii="Arial" w:cs="Arial" w:eastAsia="Arial" w:hAnsi="Arial"/>
          <w:sz w:val="14"/>
          <w:szCs w:val="14"/>
          <w:b w:val="1"/>
          <w:bCs w:val="1"/>
          <w:color w:val="auto"/>
        </w:rPr>
        <w:t>COMPANY ID:</w:t>
      </w:r>
    </w:p>
    <w:p>
      <w:pPr>
        <w:spacing w:after="0" w:line="312" w:lineRule="exact"/>
        <w:rPr>
          <w:sz w:val="20"/>
          <w:szCs w:val="20"/>
          <w:color w:val="auto"/>
        </w:rPr>
      </w:pPr>
    </w:p>
    <w:p>
      <w:pPr>
        <w:ind w:left="1707"/>
        <w:spacing w:after="0"/>
        <w:rPr>
          <w:sz w:val="20"/>
          <w:szCs w:val="20"/>
          <w:color w:val="auto"/>
        </w:rPr>
      </w:pPr>
      <w:r>
        <w:rPr>
          <w:rFonts w:ascii="Arial" w:cs="Arial" w:eastAsia="Arial" w:hAnsi="Arial"/>
          <w:sz w:val="14"/>
          <w:szCs w:val="14"/>
          <w:b w:val="1"/>
          <w:bCs w:val="1"/>
          <w:color w:val="auto"/>
        </w:rPr>
        <w:t>PROXY NUMBER:</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ACCOUNT NUMBER: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tabs>
          <w:tab w:leader="none" w:pos="560" w:val="left"/>
          <w:tab w:leader="none" w:pos="1560" w:val="left"/>
        </w:tabs>
        <w:rPr>
          <w:sz w:val="20"/>
          <w:szCs w:val="20"/>
          <w:color w:val="auto"/>
        </w:rPr>
      </w:pPr>
      <w:r>
        <w:rPr>
          <w:rFonts w:ascii="Arial" w:cs="Arial" w:eastAsia="Arial" w:hAnsi="Arial"/>
          <w:sz w:val="14"/>
          <w:szCs w:val="14"/>
          <w:b w:val="1"/>
          <w:bCs w:val="1"/>
          <w:color w:val="auto"/>
        </w:rPr>
        <w:t>EVERY</w:t>
        <w:tab/>
        <w:t>EVERY TWO</w:t>
        <w:tab/>
        <w:t>EVERY</w:t>
      </w:r>
    </w:p>
    <w:tbl>
      <w:tblPr>
        <w:tblLayout w:type="fixed"/>
        <w:tblInd w:w="40" w:type="dxa"/>
        <w:tblCellMar>
          <w:top w:w="0" w:type="dxa"/>
          <w:left w:w="0" w:type="dxa"/>
          <w:bottom w:w="0" w:type="dxa"/>
          <w:right w:w="0" w:type="dxa"/>
        </w:tblCellMar>
      </w:tblPr>
      <w:tr>
        <w:trPr>
          <w:trHeight w:val="122"/>
        </w:trPr>
        <w:tc>
          <w:tcPr>
            <w:tcW w:w="520" w:type="dxa"/>
            <w:vAlign w:val="bottom"/>
          </w:tcPr>
          <w:p>
            <w:pPr>
              <w:spacing w:after="0" w:line="122" w:lineRule="exact"/>
              <w:rPr>
                <w:sz w:val="20"/>
                <w:szCs w:val="20"/>
                <w:color w:val="auto"/>
              </w:rPr>
            </w:pPr>
            <w:r>
              <w:rPr>
                <w:rFonts w:ascii="Arial" w:cs="Arial" w:eastAsia="Arial" w:hAnsi="Arial"/>
                <w:sz w:val="14"/>
                <w:szCs w:val="14"/>
                <w:b w:val="1"/>
                <w:bCs w:val="1"/>
                <w:color w:val="auto"/>
              </w:rPr>
              <w:t>YEAR</w:t>
            </w:r>
          </w:p>
        </w:tc>
        <w:tc>
          <w:tcPr>
            <w:tcW w:w="8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1"/>
              </w:rPr>
              <w:t>YEARS</w:t>
            </w:r>
          </w:p>
        </w:tc>
        <w:tc>
          <w:tcPr>
            <w:tcW w:w="7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THREE</w:t>
            </w:r>
          </w:p>
        </w:tc>
      </w:tr>
      <w:tr>
        <w:trPr>
          <w:trHeight w:val="172"/>
        </w:trPr>
        <w:tc>
          <w:tcPr>
            <w:tcW w:w="520" w:type="dxa"/>
            <w:vAlign w:val="bottom"/>
          </w:tcPr>
          <w:p>
            <w:pPr>
              <w:ind w:left="40"/>
              <w:spacing w:after="0" w:line="172" w:lineRule="exact"/>
              <w:rPr>
                <w:sz w:val="20"/>
                <w:szCs w:val="20"/>
                <w:color w:val="auto"/>
              </w:rPr>
            </w:pPr>
            <w:r>
              <w:rPr>
                <w:rFonts w:ascii="MS PGothic" w:cs="MS PGothic" w:eastAsia="MS PGothic" w:hAnsi="MS PGothic"/>
                <w:sz w:val="22"/>
                <w:szCs w:val="22"/>
                <w:color w:val="auto"/>
              </w:rPr>
              <w:t>☐</w:t>
            </w:r>
          </w:p>
        </w:tc>
        <w:tc>
          <w:tcPr>
            <w:tcW w:w="860" w:type="dxa"/>
            <w:vAlign w:val="bottom"/>
          </w:tcPr>
          <w:p>
            <w:pPr>
              <w:jc w:val="center"/>
              <w:spacing w:after="0" w:line="172" w:lineRule="exact"/>
              <w:rPr>
                <w:sz w:val="20"/>
                <w:szCs w:val="20"/>
                <w:color w:val="auto"/>
              </w:rPr>
            </w:pPr>
            <w:r>
              <w:rPr>
                <w:rFonts w:ascii="MS PGothic" w:cs="MS PGothic" w:eastAsia="MS PGothic" w:hAnsi="MS PGothic"/>
                <w:sz w:val="22"/>
                <w:szCs w:val="22"/>
                <w:color w:val="auto"/>
              </w:rPr>
              <w:t>☐</w:t>
            </w:r>
          </w:p>
        </w:tc>
        <w:tc>
          <w:tcPr>
            <w:tcW w:w="700" w:type="dxa"/>
            <w:vAlign w:val="bottom"/>
          </w:tcPr>
          <w:p>
            <w:pPr>
              <w:jc w:val="center"/>
              <w:ind w:left="12"/>
              <w:spacing w:after="0"/>
              <w:rPr>
                <w:sz w:val="20"/>
                <w:szCs w:val="20"/>
                <w:color w:val="auto"/>
              </w:rPr>
            </w:pPr>
            <w:r>
              <w:rPr>
                <w:rFonts w:ascii="Arial" w:cs="Arial" w:eastAsia="Arial" w:hAnsi="Arial"/>
                <w:sz w:val="14"/>
                <w:szCs w:val="14"/>
                <w:b w:val="1"/>
                <w:bCs w:val="1"/>
                <w:color w:val="auto"/>
                <w:w w:val="95"/>
              </w:rPr>
              <w:t>YEARS</w:t>
            </w:r>
          </w:p>
        </w:tc>
      </w:tr>
      <w:tr>
        <w:trPr>
          <w:trHeight w:val="511"/>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r>
      <w:tr>
        <w:trPr>
          <w:trHeight w:val="195"/>
        </w:trPr>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r>
      <w:tr>
        <w:trPr>
          <w:trHeight w:val="511"/>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r>
      <w:tr>
        <w:trPr>
          <w:trHeight w:val="137"/>
        </w:trPr>
        <w:tc>
          <w:tcPr>
            <w:tcW w:w="520" w:type="dxa"/>
            <w:vAlign w:val="bottom"/>
          </w:tcPr>
          <w:p>
            <w:pPr>
              <w:ind w:left="60"/>
              <w:spacing w:after="0" w:line="137" w:lineRule="exact"/>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5"/>
              </w:rPr>
              <w:t>AGAINST</w:t>
            </w:r>
          </w:p>
        </w:tc>
        <w:tc>
          <w:tcPr>
            <w:tcW w:w="7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6"/>
              </w:rPr>
              <w:t>ABSTAIN</w:t>
            </w:r>
          </w:p>
        </w:tc>
      </w:tr>
      <w:tr>
        <w:trPr>
          <w:trHeight w:val="511"/>
        </w:trPr>
        <w:tc>
          <w:tcPr>
            <w:tcW w:w="520" w:type="dxa"/>
            <w:vAlign w:val="bottom"/>
          </w:tcPr>
          <w:p>
            <w:pPr>
              <w:ind w:left="40"/>
              <w:spacing w:after="0" w:line="321" w:lineRule="exact"/>
              <w:rPr>
                <w:sz w:val="20"/>
                <w:szCs w:val="20"/>
                <w:color w:val="auto"/>
              </w:rPr>
            </w:pPr>
            <w:r>
              <w:rPr>
                <w:rFonts w:ascii="MS PGothic" w:cs="MS PGothic" w:eastAsia="MS PGothic" w:hAnsi="MS PGothic"/>
                <w:sz w:val="32"/>
                <w:szCs w:val="32"/>
                <w:color w:val="auto"/>
              </w:rPr>
              <w:t>☐</w:t>
            </w:r>
          </w:p>
        </w:tc>
        <w:tc>
          <w:tcPr>
            <w:tcW w:w="86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7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r>
    </w:tbl>
    <w:p>
      <w:pPr>
        <w:spacing w:after="0" w:line="3483" w:lineRule="exact"/>
        <w:rPr>
          <w:sz w:val="20"/>
          <w:szCs w:val="20"/>
          <w:color w:val="auto"/>
        </w:rPr>
      </w:pPr>
    </w:p>
    <w:p>
      <w:pPr>
        <w:sectPr>
          <w:pgSz w:w="11900" w:h="16838" w:orient="portrait"/>
          <w:cols w:equalWidth="0" w:num="3">
            <w:col w:w="5413" w:space="720"/>
            <w:col w:w="3007" w:space="160"/>
            <w:col w:w="2120"/>
          </w:cols>
          <w:pgMar w:left="240" w:top="39"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tabs>
          <w:tab w:leader="none" w:pos="3560" w:val="left"/>
          <w:tab w:leader="none" w:pos="7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 (if joint):</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44424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6350</wp:posOffset>
            </wp:positionV>
            <wp:extent cx="1732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0360" w:space="720"/>
            <w:col w:w="340"/>
          </w:cols>
          <w:pgMar w:left="240" w:top="39" w:right="239" w:bottom="1440" w:gutter="0" w:footer="0" w:header="0"/>
          <w:type w:val="continuous"/>
        </w:sectPr>
      </w:pPr>
    </w:p>
    <w:p>
      <w:pPr>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5"/>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1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Roman"/>
      <w:start w:val="3"/>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2019-12-07T02:23:29Z</dcterms:created>
  <dcterms:modified xsi:type="dcterms:W3CDTF">2019-12-07T02:23:29Z</dcterms:modified>
</cp:coreProperties>
</file>