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4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4620" w:type="dxa"/>
            <w:vAlign w:val="bottom"/>
            <w:gridSpan w:val="3"/>
          </w:tcPr>
          <w:p>
            <w:pPr>
              <w:ind w:left="2240"/>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385"/>
        </w:trPr>
        <w:tc>
          <w:tcPr>
            <w:tcW w:w="3240" w:type="dxa"/>
            <w:vAlign w:val="bottom"/>
          </w:tcPr>
          <w:p>
            <w:pPr>
              <w:spacing w:after="0"/>
              <w:rPr>
                <w:sz w:val="24"/>
                <w:szCs w:val="24"/>
                <w:color w:val="auto"/>
              </w:rPr>
            </w:pPr>
          </w:p>
        </w:tc>
        <w:tc>
          <w:tcPr>
            <w:tcW w:w="4720" w:type="dxa"/>
            <w:vAlign w:val="bottom"/>
            <w:gridSpan w:val="8"/>
          </w:tcPr>
          <w:p>
            <w:pPr>
              <w:jc w:val="center"/>
              <w:ind w:right="2228"/>
              <w:spacing w:after="0"/>
              <w:rPr>
                <w:sz w:val="20"/>
                <w:szCs w:val="20"/>
                <w:color w:val="auto"/>
              </w:rPr>
            </w:pPr>
            <w:r>
              <w:rPr>
                <w:rFonts w:ascii="Arial" w:cs="Arial" w:eastAsia="Arial" w:hAnsi="Arial"/>
                <w:sz w:val="18"/>
                <w:szCs w:val="18"/>
                <w:b w:val="1"/>
                <w:bCs w:val="1"/>
                <w:color w:val="auto"/>
                <w:w w:val="89"/>
              </w:rPr>
              <w:t>Commission File No. 001-31791</w:t>
            </w:r>
          </w:p>
        </w:tc>
      </w:tr>
      <w:tr>
        <w:trPr>
          <w:trHeight w:val="189"/>
        </w:trPr>
        <w:tc>
          <w:tcPr>
            <w:tcW w:w="3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23"/>
        </w:trPr>
        <w:tc>
          <w:tcPr>
            <w:tcW w:w="7960" w:type="dxa"/>
            <w:vAlign w:val="bottom"/>
            <w:gridSpan w:val="9"/>
          </w:tcPr>
          <w:p>
            <w:pPr>
              <w:jc w:val="center"/>
              <w:ind w:left="842"/>
              <w:spacing w:after="0"/>
              <w:rPr>
                <w:sz w:val="20"/>
                <w:szCs w:val="20"/>
                <w:color w:val="auto"/>
              </w:rPr>
            </w:pPr>
            <w:r>
              <w:rPr>
                <w:rFonts w:ascii="Arial" w:cs="Arial" w:eastAsia="Arial" w:hAnsi="Arial"/>
                <w:sz w:val="43"/>
                <w:szCs w:val="43"/>
                <w:b w:val="1"/>
                <w:bCs w:val="1"/>
                <w:color w:val="auto"/>
              </w:rPr>
              <w:t>GALECTIN THERAPEUTICS INC.</w:t>
            </w:r>
          </w:p>
        </w:tc>
      </w:tr>
      <w:tr>
        <w:trPr>
          <w:trHeight w:val="140"/>
        </w:trPr>
        <w:tc>
          <w:tcPr>
            <w:tcW w:w="3260" w:type="dxa"/>
            <w:vAlign w:val="bottom"/>
            <w:gridSpan w:val="2"/>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4"/>
        </w:trPr>
        <w:tc>
          <w:tcPr>
            <w:tcW w:w="5520" w:type="dxa"/>
            <w:vAlign w:val="bottom"/>
            <w:gridSpan w:val="4"/>
          </w:tcPr>
          <w:p>
            <w:pPr>
              <w:jc w:val="center"/>
              <w:ind w:right="2260"/>
              <w:spacing w:after="0"/>
              <w:rPr>
                <w:sz w:val="20"/>
                <w:szCs w:val="20"/>
                <w:color w:val="auto"/>
              </w:rPr>
            </w:pPr>
            <w:r>
              <w:rPr>
                <w:rFonts w:ascii="Arial" w:cs="Arial" w:eastAsia="Arial" w:hAnsi="Arial"/>
                <w:sz w:val="18"/>
                <w:szCs w:val="18"/>
                <w:b w:val="1"/>
                <w:bCs w:val="1"/>
                <w:color w:val="auto"/>
                <w:w w:val="90"/>
              </w:rPr>
              <w:t>Nevada</w:t>
            </w:r>
          </w:p>
        </w:tc>
        <w:tc>
          <w:tcPr>
            <w:tcW w:w="2440" w:type="dxa"/>
            <w:vAlign w:val="bottom"/>
            <w:gridSpan w:val="5"/>
          </w:tcPr>
          <w:p>
            <w:pPr>
              <w:jc w:val="right"/>
              <w:ind w:right="68"/>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5520" w:type="dxa"/>
            <w:vAlign w:val="bottom"/>
            <w:gridSpan w:val="4"/>
          </w:tcPr>
          <w:p>
            <w:pPr>
              <w:jc w:val="center"/>
              <w:ind w:right="224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520" w:type="dxa"/>
            <w:vAlign w:val="bottom"/>
            <w:gridSpan w:val="4"/>
          </w:tcPr>
          <w:p>
            <w:pPr>
              <w:jc w:val="center"/>
              <w:ind w:right="2260"/>
              <w:spacing w:after="0"/>
              <w:rPr>
                <w:sz w:val="20"/>
                <w:szCs w:val="20"/>
                <w:color w:val="auto"/>
              </w:rPr>
            </w:pPr>
            <w:r>
              <w:rPr>
                <w:rFonts w:ascii="Arial" w:cs="Arial" w:eastAsia="Arial" w:hAnsi="Arial"/>
                <w:sz w:val="14"/>
                <w:szCs w:val="14"/>
                <w:b w:val="1"/>
                <w:bCs w:val="1"/>
                <w:color w:val="auto"/>
                <w:w w:val="94"/>
              </w:rPr>
              <w:t>of incorporation)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5520" w:type="dxa"/>
            <w:vAlign w:val="bottom"/>
            <w:gridSpan w:val="4"/>
          </w:tcPr>
          <w:p>
            <w:pPr>
              <w:jc w:val="center"/>
              <w:ind w:right="2260"/>
              <w:spacing w:after="0"/>
              <w:rPr>
                <w:sz w:val="20"/>
                <w:szCs w:val="20"/>
                <w:color w:val="auto"/>
              </w:rPr>
            </w:pPr>
            <w:r>
              <w:rPr>
                <w:rFonts w:ascii="Arial" w:cs="Arial" w:eastAsia="Arial" w:hAnsi="Arial"/>
                <w:sz w:val="18"/>
                <w:szCs w:val="18"/>
                <w:b w:val="1"/>
                <w:bCs w:val="1"/>
                <w:color w:val="auto"/>
                <w:w w:val="90"/>
              </w:rPr>
              <w:t>4960 Peachtree Industrial Blvd., Suite 240,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5"/>
        </w:trPr>
        <w:tc>
          <w:tcPr>
            <w:tcW w:w="5520" w:type="dxa"/>
            <w:vAlign w:val="bottom"/>
            <w:gridSpan w:val="4"/>
          </w:tcPr>
          <w:p>
            <w:pPr>
              <w:jc w:val="center"/>
              <w:ind w:right="2260"/>
              <w:spacing w:after="0"/>
              <w:rPr>
                <w:sz w:val="20"/>
                <w:szCs w:val="20"/>
                <w:color w:val="auto"/>
              </w:rPr>
            </w:pPr>
            <w:r>
              <w:rPr>
                <w:rFonts w:ascii="Arial" w:cs="Arial" w:eastAsia="Arial" w:hAnsi="Arial"/>
                <w:sz w:val="18"/>
                <w:szCs w:val="18"/>
                <w:b w:val="1"/>
                <w:bCs w:val="1"/>
                <w:color w:val="auto"/>
                <w:w w:val="91"/>
              </w:rPr>
              <w:t>Norcross, GA</w:t>
            </w:r>
          </w:p>
        </w:tc>
        <w:tc>
          <w:tcPr>
            <w:tcW w:w="2440" w:type="dxa"/>
            <w:vAlign w:val="bottom"/>
            <w:gridSpan w:val="5"/>
          </w:tcPr>
          <w:p>
            <w:pPr>
              <w:jc w:val="right"/>
              <w:ind w:right="268"/>
              <w:spacing w:after="0"/>
              <w:rPr>
                <w:sz w:val="20"/>
                <w:szCs w:val="20"/>
                <w:color w:val="auto"/>
              </w:rPr>
            </w:pPr>
            <w:r>
              <w:rPr>
                <w:rFonts w:ascii="Arial" w:cs="Arial" w:eastAsia="Arial" w:hAnsi="Arial"/>
                <w:sz w:val="18"/>
                <w:szCs w:val="18"/>
                <w:b w:val="1"/>
                <w:bCs w:val="1"/>
                <w:color w:val="auto"/>
              </w:rPr>
              <w:t>30071</w:t>
            </w:r>
          </w:p>
        </w:tc>
      </w:tr>
      <w:tr>
        <w:trPr>
          <w:trHeight w:val="186"/>
        </w:trPr>
        <w:tc>
          <w:tcPr>
            <w:tcW w:w="5520" w:type="dxa"/>
            <w:vAlign w:val="bottom"/>
            <w:gridSpan w:val="4"/>
          </w:tcPr>
          <w:p>
            <w:pPr>
              <w:jc w:val="center"/>
              <w:ind w:right="226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w w:val="95"/>
              </w:rPr>
              <w:t>(Zip Code)</w:t>
            </w:r>
          </w:p>
        </w:tc>
      </w:tr>
      <w:tr>
        <w:trPr>
          <w:trHeight w:val="235"/>
        </w:trPr>
        <w:tc>
          <w:tcPr>
            <w:tcW w:w="5520" w:type="dxa"/>
            <w:vAlign w:val="bottom"/>
            <w:gridSpan w:val="4"/>
          </w:tcPr>
          <w:p>
            <w:pPr>
              <w:jc w:val="center"/>
              <w:ind w:left="3302"/>
              <w:spacing w:after="0"/>
              <w:rPr>
                <w:sz w:val="20"/>
                <w:szCs w:val="20"/>
                <w:color w:val="auto"/>
              </w:rPr>
            </w:pPr>
            <w:r>
              <w:rPr>
                <w:rFonts w:ascii="Arial" w:cs="Arial" w:eastAsia="Arial" w:hAnsi="Arial"/>
                <w:sz w:val="18"/>
                <w:szCs w:val="18"/>
                <w:b w:val="1"/>
                <w:bCs w:val="1"/>
                <w:color w:val="auto"/>
                <w:w w:val="90"/>
              </w:rPr>
              <w:t>(678) 620-3186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jc w:val="both"/>
        <w:ind w:right="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ind w:left="136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5160" w:type="dxa"/>
            <w:vAlign w:val="bottom"/>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00" w:type="dxa"/>
            <w:vAlign w:val="bottom"/>
          </w:tcPr>
          <w:p>
            <w:pPr>
              <w:ind w:left="136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0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1900"/>
        <w:spacing w:after="0" w:line="31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The number of shares outstanding of the registrant’s common stock as of November 3, 2017 was 35,638,698.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40" w:type="dxa"/>
            <w:vAlign w:val="bottom"/>
            <w:gridSpan w:val="8"/>
            <w:vMerge w:val="restart"/>
          </w:tcPr>
          <w:p>
            <w:pPr>
              <w:jc w:val="center"/>
              <w:ind w:right="2560"/>
              <w:spacing w:after="0"/>
              <w:rPr>
                <w:sz w:val="20"/>
                <w:szCs w:val="20"/>
                <w:color w:val="auto"/>
              </w:rPr>
            </w:pPr>
            <w:r>
              <w:rPr>
                <w:rFonts w:ascii="Arial" w:cs="Arial" w:eastAsia="Arial" w:hAnsi="Arial"/>
                <w:sz w:val="18"/>
                <w:szCs w:val="18"/>
                <w:b w:val="1"/>
                <w:bCs w:val="1"/>
                <w:color w:val="auto"/>
              </w:rPr>
              <w:t>PART I — 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40" w:type="dxa"/>
            <w:vAlign w:val="bottom"/>
            <w:gridSpan w:val="8"/>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gridSpan w:val="15"/>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980" w:type="dxa"/>
            <w:vAlign w:val="bottom"/>
            <w:gridSpan w:val="15"/>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2017 and December 31, 2016 (unaudited)</w:t>
              </w:r>
            </w:hyperlink>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Operations for the Three and Nine Months Ended September 30, 2017 and 2016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 2017 and 2016 (unaudited)</w:t>
              </w:r>
            </w:hyperlink>
          </w:p>
        </w:tc>
        <w:tc>
          <w:tcPr>
            <w:tcW w:w="7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8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518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980" w:type="dxa"/>
            <w:vAlign w:val="bottom"/>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352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98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gridSpan w:val="8"/>
          </w:tcPr>
          <w:p>
            <w:pPr>
              <w:jc w:val="center"/>
              <w:ind w:right="2560"/>
              <w:spacing w:after="0"/>
              <w:rPr>
                <w:sz w:val="20"/>
                <w:szCs w:val="20"/>
                <w:color w:val="auto"/>
              </w:rPr>
            </w:pPr>
            <w:r>
              <w:rPr>
                <w:rFonts w:ascii="Arial" w:cs="Arial" w:eastAsia="Arial" w:hAnsi="Arial"/>
                <w:sz w:val="18"/>
                <w:szCs w:val="18"/>
                <w:b w:val="1"/>
                <w:bCs w:val="1"/>
                <w:color w:val="auto"/>
              </w:rPr>
              <w:t>PART II — OTHER 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64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Unregistered Sales of Equity Securities and Use of Proceeds</w:t>
              </w:r>
            </w:hyperlink>
          </w:p>
        </w:tc>
        <w:tc>
          <w:tcPr>
            <w:tcW w:w="562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Defaults Upon Senior Securities</w:t>
              </w:r>
            </w:hyperlink>
          </w:p>
        </w:tc>
        <w:tc>
          <w:tcPr>
            <w:tcW w:w="76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Mine Safety Disclosures</w:t>
              </w:r>
            </w:hyperlink>
          </w:p>
        </w:tc>
        <w:tc>
          <w:tcPr>
            <w:tcW w:w="820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980" w:type="dxa"/>
            <w:vAlign w:val="bottom"/>
            <w:gridSpan w:val="1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866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38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8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85"/>
        </w:trPr>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700" w:type="dxa"/>
            <w:vAlign w:val="bottom"/>
            <w:gridSpan w:val="9"/>
          </w:tcPr>
          <w:p>
            <w:pPr>
              <w:jc w:val="right"/>
              <w:ind w:right="40"/>
              <w:spacing w:after="0"/>
              <w:rPr>
                <w:sz w:val="20"/>
                <w:szCs w:val="20"/>
                <w:color w:val="auto"/>
              </w:rPr>
            </w:pPr>
            <w:r>
              <w:rPr>
                <w:rFonts w:ascii="Arial" w:cs="Arial" w:eastAsia="Arial" w:hAnsi="Arial"/>
                <w:sz w:val="18"/>
                <w:szCs w:val="18"/>
                <w:color w:val="auto"/>
              </w:rPr>
              <w:t>2</w:t>
            </w: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ind w:left="5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7,011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15,794</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15,795</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89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60" w:type="dxa"/>
            <w:vAlign w:val="bottom"/>
          </w:tcPr>
          <w:p>
            <w:pPr>
              <w:ind w:left="16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4,175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4,341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980" w:type="dxa"/>
            <w:vAlign w:val="bottom"/>
            <w:gridSpan w:val="2"/>
          </w:tcPr>
          <w:p>
            <w:pPr>
              <w:spacing w:after="0"/>
              <w:rPr>
                <w:sz w:val="20"/>
                <w:szCs w:val="20"/>
                <w:color w:val="auto"/>
              </w:rPr>
            </w:pPr>
            <w:r>
              <w:rPr>
                <w:rFonts w:ascii="Arial" w:cs="Arial" w:eastAsia="Arial" w:hAnsi="Arial"/>
                <w:sz w:val="18"/>
                <w:szCs w:val="18"/>
                <w:color w:val="auto"/>
                <w:w w:val="97"/>
              </w:rPr>
              <w:t>Series C super dividend convertible preferred stock; 1,000 shares authorized, 176 shares issued and outstanding at</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60"/>
              <w:spacing w:after="0"/>
              <w:rPr>
                <w:sz w:val="20"/>
                <w:szCs w:val="20"/>
                <w:color w:val="auto"/>
              </w:rPr>
            </w:pPr>
            <w:r>
              <w:rPr>
                <w:rFonts w:ascii="Arial" w:cs="Arial" w:eastAsia="Arial" w:hAnsi="Arial"/>
                <w:sz w:val="18"/>
                <w:szCs w:val="18"/>
                <w:color w:val="auto"/>
              </w:rPr>
              <w:t>September 30, 2017 and December 31, 2016, redemption value: $7,130,000, liquidation value: $1,760,000 at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160"/>
              <w:spacing w:after="0"/>
              <w:rPr>
                <w:sz w:val="20"/>
                <w:szCs w:val="20"/>
                <w:color w:val="auto"/>
              </w:rPr>
            </w:pPr>
            <w:r>
              <w:rPr>
                <w:rFonts w:ascii="Arial" w:cs="Arial" w:eastAsia="Arial" w:hAnsi="Arial"/>
                <w:sz w:val="18"/>
                <w:szCs w:val="18"/>
                <w:color w:val="auto"/>
              </w:rPr>
              <w:t>September 30, 2017</w:t>
            </w:r>
          </w:p>
        </w:tc>
        <w:tc>
          <w:tcPr>
            <w:tcW w:w="16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1,723</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700"/>
              <w:spacing w:after="0" w:line="201" w:lineRule="exact"/>
              <w:rPr>
                <w:sz w:val="20"/>
                <w:szCs w:val="20"/>
                <w:color w:val="auto"/>
              </w:rPr>
            </w:pPr>
            <w:r>
              <w:rPr>
                <w:rFonts w:ascii="Arial" w:cs="Arial" w:eastAsia="Arial" w:hAnsi="Arial"/>
                <w:sz w:val="18"/>
                <w:szCs w:val="18"/>
                <w:color w:val="auto"/>
                <w:w w:val="95"/>
              </w:rPr>
              <w:t>Undesignated stock, $0.01 par value; 20,000,000 shares authorized, 20,000,000 and 14,001,000 designated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880"/>
              <w:spacing w:after="0"/>
              <w:rPr>
                <w:sz w:val="20"/>
                <w:szCs w:val="20"/>
                <w:color w:val="auto"/>
              </w:rPr>
            </w:pPr>
            <w:r>
              <w:rPr>
                <w:rFonts w:ascii="Arial" w:cs="Arial" w:eastAsia="Arial" w:hAnsi="Arial"/>
                <w:sz w:val="18"/>
                <w:szCs w:val="18"/>
                <w:color w:val="auto"/>
              </w:rPr>
              <w:t>at September 30, 2017 and December 31, 2016, respectively</w:t>
            </w:r>
          </w:p>
        </w:tc>
        <w:tc>
          <w:tcPr>
            <w:tcW w:w="16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7"/>
              </w:rPr>
              <w:t>Series A 12% convertible preferred stock; 1,742,500 shares authorized, 1,377,500 issued and outstanding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at September 30, 2017 and December 31, 2016, liquidation value $1,377,500 at September 30, 2017</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700"/>
              <w:spacing w:after="0" w:line="201" w:lineRule="exact"/>
              <w:rPr>
                <w:sz w:val="20"/>
                <w:szCs w:val="20"/>
                <w:color w:val="auto"/>
              </w:rPr>
            </w:pPr>
            <w:r>
              <w:rPr>
                <w:rFonts w:ascii="Arial" w:cs="Arial" w:eastAsia="Arial" w:hAnsi="Arial"/>
                <w:sz w:val="18"/>
                <w:szCs w:val="18"/>
                <w:color w:val="auto"/>
              </w:rPr>
              <w:t>Series B-1 12% convertible preferred stock; 900,000 shares authorized, issued and outstanding at</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880"/>
              <w:spacing w:after="0"/>
              <w:rPr>
                <w:sz w:val="20"/>
                <w:szCs w:val="20"/>
                <w:color w:val="auto"/>
              </w:rPr>
            </w:pPr>
            <w:r>
              <w:rPr>
                <w:rFonts w:ascii="Arial" w:cs="Arial" w:eastAsia="Arial" w:hAnsi="Arial"/>
                <w:sz w:val="18"/>
                <w:szCs w:val="18"/>
                <w:color w:val="auto"/>
              </w:rPr>
              <w:t>September 30, 2017 and December 31, 2016, liquidation value $1,800,000 at September 30, 2017</w:t>
            </w:r>
          </w:p>
        </w:tc>
        <w:tc>
          <w:tcPr>
            <w:tcW w:w="16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1,761</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Series B-2 12% convertible preferred stock; 2,100,000 shares authorized, issued and outstanding at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September 30, 2017 and December 31, 2016, liquidation value $4,200,000 at September 30, 2017</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3,697</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700"/>
              <w:spacing w:after="0" w:line="201" w:lineRule="exact"/>
              <w:rPr>
                <w:sz w:val="20"/>
                <w:szCs w:val="20"/>
                <w:color w:val="auto"/>
              </w:rPr>
            </w:pPr>
            <w:r>
              <w:rPr>
                <w:rFonts w:ascii="Arial" w:cs="Arial" w:eastAsia="Arial" w:hAnsi="Arial"/>
                <w:sz w:val="18"/>
                <w:szCs w:val="18"/>
                <w:color w:val="auto"/>
                <w:w w:val="96"/>
              </w:rPr>
              <w:t>Series B-3 8% convertible preferred stock; 2,508,000 shares authorized, 2,508,000 issued and outstanding</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880"/>
              <w:spacing w:after="0"/>
              <w:rPr>
                <w:sz w:val="20"/>
                <w:szCs w:val="20"/>
                <w:color w:val="auto"/>
              </w:rPr>
            </w:pPr>
            <w:r>
              <w:rPr>
                <w:rFonts w:ascii="Arial" w:cs="Arial" w:eastAsia="Arial" w:hAnsi="Arial"/>
                <w:sz w:val="18"/>
                <w:szCs w:val="18"/>
                <w:color w:val="auto"/>
              </w:rPr>
              <w:t>at September 30, 2017 and December 31, 2016, liquidation value $2,508,000 at September 30, 2017</w:t>
            </w:r>
          </w:p>
        </w:tc>
        <w:tc>
          <w:tcPr>
            <w:tcW w:w="16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1,224</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6"/>
              </w:rPr>
              <w:t>Common stock, $0.001 par value; 50,000,000 shares authorized at September 30, 2017 and December 31,</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2016, 35,638,698 and 32,912,942 issued and outstanding at September 30, 2017 and December 31,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2016, respectively</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172,053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Retained deficit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(178,381)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(163,701)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10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2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jc w:val="center"/>
              <w:ind w:right="31"/>
              <w:spacing w:after="0" w:line="119" w:lineRule="exact"/>
              <w:rPr>
                <w:sz w:val="20"/>
                <w:szCs w:val="20"/>
                <w:color w:val="auto"/>
              </w:rPr>
            </w:pPr>
            <w:r>
              <w:rPr>
                <w:rFonts w:ascii="Arial" w:cs="Arial" w:eastAsia="Arial" w:hAnsi="Arial"/>
                <w:sz w:val="13"/>
                <w:szCs w:val="13"/>
                <w:b w:val="1"/>
                <w:bCs w:val="1"/>
                <w:color w:val="auto"/>
                <w:w w:val="95"/>
              </w:rPr>
              <w:t>(in thousands, except</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per share data)</w:t>
            </w:r>
          </w:p>
        </w:tc>
        <w:tc>
          <w:tcPr>
            <w:tcW w:w="100" w:type="dxa"/>
            <w:vAlign w:val="bottom"/>
          </w:tcPr>
          <w:p>
            <w:pPr>
              <w:spacing w:after="0"/>
              <w:rPr>
                <w:sz w:val="14"/>
                <w:szCs w:val="14"/>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per share data)</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3,503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10,719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11,892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4,990</w:t>
            </w:r>
          </w:p>
        </w:tc>
      </w:tr>
      <w:tr>
        <w:trPr>
          <w:trHeight w:val="230"/>
        </w:trPr>
        <w:tc>
          <w:tcPr>
            <w:tcW w:w="20" w:type="dxa"/>
            <w:vAlign w:val="bottom"/>
          </w:tcPr>
          <w:p>
            <w:pPr>
              <w:spacing w:after="0"/>
              <w:rPr>
                <w:sz w:val="20"/>
                <w:szCs w:val="20"/>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13,874</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(4,414)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(4,537)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(13,874)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(16,882)</w:t>
            </w:r>
          </w:p>
        </w:tc>
      </w:tr>
      <w:tr>
        <w:trPr>
          <w:trHeight w:val="331"/>
        </w:trPr>
        <w:tc>
          <w:tcPr>
            <w:tcW w:w="6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r>
      <w:tr>
        <w:trPr>
          <w:trHeight w:val="230"/>
        </w:trPr>
        <w:tc>
          <w:tcPr>
            <w:tcW w:w="20" w:type="dxa"/>
            <w:vAlign w:val="bottom"/>
          </w:tcPr>
          <w:p>
            <w:pPr>
              <w:spacing w:after="0"/>
              <w:rPr>
                <w:sz w:val="20"/>
                <w:szCs w:val="20"/>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Total other income (expense)</w:t>
            </w:r>
          </w:p>
        </w:tc>
        <w:tc>
          <w:tcPr>
            <w:tcW w:w="2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(4,408)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(4,526)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(13,853)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(16,845)</w:t>
            </w: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Preferred stock dividends</w:t>
            </w:r>
          </w:p>
        </w:tc>
        <w:tc>
          <w:tcPr>
            <w:tcW w:w="2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20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(4,662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(4,645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(14,680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(17,484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(0.60)</w:t>
            </w: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 outstanding — basic</w:t>
            </w: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and diluted</w:t>
            </w: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35,165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29,282</w:t>
            </w: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34,600</w:t>
            </w:r>
          </w:p>
        </w:tc>
        <w:tc>
          <w:tcPr>
            <w:tcW w:w="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29,045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9"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Nine Months Ended</w:t>
      </w:r>
    </w:p>
    <w:p>
      <w:pPr>
        <w:jc w:val="center"/>
        <w:ind w:left="96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ind w:right="25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(13,853)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Issuance of common stock for services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(11,988)</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(11,544)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Net proceeds from issuance of Series B-3 preferred stock and warrants</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issuance of common stock and warrants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(8,404)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15,362</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16,059</w:t>
            </w: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preferred stock dividends in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Galectin Therapeutics Inc. (the “Company”) is a clinical stage biopharmaceutical company that is applying its leadership in galectin science and drug development to create new therapies for fibrotic disease, skin diseases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September 30, 2017 and the results of its operations for the three and nine months ended September 30, 2017 and 2016 and its cash flows for the nine months ended September 30, 2017 and 2016. All adjustments made to the interim financial statements include all those of a normal and recurring nature. Amounts presented in the condensed consolidated balance sheet as of December 31, 2016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which may be expected for any other interim period or for the full year. The unaudited condensed consolidated financial statements of the Company should be read in conjunction with its Annual Report on Form 10-K for the year ended December 31, 2016.</w:t>
      </w:r>
    </w:p>
    <w:p>
      <w:pPr>
        <w:spacing w:after="0" w:line="1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has operated at a loss since its inception and has had no significant revenues. The Company anticipates that losses will continue for the foreseeable future. At September 30, 2017, the Company had $7.0 million of unrestricted cash and cash equivalents available to fund future operations. The Company believes that with the cash on hand at September 30, 2017, there is sufficient cash to fund currently planned operations through February 2018 which creates uncertainty about the Company’s ability to continue as a going concern. The Company’s ability to fund operations after its current cash resources are exhausted depends on its ability to obtain additional financing or achieve profitable operations, as to which no assurances can be given. Accordingly, based on the forecasts and estimates underlying the Company’s current operating plan, substantial doubt exists about the ability for the Company to continue as a going concern. The financial statements do not currently include any adjustments that might be necessary if the Company is unable to continue as a going concern.</w:t>
      </w:r>
    </w:p>
    <w:p>
      <w:pPr>
        <w:spacing w:after="0" w:line="19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0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ind w:left="60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2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Accrued compensation</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6"/>
              </w:rPr>
              <w:t>Accrued research and development costs and other</w:t>
            </w:r>
          </w:p>
        </w:tc>
        <w:tc>
          <w:tcPr>
            <w:tcW w:w="2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200" w:type="dxa"/>
            <w:vAlign w:val="bottom"/>
            <w:vMerge w:val="restart"/>
          </w:tcPr>
          <w:p>
            <w:pPr>
              <w:jc w:val="right"/>
              <w:ind w:right="1716"/>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4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26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96"/>
              </w:rPr>
              <w:t>2017</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6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1,403</w:t>
            </w:r>
          </w:p>
        </w:tc>
      </w:tr>
      <w:tr>
        <w:trPr>
          <w:trHeight w:val="27"/>
        </w:trPr>
        <w:tc>
          <w:tcPr>
            <w:tcW w:w="5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376</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$ 829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2,001</w:t>
            </w:r>
          </w:p>
        </w:tc>
      </w:tr>
      <w:tr>
        <w:trPr>
          <w:trHeight w:val="20"/>
        </w:trPr>
        <w:tc>
          <w:tcPr>
            <w:tcW w:w="5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2016 through September 30, 2017:</w:t>
      </w:r>
    </w:p>
    <w:p>
      <w:pPr>
        <w:spacing w:after="0" w:line="15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900" w:type="dxa"/>
            <w:vAlign w:val="bottom"/>
            <w:gridSpan w:val="4"/>
          </w:tcPr>
          <w:p>
            <w:pPr>
              <w:ind w:left="720"/>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4,656,888</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4,656,888</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As of September 30, 2017, there was $366,000 of unrecognized compensation related to 907,489 unvested options, which is expected to be recognized over a weighted-average period of approximately 0.58 years. The weighted-average grant date fair value for options granted during the nine months ended September 30, 2016 was $1.05. The Company granted 277,500 stock options during the nine months ended September 30, 2016, of which 69,375 options vested upon grant with the remaining 208,125 options vesting over 3 years. Approximately $73,000 of non-cash, stock-based compensation expense was recorded during the nine months ended September 30, 2016 related to the options granted during the quarter that were vested upon the grant date.</w:t>
      </w:r>
    </w:p>
    <w:p>
      <w:pPr>
        <w:spacing w:after="0" w:line="11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5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Nine</w:t>
            </w:r>
          </w:p>
        </w:tc>
      </w:tr>
      <w:tr>
        <w:trPr>
          <w:trHeight w:val="149"/>
        </w:trPr>
        <w:tc>
          <w:tcPr>
            <w:tcW w:w="5320" w:type="dxa"/>
            <w:vAlign w:val="bottom"/>
          </w:tcPr>
          <w:p>
            <w:pPr>
              <w:spacing w:after="0"/>
              <w:rPr>
                <w:sz w:val="12"/>
                <w:szCs w:val="12"/>
                <w:color w:val="auto"/>
              </w:rPr>
            </w:pPr>
          </w:p>
        </w:tc>
        <w:tc>
          <w:tcPr>
            <w:tcW w:w="3360" w:type="dxa"/>
            <w:vAlign w:val="bottom"/>
            <w:gridSpan w:val="3"/>
          </w:tcPr>
          <w:p>
            <w:pPr>
              <w:jc w:val="center"/>
              <w:ind w:left="1936"/>
              <w:spacing w:after="0" w:line="149" w:lineRule="exact"/>
              <w:rPr>
                <w:sz w:val="20"/>
                <w:szCs w:val="20"/>
                <w:color w:val="auto"/>
              </w:rPr>
            </w:pPr>
            <w:r>
              <w:rPr>
                <w:rFonts w:ascii="Arial" w:cs="Arial" w:eastAsia="Arial" w:hAnsi="Arial"/>
                <w:sz w:val="14"/>
                <w:szCs w:val="14"/>
                <w:b w:val="1"/>
                <w:bCs w:val="1"/>
                <w:color w:val="auto"/>
                <w:w w:val="93"/>
              </w:rPr>
              <w:t>Months Ended</w:t>
            </w:r>
          </w:p>
        </w:tc>
      </w:tr>
      <w:tr>
        <w:trPr>
          <w:trHeight w:val="149"/>
        </w:trPr>
        <w:tc>
          <w:tcPr>
            <w:tcW w:w="53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53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2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 years</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3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336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6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summarizes the restricted stock grant activity in the Company’s equity incentive plans from December 31, 2016 through September 30, 2017:</w:t>
      </w:r>
    </w:p>
    <w:p>
      <w:pPr>
        <w:spacing w:after="0" w:line="162"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754,605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2017</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754,605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March 12, 2015, the Company granted 81,352 shares of restricted stock to non-employee directors as a component of their compensation. A total of 77,784 shares were issued to seven directors representing non-cash compensation cost of $280,000 which was recognized on a straight-line basis from the grant date through December 15, 2016, when the restricted shares vested in full. A total of 3,568 shares were issued to two directors, who were not nominated for reelection, representing non-cash compensation cost of $12,845 that was recognized on a straight-line basis from the grant date through May 21, 2016, when the restricted shares vested in full.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Common Stock 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common stock warrant activity from December 31, 2016 through September 30, 2017:</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5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13,488,296</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78,455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(1,317,161)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2017</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12,249,590</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September 30, 2017 or December 31, 2016.</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2017</w:t>
            </w:r>
          </w:p>
        </w:tc>
        <w:tc>
          <w:tcPr>
            <w:tcW w:w="194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91"/>
              </w:rPr>
              <w:t>September 30, 2016</w:t>
            </w:r>
          </w:p>
        </w:tc>
      </w:tr>
      <w:tr>
        <w:trPr>
          <w:trHeight w:val="171"/>
        </w:trPr>
        <w:tc>
          <w:tcPr>
            <w:tcW w:w="5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jc w:val="right"/>
              <w:ind w:right="276"/>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(shares)</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5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12,249,590</w:t>
            </w:r>
          </w:p>
        </w:tc>
        <w:tc>
          <w:tcPr>
            <w:tcW w:w="6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10,452,844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4,656,888</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3,499,638</w:t>
            </w:r>
          </w:p>
        </w:tc>
        <w:tc>
          <w:tcPr>
            <w:tcW w:w="60" w:type="dxa"/>
            <w:vAlign w:val="bottom"/>
          </w:tcPr>
          <w:p>
            <w:pPr>
              <w:spacing w:after="0"/>
              <w:rPr>
                <w:sz w:val="18"/>
                <w:szCs w:val="18"/>
                <w:color w:val="auto"/>
              </w:rPr>
            </w:pPr>
          </w:p>
        </w:tc>
      </w:tr>
      <w:tr>
        <w:trPr>
          <w:trHeight w:val="202"/>
        </w:trPr>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Shares of common stock issuable upon conversion of preferred</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4,312,282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3,415,285</w:t>
            </w:r>
          </w:p>
        </w:tc>
        <w:tc>
          <w:tcPr>
            <w:tcW w:w="60" w:type="dxa"/>
            <w:vAlign w:val="bottom"/>
            <w:shd w:val="clear" w:color="auto" w:fill="CCEEFF"/>
          </w:tcPr>
          <w:p>
            <w:pPr>
              <w:spacing w:after="0"/>
              <w:rPr>
                <w:sz w:val="20"/>
                <w:szCs w:val="20"/>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Unvested shares of restricted common stock</w:t>
            </w:r>
          </w:p>
        </w:tc>
        <w:tc>
          <w:tcPr>
            <w:tcW w:w="500" w:type="dxa"/>
            <w:vAlign w:val="bottom"/>
          </w:tcPr>
          <w:p>
            <w:pPr>
              <w:spacing w:after="0"/>
              <w:rPr>
                <w:sz w:val="19"/>
                <w:szCs w:val="19"/>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337,935</w:t>
            </w:r>
          </w:p>
        </w:tc>
        <w:tc>
          <w:tcPr>
            <w:tcW w:w="6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21,218,760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17,705,702</w:t>
            </w:r>
          </w:p>
        </w:tc>
        <w:tc>
          <w:tcPr>
            <w:tcW w:w="6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At Market Issuance of Common Stock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March 30, 2014, the Company entered into an At Market Issuance Sales Agreement (the “2014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2014 At Market Agreement. In three months ended June 30, 2016, the Company issued 176,950 shares of common stock for net proceeds of approximately $257,000 under the 2014 At Market Agreement. In three months ended March 31, 2017, the Company issued 1,496,797 shares of common stock for net proceeds of approximately $1,946,000 under the 2014 At Market Agreement. The 2014 At Market Agreement expired in March 2017.</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At Market Issuance of Common Stock</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May 19, 2017, the Company entered into an At Market Issuance Sales Agreement (the “2017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2017 At Market Agreement. During the nine months ended September 30, 2017, the Company issued 716,563 shares of common stock for net proceeds of approximately $1,438,000 under the 2017 At Market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Private Placement</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 February 28, 2017, the Company closed a transaction with five individual investors through a private placement of common stock and warrants. In total, the Company issued 102,368 shares of common stock for proceeds of $200,000. The Company also issued, to the five investors, warrants to purchase 76,776 shares of common stock at $5.00 per share. The warrants have an expiration date of February 28, 2024. The exercise price of each warrant is adjustable in the event of a stock split or stock combination, capital reorganization, merger or similar event. The warrants were valued at approximately $101,000 as of the issuance, using the closing price of $1.86, a life of 7 years, a volatility of 97% and a risk-free interest rate of 1.92%.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In 2017, the Company entered an agreement with a vendor whereby the Company will issue common stock to vendor in lieu of paying in cash in amount up to $100,000 for the year. Through September 30, 2017, the Company has issued 16,793 shares of common stock and 1,680 warrants to purchase shares of common stock pursuant to this agreement and the value of such shares has been recorded as research and development expense.</w:t>
      </w:r>
    </w:p>
    <w:p>
      <w:pPr>
        <w:spacing w:after="0" w:line="14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Through September 30, 2017, the Company has issued a total of 393,235 shares of common stock for dividends on Series A, Series B and Series C Preferred Stock for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Class Actions and Derivative Lawsuits</w:t>
      </w:r>
    </w:p>
    <w:p>
      <w:pPr>
        <w:spacing w:after="0" w:line="11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On August 1 and 25, 2014, persons claiming to be Galectin shareholders filed putative shareholder derivative complaints in the Nevada District Court, seeking recovery on behalf of the Company against certain of the Company’s directors and officers. On September 10, 2014, the Nevada District Court entered an order consolidating the two cases, relieving the defendants of any obligation to respond to the initial complaints, and providing that defendants may respond to a consolidated complaint to be filed by the plaintiffs. On January 5, 2015, the Nevada District Court granted Defendants’ motion to transfer the consolidated putative derivative litigation to the United States District Court for the Northern District of Georgia (hereinafter referred to as the “Georgia Federal Derivative Action.”). The plaintiffs filed a consolidated complaint on February 27, 2015. On April 6, 2015, the Company and defendants filed motions to dismiss the consolidated complaint. Rather than respond to those motions, the plaintiffs sought and obtained leave to file an amended complaint. Plaintiffs filed their amended complaint (the “Complaint”) on May 26, 2015. The Complaint alleges that certain of the Company’s directors and officers (the “Derivative Action Individual Defendants”) breached their fiduciary duties to the Company’s shareholders by causing or permitting the Company to make allegedly false and misleading public statements concerning the Company’s financial and business prospects. The Complaint also alleges that the Derivative Action Individual Defendants violated the federal securities laws by allegedly making false or misleading statements of material fact in the Company’s proxy filings, committed waste of corporate assets, were unjustly enriched, and that certain defendants breached their fiduciary duties through allegedly improper sales of Galectin stock. In addition, the Complaint alleges that the Derivative Action Individual Defendants and one of the Company’s shareholders aided and abetted the alleged breaches of fiduciary duties. The Complaint seeks unspecified monetary damages on behalf of the Company, corporate governance reforms, disgorgement of profits, benefits and compensation by the defendants, costs, and attorneys’ and experts’ fees. The Company and defendants filed motions to dismiss the Complaint on July 8, 2015. On December 30, 2015, the United States District Court for the Northern District of Georgia dismissed the Georgia Federal Derivative Action with prejudice and entered a final judgment in favor of the defendants. Plaintiffs filed a notice of appeal seeking review of the dismissal order and final judgment. On July 7, 2016, the United States Court of Appeals for the Eleventh Circuit dismissed the appeal as the Plaintiffs failed to timely file their appeal brief. In September 2016, the Board received a demand letter from one of the plaintiffs in the Georgia Federal Derivative Action. The demand letter, among other things, requests that the Board investigate the conduct alleged in the Complaint and implement certain remedial measures purportedly designed to address the alleged conduct. It is expected that the Board will consider the demand letter in due course and in light of the related pending shareholder litigation described herein.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August 29, 2014, another alleged Galectin shareholder filed a putative shareholder derivative complaint in state court in Las Vegas, Nevada, seeking recovery on behalf of the Company against the same Galectin directors and officers who are named as defendants in the derivative litigation pending in the Georgia Federal Derivative Action. The plaintiff in the Nevada action subsequently filed first and second amended complaints. The second amended complaint alleges claims for breach of fiduciary duties, unjust enrichment, and waste of corporate assets, based on allegations that are substantially similar to those asserted in the Georgia Federal Derivative Action (except that the Nevada action does not allege violations of the federal securities laws and does not assert any claim against the Galectin shareholder named as a defendant in the Georgia Federal Derivative Action), and seeks unspecified monetary damages on behalf of the Company, corporate governance reforms, disgorgement of profits, benefits and compensation by the defendants, costs, and attorneys’ and experts’ fees. The Company and defendants filed motions to dismiss the second amended complaint on April 22, 2015. On April 29, 2015, the plaintiffs in the Georgia Federal Derivative Action (the “Intervenor Plaintiffs”) filed a motion to intervene in the Nevada action which, among other things, raised questions regarding the Nevada plaintiff’s standing. Thereafter, the Nevada plaintiff filed a motion to join additional plaintiffs. At a hearing held on June 11, 2015, the Nevada court: (i) granted the Intervenor Plaintiffs’ motion to intervene; (ii) directed the Intervenor Plaintiffs to file a complaint in intervention; (iii) directed the Nevada plaintiff to file a motion for leave to file a further amended complaint to add additional plaintiffs; (iv) stated that the defendants’ motions to dismiss the second amended complaint were denied “at this point;” (v) ordered the Nevada action stayed until December 11 , 2015; and (vi) directed the parties to submit a status report on December 11, 2015, updating the court on the progress and status of the Georgia Federal Derivative Action. On July 9, 2015, pursuant to the Nevada State Court’s instruction, the Intervenor Plaintiffs filed a complaint-in-intervention in Nevada State Court, asserting similar claims to the ones they alleged in the Georgia Federal Derivative Action described above. On December 11, 2015, further to the Nevada State Court’s instruction, the parties submitted status reports detailing the status of the Georgia Federal Derivative Action. On January 5, 2016, the Nevada State Court held a status conference during which the dismissal of the Georgia Federal Derivative Action was discussed. Subsequent to that conference, on January 19, 2016, the defendants filed a motion to dismiss the Nevada State Court litigation based on the dismissal of the similar Georgia Federal Derivative Action, among other grounds. Following full briefing and a hearing on March 3, 2016, the Nevada State Court granted dismissal of the Nevada State Court litigation. Notice of Entry of the Nevada State Court’s order dismissing the Nevada State Court litigation was docketed on June 21, 2016. The Nevada plaintiff and Intervenor Plaintiffs (“Appellants”) filed notices of appeal seeking review of the Nevada State Court’s order and judgment dismissing the claims. The appeal is now fully briefed and awaiting a decision from the Nevada Supreme Court.</w:t>
      </w:r>
    </w:p>
    <w:p>
      <w:pPr>
        <w:spacing w:after="0" w:line="3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currently pending legal matters will be material to the Company’s results of operations or financial condition. However, in light of the inherent uncertainties involved in such matters, an adverse outcome in one or more of these matters could materially and adversely affect the Company’s financial condition, results of operations or cash flows in any particular reporting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pending legal proceedings except as noted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Galectin Sciences LLC</w:t>
      </w:r>
    </w:p>
    <w:p>
      <w:pPr>
        <w:spacing w:after="0" w:line="12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The Company contributed $659,000 and $687,000 for the LLC expenses in 2016 and 2015, respectively, and SBH contributed $50,000 in 2016. The Company contributed $45,000, $29,000 and $30,000 during the quarters ended March 31, 2017, June 30, 2017, and September 30, 2017, respectively. As of September 30, 2017, the Company’s ownership percentage in the LLC was</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81.2%. The Company accounts for the interest in the LLC as a consolidated, less than wholly owned subsidiary. Because the LLC’s equity is immaterial, the value of the non-controlling interest is also deemed to be immaterial.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February 2018;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9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900" w:right="120" w:hanging="325"/>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certain severe skin diseases, and cancer. Our drug candidates are based on our method of targeting galectin proteins, which are key mediators of biologic and pathologic functions. We use naturally occurring, readily-available plant products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significant additional resources.</w:t>
      </w:r>
    </w:p>
    <w:p>
      <w:pPr>
        <w:spacing w:after="0" w:line="18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Our lead galectin-3 inhibitor is GR-MD-02, which has been demonstrated in preclinical models to reverse liver fibrosis and cirrhosis. GR-MD-02 has the potential to treat many diseases due to galectin-3’s involvement in multiple key biological pathways such as immune cell function and immunity, cell differentiation, cell growth, and apoptosis (cell death). Galectin Therapeutics Inc. is using this inhibitor to treat advanced liver fibrosis and liver cirrhosis in NASH (non-alcoholic steatohepatitis) patients. We have completed two Phase 1 clinical studies, one Phase 2 clinical study in NASH patients with advanced fibrosis (NASH-FX) and have one</w:t>
      </w:r>
    </w:p>
    <w:p>
      <w:pPr>
        <w:sectPr>
          <w:pgSz w:w="11900" w:h="16838" w:orient="portrait"/>
          <w:cols w:equalWidth="0" w:num="1">
            <w:col w:w="11380"/>
          </w:cols>
          <w:pgMar w:left="240" w:top="459" w:right="279" w:bottom="1440" w:gutter="0" w:footer="0" w:header="0"/>
        </w:sectPr>
      </w:pP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459" w:right="27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ongoing Phase 2 clinical study in NASH patients with cirrhosis (NASH-CX). The NASH-CX trial patients have completed all infusions/dosing and final HVPG and liver biopsy results have been obtained on all patients. The trial is expected to complete with 151 patients and to report top line data in December 2017. NASH cirrhosis is a progressive disease, currently not treatable and ultimately may result in liver failure that has poor prognosis and no effective, approved medical therapies other than liver transplant. Galectin-3 expression is highly increased in the liver of patients with liver fibrosis and liver cirrhosis. We believe that our galectin-3 inhibitor, by reducing galectin-3 at the extra-cellular level, ultimately showing a strong anti-fibrotic potential may provide a novel treatment for various forms of liver fibrosis.</w:t>
      </w:r>
    </w:p>
    <w:p>
      <w:pPr>
        <w:spacing w:after="0" w:line="19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a discovery program aimed at the targeted development of small molecules (non-carbohydrate) that bind galectin proteins and may afford options for alternative means of drug delivery (e.g., oral) and as a result expand the potential uses of our compounds. We are pursuing a development pathway to clinical enhancement and commercialization for our lead compounds in immune enhancement for cancer therapy and certain severe skin diseases including moderate to severe plaque psoriasis and severe atopic dermatitis. Our clinical development efforts are focused on both liver fibrosis and fatty liver disease as represented by a Phase 2 clinical trial in NASH-cirrhosis which will report top line data in December 2017. All of our proposed products are presently in development, including pre-clinical and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show that mice lacking the galectin-3 gene, and thus unable to produce galectin-3, are incapable of developing liver fibrosis in response to toxic insult to the liver and in fatty liver disease; they are also incapable of developing fibrosis in other tissues such as lung, kidney and cardiac.</w:t>
      </w:r>
    </w:p>
    <w:p>
      <w:pPr>
        <w:spacing w:after="0" w:line="18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one new proprietary chemical entity (NCE) in development, GR-MD-02, which has shown promise in preclinical and early clinical studies in treatment of fibrosis, certain severe skin diseases, and in cancer therapy. Currently we are focusing on development of GR-MD-02 intended to be used in the treatment of liver fibrosis associated with fatty liver disease (NASH) and more specifically on NASH cirrhosis. We have also leveraged our relationships with well-known investigators to demonstrate clinical effects of GR-MD-02 in treating moderate to severe plaque psoriasis, severe atopic dermatitis,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this compound continues to be explored in preclinical studies.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pipeline is shown below: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4000" w:val="left"/>
          <w:tab w:leader="none" w:pos="7760" w:val="left"/>
        </w:tabs>
        <w:rPr>
          <w:sz w:val="20"/>
          <w:szCs w:val="20"/>
          <w:color w:val="auto"/>
        </w:rPr>
      </w:pPr>
      <w:r>
        <w:rPr>
          <w:rFonts w:ascii="Arial" w:cs="Arial" w:eastAsia="Arial" w:hAnsi="Arial"/>
          <w:sz w:val="14"/>
          <w:szCs w:val="14"/>
          <w:b w:val="1"/>
          <w:bCs w:val="1"/>
          <w:u w:val="single" w:color="auto"/>
          <w:color w:val="auto"/>
        </w:rPr>
        <w:t>Indication</w:t>
      </w:r>
      <w:r>
        <w:rPr>
          <w:sz w:val="20"/>
          <w:szCs w:val="20"/>
          <w:color w:val="auto"/>
        </w:rPr>
        <w:tab/>
      </w:r>
      <w:r>
        <w:rPr>
          <w:rFonts w:ascii="Arial" w:cs="Arial" w:eastAsia="Arial" w:hAnsi="Arial"/>
          <w:sz w:val="14"/>
          <w:szCs w:val="14"/>
          <w:b w:val="1"/>
          <w:bCs w:val="1"/>
          <w:u w:val="single" w:color="auto"/>
          <w:color w:val="auto"/>
        </w:rPr>
        <w:t>Drug</w:t>
      </w:r>
      <w:r>
        <w:rPr>
          <w:sz w:val="20"/>
          <w:szCs w:val="20"/>
          <w:color w:val="auto"/>
        </w:rPr>
        <w:tab/>
      </w:r>
      <w:r>
        <w:rPr>
          <w:rFonts w:ascii="Arial" w:cs="Arial" w:eastAsia="Arial" w:hAnsi="Arial"/>
          <w:sz w:val="12"/>
          <w:szCs w:val="12"/>
          <w:b w:val="1"/>
          <w:bCs w:val="1"/>
          <w:u w:val="single" w:color="auto"/>
          <w:color w:val="auto"/>
        </w:rPr>
        <w:t>Status</w:t>
      </w:r>
    </w:p>
    <w:p>
      <w:pPr>
        <w:sectPr>
          <w:pgSz w:w="11900" w:h="16838" w:orient="portrait"/>
          <w:cols w:equalWidth="0" w:num="1">
            <w:col w:w="11420"/>
          </w:cols>
          <w:pgMar w:left="240" w:top="459" w:right="23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Fibrosis</w:t>
      </w:r>
    </w:p>
    <w:p>
      <w:pPr>
        <w:spacing w:after="0" w:line="27" w:lineRule="exact"/>
        <w:rPr>
          <w:sz w:val="20"/>
          <w:szCs w:val="20"/>
          <w:color w:val="auto"/>
        </w:rPr>
      </w:pPr>
    </w:p>
    <w:p>
      <w:pPr>
        <w:ind w:right="2200"/>
        <w:spacing w:after="0" w:line="261" w:lineRule="auto"/>
        <w:rPr>
          <w:sz w:val="20"/>
          <w:szCs w:val="20"/>
          <w:color w:val="auto"/>
        </w:rPr>
      </w:pPr>
      <w:r>
        <w:rPr>
          <w:rFonts w:ascii="Arial" w:cs="Arial" w:eastAsia="Arial" w:hAnsi="Arial"/>
          <w:sz w:val="18"/>
          <w:szCs w:val="18"/>
          <w:color w:val="auto"/>
        </w:rPr>
        <w:t>NASH with Advanced Fibrosis: NASH-CX trial and GR-MD-02 NASH-FX trial</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IND submitted January 2013. Results from the Phase 1 clinical trial were reported in 2014, with final results reported in January 2015. End of Phase 1 meeting held with FDA in 2014. Two Phase 2 clinical trials were designed. The NASH CX trial, was designed for patients with cirrhosis, and the NASH FX trial was designed for patients with advanced fibrosis but not cirrhosis. The NASH FX trial top line data was reported in September 2016 and the NASH CX trial top line data is expected in December 2017.</w:t>
      </w:r>
    </w:p>
    <w:p>
      <w:pPr>
        <w:spacing w:after="0" w:line="75" w:lineRule="exact"/>
        <w:rPr>
          <w:sz w:val="20"/>
          <w:szCs w:val="20"/>
          <w:color w:val="auto"/>
        </w:rPr>
      </w:pPr>
    </w:p>
    <w:p>
      <w:pPr>
        <w:sectPr>
          <w:pgSz w:w="11900" w:h="16838" w:orient="portrait"/>
          <w:cols w:equalWidth="0" w:num="2">
            <w:col w:w="7060" w:space="720"/>
            <w:col w:w="36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Lung Fibrosis</w:t>
            </w:r>
          </w:p>
        </w:tc>
        <w:tc>
          <w:tcPr>
            <w:tcW w:w="3580" w:type="dxa"/>
            <w:vAlign w:val="bottom"/>
          </w:tcPr>
          <w:p>
            <w:pPr>
              <w:ind w:left="700"/>
              <w:spacing w:after="0"/>
              <w:rPr>
                <w:sz w:val="20"/>
                <w:szCs w:val="20"/>
                <w:color w:val="auto"/>
              </w:rPr>
            </w:pPr>
            <w:r>
              <w:rPr>
                <w:rFonts w:ascii="Arial" w:cs="Arial" w:eastAsia="Arial" w:hAnsi="Arial"/>
                <w:sz w:val="18"/>
                <w:szCs w:val="18"/>
                <w:color w:val="auto"/>
              </w:rPr>
              <w:t>GR-MD-02</w:t>
            </w:r>
          </w:p>
        </w:tc>
        <w:tc>
          <w:tcPr>
            <w:tcW w:w="4520" w:type="dxa"/>
            <w:vAlign w:val="bottom"/>
          </w:tcPr>
          <w:p>
            <w:pPr>
              <w:ind w:left="880"/>
              <w:spacing w:after="0"/>
              <w:rPr>
                <w:sz w:val="20"/>
                <w:szCs w:val="20"/>
                <w:color w:val="auto"/>
              </w:rPr>
            </w:pPr>
            <w:r>
              <w:rPr>
                <w:rFonts w:ascii="Arial" w:cs="Arial" w:eastAsia="Arial" w:hAnsi="Arial"/>
                <w:sz w:val="18"/>
                <w:szCs w:val="18"/>
                <w:color w:val="auto"/>
              </w:rPr>
              <w:t>In pre-clinical development</w:t>
            </w:r>
          </w:p>
        </w:tc>
      </w:tr>
      <w:tr>
        <w:trPr>
          <w:trHeight w:val="324"/>
        </w:trPr>
        <w:tc>
          <w:tcPr>
            <w:tcW w:w="3320" w:type="dxa"/>
            <w:vAlign w:val="bottom"/>
          </w:tcPr>
          <w:p>
            <w:pPr>
              <w:spacing w:after="0"/>
              <w:rPr>
                <w:sz w:val="20"/>
                <w:szCs w:val="20"/>
                <w:color w:val="auto"/>
              </w:rPr>
            </w:pPr>
            <w:r>
              <w:rPr>
                <w:rFonts w:ascii="Arial" w:cs="Arial" w:eastAsia="Arial" w:hAnsi="Arial"/>
                <w:sz w:val="18"/>
                <w:szCs w:val="18"/>
                <w:color w:val="auto"/>
              </w:rPr>
              <w:t>Kidney Fibrosis</w:t>
            </w:r>
          </w:p>
        </w:tc>
        <w:tc>
          <w:tcPr>
            <w:tcW w:w="3580" w:type="dxa"/>
            <w:vAlign w:val="bottom"/>
          </w:tcPr>
          <w:p>
            <w:pPr>
              <w:ind w:left="700"/>
              <w:spacing w:after="0"/>
              <w:rPr>
                <w:sz w:val="20"/>
                <w:szCs w:val="20"/>
                <w:color w:val="auto"/>
              </w:rPr>
            </w:pPr>
            <w:r>
              <w:rPr>
                <w:rFonts w:ascii="Arial" w:cs="Arial" w:eastAsia="Arial" w:hAnsi="Arial"/>
                <w:sz w:val="18"/>
                <w:szCs w:val="18"/>
                <w:color w:val="auto"/>
              </w:rPr>
              <w:t>GR-MD-02</w:t>
            </w:r>
          </w:p>
        </w:tc>
        <w:tc>
          <w:tcPr>
            <w:tcW w:w="4520" w:type="dxa"/>
            <w:vAlign w:val="bottom"/>
          </w:tcPr>
          <w:p>
            <w:pPr>
              <w:ind w:left="880"/>
              <w:spacing w:after="0"/>
              <w:rPr>
                <w:sz w:val="20"/>
                <w:szCs w:val="20"/>
                <w:color w:val="auto"/>
              </w:rPr>
            </w:pPr>
            <w:r>
              <w:rPr>
                <w:rFonts w:ascii="Arial" w:cs="Arial" w:eastAsia="Arial" w:hAnsi="Arial"/>
                <w:sz w:val="18"/>
                <w:szCs w:val="18"/>
                <w:color w:val="auto"/>
              </w:rPr>
              <w:t>In pre-clinical development</w:t>
            </w:r>
          </w:p>
        </w:tc>
      </w:tr>
      <w:tr>
        <w:trPr>
          <w:trHeight w:val="324"/>
        </w:trPr>
        <w:tc>
          <w:tcPr>
            <w:tcW w:w="332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3580" w:type="dxa"/>
            <w:vAlign w:val="bottom"/>
          </w:tcPr>
          <w:p>
            <w:pPr>
              <w:ind w:left="700"/>
              <w:spacing w:after="0"/>
              <w:rPr>
                <w:sz w:val="20"/>
                <w:szCs w:val="20"/>
                <w:color w:val="auto"/>
              </w:rPr>
            </w:pPr>
            <w:r>
              <w:rPr>
                <w:rFonts w:ascii="Arial" w:cs="Arial" w:eastAsia="Arial" w:hAnsi="Arial"/>
                <w:sz w:val="18"/>
                <w:szCs w:val="18"/>
                <w:color w:val="auto"/>
              </w:rPr>
              <w:t>GR-MD-02 and GM-CT-01</w:t>
            </w:r>
          </w:p>
        </w:tc>
        <w:tc>
          <w:tcPr>
            <w:tcW w:w="4520" w:type="dxa"/>
            <w:vAlign w:val="bottom"/>
          </w:tcPr>
          <w:p>
            <w:pPr>
              <w:ind w:left="880"/>
              <w:spacing w:after="0"/>
              <w:rPr>
                <w:sz w:val="20"/>
                <w:szCs w:val="20"/>
                <w:color w:val="auto"/>
              </w:rPr>
            </w:pPr>
            <w:r>
              <w:rPr>
                <w:rFonts w:ascii="Arial" w:cs="Arial" w:eastAsia="Arial" w:hAnsi="Arial"/>
                <w:sz w:val="18"/>
                <w:szCs w:val="18"/>
                <w:color w:val="auto"/>
              </w:rPr>
              <w:t>In pre-clinical development</w:t>
            </w:r>
          </w:p>
        </w:tc>
      </w:tr>
      <w:tr>
        <w:trPr>
          <w:trHeight w:val="310"/>
        </w:trPr>
        <w:tc>
          <w:tcPr>
            <w:tcW w:w="3320" w:type="dxa"/>
            <w:vAlign w:val="bottom"/>
          </w:tcPr>
          <w:p>
            <w:pPr>
              <w:spacing w:after="0"/>
              <w:rPr>
                <w:sz w:val="20"/>
                <w:szCs w:val="20"/>
                <w:color w:val="auto"/>
              </w:rPr>
            </w:pPr>
            <w:r>
              <w:rPr>
                <w:rFonts w:ascii="Arial" w:cs="Arial" w:eastAsia="Arial" w:hAnsi="Arial"/>
                <w:sz w:val="18"/>
                <w:szCs w:val="18"/>
                <w:b w:val="1"/>
                <w:bCs w:val="1"/>
                <w:color w:val="auto"/>
              </w:rPr>
              <w:t>Cancer Immunotherapy</w:t>
            </w:r>
          </w:p>
        </w:tc>
        <w:tc>
          <w:tcPr>
            <w:tcW w:w="35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Melanoma</w:t>
            </w:r>
          </w:p>
        </w:tc>
        <w:tc>
          <w:tcPr>
            <w:tcW w:w="3580" w:type="dxa"/>
            <w:vAlign w:val="bottom"/>
          </w:tcPr>
          <w:p>
            <w:pPr>
              <w:ind w:left="700"/>
              <w:spacing w:after="0"/>
              <w:rPr>
                <w:sz w:val="20"/>
                <w:szCs w:val="20"/>
                <w:color w:val="auto"/>
              </w:rPr>
            </w:pPr>
            <w:r>
              <w:rPr>
                <w:rFonts w:ascii="Arial" w:cs="Arial" w:eastAsia="Arial" w:hAnsi="Arial"/>
                <w:sz w:val="18"/>
                <w:szCs w:val="18"/>
                <w:color w:val="auto"/>
              </w:rPr>
              <w:t>GR-MD-02</w:t>
            </w:r>
          </w:p>
        </w:tc>
        <w:tc>
          <w:tcPr>
            <w:tcW w:w="4520" w:type="dxa"/>
            <w:vAlign w:val="bottom"/>
          </w:tcPr>
          <w:p>
            <w:pPr>
              <w:ind w:left="880"/>
              <w:spacing w:after="0"/>
              <w:rPr>
                <w:sz w:val="20"/>
                <w:szCs w:val="20"/>
                <w:color w:val="auto"/>
              </w:rPr>
            </w:pPr>
            <w:r>
              <w:rPr>
                <w:rFonts w:ascii="Arial" w:cs="Arial" w:eastAsia="Arial" w:hAnsi="Arial"/>
                <w:sz w:val="18"/>
                <w:szCs w:val="18"/>
                <w:color w:val="auto"/>
                <w:w w:val="98"/>
              </w:rPr>
              <w:t>Investigator IND submitted in December 2013.</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Arial" w:cs="Arial" w:eastAsia="Arial" w:hAnsi="Arial"/>
                <w:sz w:val="18"/>
                <w:szCs w:val="18"/>
                <w:color w:val="auto"/>
                <w:w w:val="94"/>
              </w:rPr>
              <w:t>Phase 1B study in process. A second Phase 1B</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Arial" w:cs="Arial" w:eastAsia="Arial" w:hAnsi="Arial"/>
                <w:sz w:val="18"/>
                <w:szCs w:val="18"/>
                <w:color w:val="auto"/>
                <w:w w:val="99"/>
              </w:rPr>
              <w:t>study began in Q-1 2016. Investigator IND for</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Arial" w:cs="Arial" w:eastAsia="Arial" w:hAnsi="Arial"/>
                <w:sz w:val="18"/>
                <w:szCs w:val="18"/>
                <w:color w:val="auto"/>
                <w:w w:val="98"/>
              </w:rPr>
              <w:t>that study submitted in September 2015. Early</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Arial" w:cs="Arial" w:eastAsia="Arial" w:hAnsi="Arial"/>
                <w:sz w:val="18"/>
                <w:szCs w:val="18"/>
                <w:color w:val="auto"/>
                <w:w w:val="94"/>
              </w:rPr>
              <w:t>data was reported in February 2017 and studies</w:t>
            </w:r>
          </w:p>
        </w:tc>
      </w:tr>
      <w:tr>
        <w:trPr>
          <w:trHeight w:val="230"/>
        </w:trPr>
        <w:tc>
          <w:tcPr>
            <w:tcW w:w="33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520" w:type="dxa"/>
            <w:vAlign w:val="bottom"/>
          </w:tcPr>
          <w:p>
            <w:pPr>
              <w:ind w:left="880"/>
              <w:spacing w:after="0"/>
              <w:rPr>
                <w:sz w:val="20"/>
                <w:szCs w:val="20"/>
                <w:color w:val="auto"/>
              </w:rPr>
            </w:pPr>
            <w:r>
              <w:rPr>
                <w:rFonts w:ascii="Arial" w:cs="Arial" w:eastAsia="Arial" w:hAnsi="Arial"/>
                <w:sz w:val="18"/>
                <w:szCs w:val="18"/>
                <w:color w:val="auto"/>
              </w:rPr>
              <w:t>will continue.</w:t>
            </w:r>
          </w:p>
        </w:tc>
      </w:tr>
      <w:tr>
        <w:trPr>
          <w:trHeight w:val="310"/>
        </w:trPr>
        <w:tc>
          <w:tcPr>
            <w:tcW w:w="3320" w:type="dxa"/>
            <w:vAlign w:val="bottom"/>
          </w:tcPr>
          <w:p>
            <w:pPr>
              <w:spacing w:after="0"/>
              <w:rPr>
                <w:sz w:val="20"/>
                <w:szCs w:val="20"/>
                <w:color w:val="auto"/>
              </w:rPr>
            </w:pPr>
            <w:r>
              <w:rPr>
                <w:rFonts w:ascii="Arial" w:cs="Arial" w:eastAsia="Arial" w:hAnsi="Arial"/>
                <w:sz w:val="18"/>
                <w:szCs w:val="18"/>
                <w:b w:val="1"/>
                <w:bCs w:val="1"/>
                <w:color w:val="auto"/>
              </w:rPr>
              <w:t>Psoriasis</w:t>
            </w:r>
          </w:p>
        </w:tc>
        <w:tc>
          <w:tcPr>
            <w:tcW w:w="35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Moderate to Severe Plaque Psoriasis</w:t>
            </w:r>
          </w:p>
        </w:tc>
        <w:tc>
          <w:tcPr>
            <w:tcW w:w="3580" w:type="dxa"/>
            <w:vAlign w:val="bottom"/>
          </w:tcPr>
          <w:p>
            <w:pPr>
              <w:ind w:left="700"/>
              <w:spacing w:after="0"/>
              <w:rPr>
                <w:sz w:val="20"/>
                <w:szCs w:val="20"/>
                <w:color w:val="auto"/>
              </w:rPr>
            </w:pPr>
            <w:r>
              <w:rPr>
                <w:rFonts w:ascii="Arial" w:cs="Arial" w:eastAsia="Arial" w:hAnsi="Arial"/>
                <w:sz w:val="18"/>
                <w:szCs w:val="18"/>
                <w:color w:val="auto"/>
              </w:rPr>
              <w:t>GR-MD-02</w:t>
            </w:r>
          </w:p>
        </w:tc>
        <w:tc>
          <w:tcPr>
            <w:tcW w:w="4520" w:type="dxa"/>
            <w:vAlign w:val="bottom"/>
          </w:tcPr>
          <w:p>
            <w:pPr>
              <w:ind w:left="880"/>
              <w:spacing w:after="0"/>
              <w:rPr>
                <w:sz w:val="20"/>
                <w:szCs w:val="20"/>
                <w:color w:val="auto"/>
              </w:rPr>
            </w:pPr>
            <w:r>
              <w:rPr>
                <w:rFonts w:ascii="Arial" w:cs="Arial" w:eastAsia="Arial" w:hAnsi="Arial"/>
                <w:sz w:val="18"/>
                <w:szCs w:val="18"/>
                <w:color w:val="auto"/>
                <w:w w:val="98"/>
              </w:rPr>
              <w:t>IND submitted March 2015. A phase 2a trial in</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Severe Atopic Dermatitis</w:t>
            </w: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Arial" w:cs="Arial" w:eastAsia="Arial" w:hAnsi="Arial"/>
                <w:sz w:val="18"/>
                <w:szCs w:val="18"/>
                <w:color w:val="auto"/>
                <w:w w:val="87"/>
              </w:rPr>
              <w:t>moderate to severe plaque psoriasis patients began</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Arial" w:cs="Arial" w:eastAsia="Arial" w:hAnsi="Arial"/>
                <w:sz w:val="18"/>
                <w:szCs w:val="18"/>
                <w:color w:val="auto"/>
              </w:rPr>
              <w:t>in January 2016. Interim data on the first four</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Arial" w:cs="Arial" w:eastAsia="Arial" w:hAnsi="Arial"/>
                <w:sz w:val="18"/>
                <w:szCs w:val="18"/>
                <w:color w:val="auto"/>
                <w:w w:val="94"/>
              </w:rPr>
              <w:t>patients were positive and were reported in May</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Arial" w:cs="Arial" w:eastAsia="Arial" w:hAnsi="Arial"/>
                <w:sz w:val="18"/>
                <w:szCs w:val="18"/>
                <w:color w:val="auto"/>
              </w:rPr>
              <w:t>2016. Further positive data was reported in</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Arial" w:cs="Arial" w:eastAsia="Arial" w:hAnsi="Arial"/>
                <w:sz w:val="18"/>
                <w:szCs w:val="18"/>
                <w:color w:val="auto"/>
              </w:rPr>
              <w:t>September 2016. Investigator initiated IND</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Arial" w:cs="Arial" w:eastAsia="Arial" w:hAnsi="Arial"/>
                <w:sz w:val="18"/>
                <w:szCs w:val="18"/>
                <w:color w:val="auto"/>
              </w:rPr>
              <w:t>submitted for treatment of three patients with</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Arial" w:cs="Arial" w:eastAsia="Arial" w:hAnsi="Arial"/>
                <w:sz w:val="18"/>
                <w:szCs w:val="18"/>
                <w:color w:val="auto"/>
                <w:w w:val="92"/>
              </w:rPr>
              <w:t>severe atopic dermatitis, with positive preliminary</w:t>
            </w:r>
          </w:p>
        </w:tc>
      </w:tr>
      <w:tr>
        <w:trPr>
          <w:trHeight w:val="216"/>
        </w:trPr>
        <w:tc>
          <w:tcPr>
            <w:tcW w:w="33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tcPr>
          <w:p>
            <w:pPr>
              <w:ind w:left="880"/>
              <w:spacing w:after="0"/>
              <w:rPr>
                <w:sz w:val="20"/>
                <w:szCs w:val="20"/>
                <w:color w:val="auto"/>
              </w:rPr>
            </w:pPr>
            <w:r>
              <w:rPr>
                <w:rFonts w:ascii="Arial" w:cs="Arial" w:eastAsia="Arial" w:hAnsi="Arial"/>
                <w:sz w:val="18"/>
                <w:szCs w:val="18"/>
                <w:color w:val="auto"/>
                <w:w w:val="90"/>
              </w:rPr>
              <w:t>data presented in February 2017. Studies are now</w:t>
            </w:r>
          </w:p>
        </w:tc>
      </w:tr>
      <w:tr>
        <w:trPr>
          <w:trHeight w:val="230"/>
        </w:trPr>
        <w:tc>
          <w:tcPr>
            <w:tcW w:w="33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520" w:type="dxa"/>
            <w:vAlign w:val="bottom"/>
          </w:tcPr>
          <w:p>
            <w:pPr>
              <w:ind w:left="880"/>
              <w:spacing w:after="0"/>
              <w:rPr>
                <w:sz w:val="20"/>
                <w:szCs w:val="20"/>
                <w:color w:val="auto"/>
              </w:rPr>
            </w:pPr>
            <w:r>
              <w:rPr>
                <w:rFonts w:ascii="Arial" w:cs="Arial" w:eastAsia="Arial" w:hAnsi="Arial"/>
                <w:sz w:val="18"/>
                <w:szCs w:val="18"/>
                <w:color w:val="auto"/>
              </w:rPr>
              <w:t>completed.</w:t>
            </w:r>
          </w:p>
        </w:tc>
      </w:tr>
    </w:tbl>
    <w:p>
      <w:pPr>
        <w:spacing w:after="0" w:line="2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 xml:space="preserve">Fibrosis. </w:t>
      </w:r>
      <w:r>
        <w:rPr>
          <w:rFonts w:ascii="Arial" w:cs="Arial" w:eastAsia="Arial" w:hAnsi="Arial"/>
          <w:sz w:val="16"/>
          <w:szCs w:val="16"/>
          <w:color w:val="auto"/>
        </w:rPr>
        <w:t>GR-MD-02 is our lead product candidate for treatment of fibrotic disease. Our preclinical data show that GR-MD-02 has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and the human pharmacokinetic data defined a drug dose for use in the planned Phase 2 trials.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3"/>
          <w:szCs w:val="13"/>
          <w:color w:val="auto"/>
        </w:rPr>
        <w:t>®</w:t>
      </w:r>
      <w:r>
        <w:rPr>
          <w:rFonts w:ascii="Arial" w:cs="Arial" w:eastAsia="Arial" w:hAnsi="Arial"/>
          <w:sz w:val="16"/>
          <w:szCs w:val="16"/>
          <w:color w:val="auto"/>
        </w:rPr>
        <w:t>. An “End of Phase 1 Meeting” was held with FDA which, amongst other items, provided guidance on the primary endpoint for the Phase 2 clinical trial.</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an open label drug-drug interaction study was completed in healthy volunteers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enabled Galectin to expand the number of patients eligible for its Phase 2 clinical trial. In addition, should GR-MD-02 be approved for marketing, the success of this study supports a broader patient population for the drug label.</w:t>
      </w:r>
    </w:p>
    <w:p>
      <w:pPr>
        <w:sectPr>
          <w:pgSz w:w="11900" w:h="16838" w:orient="portrait"/>
          <w:cols w:equalWidth="0" w:num="1">
            <w:col w:w="11420"/>
          </w:cols>
          <w:pgMar w:left="240" w:top="459" w:right="239" w:bottom="1440" w:gutter="0" w:footer="0" w:header="0"/>
          <w:type w:val="continuous"/>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7" w:lineRule="auto"/>
        <w:rPr>
          <w:sz w:val="20"/>
          <w:szCs w:val="20"/>
          <w:color w:val="auto"/>
        </w:rPr>
      </w:pPr>
      <w:r>
        <w:rPr>
          <w:rFonts w:ascii="Arial" w:cs="Arial" w:eastAsia="Arial" w:hAnsi="Arial"/>
          <w:sz w:val="17"/>
          <w:szCs w:val="17"/>
          <w:color w:val="auto"/>
        </w:rPr>
        <w:t>Our Phase 2 program in fibrotic disease consists of two separate human clinical trials. The first clinical trial is the Phase 2b NASH-CX study for patients with NASH with cirrhosis, which began enrolling in June 2015. This study is the primary focus of our program and is a randomized, placebo-controlled, double-blind, parallel-group Phase 2 trial to evaluate the safety and efficacy of GR-MD-02 for the treatment of liver fibrosis and resultant portal hypertension in patients with NASH cirrhosis. Enrollment in this trial was completed in September 2016, and a total of 162 patients at 36 sites in the United States were randomized to receive either 2 mg/kg of GR-MD-02, 8 mg/kg of GR-MD-02 or placebo, with approximately 54 patients in each group. The primary endpoint is a reduction in change in hepatic venous pressure gradient (HVPG). Patients are receiving an infusion every other week for one year, total of 26 infusions, and will be evaluated to determine the change in HVPG as compared with placebo. HVPG will be correlated with secondary endpoints of fibrosis on liver biopsy as well as with measurement of liver stiffness (FibroScan</w:t>
      </w:r>
      <w:r>
        <w:rPr>
          <w:rFonts w:ascii="Arial" w:cs="Arial" w:eastAsia="Arial" w:hAnsi="Arial"/>
          <w:sz w:val="14"/>
          <w:szCs w:val="14"/>
          <w:color w:val="auto"/>
        </w:rPr>
        <w:t>(R)</w:t>
      </w:r>
      <w:r>
        <w:rPr>
          <w:rFonts w:ascii="Arial" w:cs="Arial" w:eastAsia="Arial" w:hAnsi="Arial"/>
          <w:sz w:val="17"/>
          <w:szCs w:val="17"/>
          <w:color w:val="auto"/>
        </w:rPr>
        <w:t>) and assessment of liver metabolism (</w:t>
      </w:r>
      <w:r>
        <w:rPr>
          <w:rFonts w:ascii="Arial" w:cs="Arial" w:eastAsia="Arial" w:hAnsi="Arial"/>
          <w:sz w:val="14"/>
          <w:szCs w:val="14"/>
          <w:color w:val="auto"/>
        </w:rPr>
        <w:t>13</w:t>
      </w:r>
      <w:r>
        <w:rPr>
          <w:rFonts w:ascii="Arial" w:cs="Arial" w:eastAsia="Arial" w:hAnsi="Arial"/>
          <w:sz w:val="17"/>
          <w:szCs w:val="17"/>
          <w:color w:val="auto"/>
        </w:rPr>
        <w:t>C-methacetin breath test, Exalenz), which are non-invasive measures of the liver that may be used in future studies. A late-breaking abstract on screening data results correlating clinically significant portal hypertension and methacetin breath test results was presented at The International Liver Congress™ in Amsterdam on April 20, 2017. The DSMB concluded its third and final review of the safety and conduct of the in-life phase of our NASH-CX trial and indicated it concurrence with continuation of the trial and the ‘clean’ safety profile. As of the time of their evaluation, therapy had been completed in 68% of subjects in the NASH-CX trial. As of September 30, 2017, 151 patients (100%) have completed all 52 weeks of infusions in this Phase 2b clinical trial. All of the doses have already been administered and end of study HVPG and liver biopsies have been completed. The dropout rate remains at approximately 7%, which is well below expectations, which may increase the power of the trial. We currently expect approximately 151 subjects will complete the trial in November 2017. This trial was designed, and is being conducted, with a primary endpoint that the U.S. Food and Drug Administration views may be a surrogate for outcomes for registration trials in this patient population. After completion of study endpoints and initial analysis of data, the Company remains on track to report top line data from the NASH-CX trial in early December 2017.</w:t>
      </w:r>
    </w:p>
    <w:p>
      <w:pPr>
        <w:spacing w:after="0" w:line="19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second trial, our Phase 2a pilot trial NASH-FX for patients with NASH advanced fibrosis that explored use of three non-invasive imaging technologies, is now complete. It was a shorter, single site,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5"/>
          <w:szCs w:val="15"/>
          <w:color w:val="auto"/>
        </w:rPr>
        <w:t>(R)</w:t>
      </w:r>
      <w:r>
        <w:rPr>
          <w:rFonts w:ascii="Arial" w:cs="Arial" w:eastAsia="Arial" w:hAnsi="Arial"/>
          <w:sz w:val="18"/>
          <w:szCs w:val="18"/>
          <w:color w:val="auto"/>
        </w:rPr>
        <w:t>, Perspectum Diagnostics). The trial also did not meet secondary endpoints that measure liver stiffness as a surrogate for fibrosis using, magnetic resonance-elastography and FibroScan score. After analysis of the data, we do not believe that a four-month treatment period was likely long enough in the NASH population to show efficacy results. This small study was not powered for the secondary endpoints and thus, not surprisingly did not meet the secondary endpoints. In the trial, GR-MD-02 was found to be safe and well tolerated among the patient population with no serious adverse events.</w:t>
      </w:r>
    </w:p>
    <w:p>
      <w:pPr>
        <w:spacing w:after="0" w:line="192"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and in moderate-to-severe atopic dermatitis patients, suggesting the compound has activity in an immune-mediated inflammatory human disease that can occur in association with NASH and in which galectin-3 is believed to play a role.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and renal disease. We have further demonstrated the broad applicability of the actions of our galectin-3 inhibitor’s biological effect in ameliorating fibrosis involving lung, kidney, blood vessels, and cardiac tissues in a variety of animal models.</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in the liver and, thereby improve liver function and prevent the development of complications of fibrosis/cirrhosis and liver-related mortality in patients.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Cancer Immunotherapy. </w:t>
      </w:r>
      <w:r>
        <w:rPr>
          <w:rFonts w:ascii="Arial" w:cs="Arial" w:eastAsia="Arial" w:hAnsi="Arial"/>
          <w:sz w:val="16"/>
          <w:szCs w:val="16"/>
          <w:color w:val="auto"/>
        </w:rPr>
        <w:t>We believe there is potential for galectin inhibition to play a key role in the burgeoning area of cancer immunotherapy. For</w:t>
      </w:r>
      <w:r>
        <w:rPr>
          <w:rFonts w:ascii="Arial" w:cs="Arial" w:eastAsia="Arial" w:hAnsi="Arial"/>
          <w:sz w:val="16"/>
          <w:szCs w:val="16"/>
          <w:i w:val="1"/>
          <w:iCs w:val="1"/>
          <w:color w:val="auto"/>
        </w:rPr>
        <w:t xml:space="preserve"> </w:t>
      </w:r>
      <w:r>
        <w:rPr>
          <w:rFonts w:ascii="Arial" w:cs="Arial" w:eastAsia="Arial" w:hAnsi="Arial"/>
          <w:sz w:val="16"/>
          <w:szCs w:val="16"/>
          <w:color w:val="auto"/>
        </w:rPr>
        <w:t>example, there have been several recent approvals of drugs that enhance a patient’s immune system to fight cancer. It is our goal to use a galectin inhibitor to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and with the immune cell activator anti-OX40. These preclinical data led to the filing of two Investigator-sponsored INDs and the initiation of studies of GR-MD-02 in combination with Yervoy</w:t>
      </w:r>
      <w:r>
        <w:rPr>
          <w:rFonts w:ascii="Arial" w:cs="Arial" w:eastAsia="Arial" w:hAnsi="Arial"/>
          <w:sz w:val="13"/>
          <w:szCs w:val="13"/>
          <w:color w:val="auto"/>
        </w:rPr>
        <w:t>®</w:t>
      </w:r>
      <w:r>
        <w:rPr>
          <w:rFonts w:ascii="Arial" w:cs="Arial" w:eastAsia="Arial" w:hAnsi="Arial"/>
          <w:sz w:val="16"/>
          <w:szCs w:val="16"/>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Data on this combination immunotherapy program was presented on February 7, 2017 at the 9th GTCBio Immunotherapeutics &amp; Immunomonitoring Conference in San Diego, CA by Dr. William L. Redmond, Providence Cancer Center. Preclinical results in mouse models of multiple types of cancers showed important anti-tumor and increased survival effects of combining GR-MD-02 with different types of immune modulators, providing a case for progressing studies into human patients with cancer. Seven patients were treated in the GR-MD-02 in combination with Yervoy trial, with no safety concerns in these low dose cohorts. Due to changes in the standard of care for metastatic melanoma (i.e., approval of anti-PD-1), recruitment has been slowed significantly in this trial. Promising results were reported in the Phase 1b trial combining GR-MD-02 with pembrolizumab (KEYTRUDA). Cohort 1 was completed (n=6, 5 with melanoma, one head and neck) with one partial response and one mixed response in 5 melanoma patients. There was a rapid and marked tumor response after 3 doses of combined GR-MD-02 and pembrolizumab in the one partial response patient who had failed high-dose IL-2 and oncolytic virus + ipilimumab. This Phase 1b clinical trial that combines GR-MD-02 with pembrolizumab (KEYTRUDA</w:t>
      </w:r>
      <w:r>
        <w:rPr>
          <w:rFonts w:ascii="Arial" w:cs="Arial" w:eastAsia="Arial" w:hAnsi="Arial"/>
          <w:sz w:val="13"/>
          <w:szCs w:val="13"/>
          <w:color w:val="auto"/>
        </w:rPr>
        <w:t>®</w:t>
      </w:r>
      <w:r>
        <w:rPr>
          <w:rFonts w:ascii="Arial" w:cs="Arial" w:eastAsia="Arial" w:hAnsi="Arial"/>
          <w:sz w:val="16"/>
          <w:szCs w:val="16"/>
          <w:color w:val="auto"/>
        </w:rPr>
        <w:t>) continues to enroll patients and recently completed the second cohort, which used 4 mg/kg GR-MD-02. The third cohort, which will start 85 days following the final patient enrollment in the second cohort, will enroll 10 patients at a dose of 8 mg/kg GR-MD-02. There will likely be additional data reported in early 2018. The study is ongoing and progression to further development will be based on response rate as compared to historical response rates to pembrolizumab alone.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Severe skin diseases.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Psorasis. </w:t>
      </w:r>
      <w:r>
        <w:rPr>
          <w:rFonts w:ascii="Arial" w:cs="Arial" w:eastAsia="Arial" w:hAnsi="Arial"/>
          <w:sz w:val="18"/>
          <w:szCs w:val="18"/>
          <w:color w:val="auto"/>
        </w:rPr>
        <w:t>During our Phase 1 NASH fibrosis trial with GR-MD-02, a clinical effect on plaque psoriasis was observed in a NASH patient who also had</w:t>
      </w:r>
      <w:r>
        <w:rPr>
          <w:rFonts w:ascii="Arial" w:cs="Arial" w:eastAsia="Arial" w:hAnsi="Arial"/>
          <w:sz w:val="18"/>
          <w:szCs w:val="18"/>
          <w:i w:val="1"/>
          <w:iCs w:val="1"/>
          <w:color w:val="auto"/>
        </w:rPr>
        <w:t xml:space="preserve"> </w:t>
      </w:r>
      <w:r>
        <w:rPr>
          <w:rFonts w:ascii="Arial" w:cs="Arial" w:eastAsia="Arial" w:hAnsi="Arial"/>
          <w:sz w:val="18"/>
          <w:szCs w:val="18"/>
          <w:color w:val="auto"/>
        </w:rPr>
        <w:t>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8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5 patients with moderate to severe plaque psoriasis were administered GR-MD-02 every two weeks for 24 weeks. In May 2016, we reported positive results on the first four patients after 12 weeks of therapy. Based on these results, we modified the trial to include 24 weeks of therapy. In August 2016, we reported on four patients after 24 weeks of therapy and one patient after</w:t>
      </w:r>
    </w:p>
    <w:p>
      <w:pPr>
        <w:spacing w:after="0" w:line="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12 weeks of therapy. The four patients who received 24 weeks of therapy experienced an average of 48% improvement in their plaque 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GR-MD-02, the next steps would entail a controlled, does-ranging clinical trial which we do not expect to conduct absent a strategic partnership. The results of this Phase 2a clinical trial was presented at the Maui Derm for Dermatologists meeting in March 2017. The results have been published in the Journal of the American Academy of Dermatology in October 2017.</w:t>
      </w:r>
    </w:p>
    <w:p>
      <w:pPr>
        <w:spacing w:after="0" w:line="1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Atopic Dermatitis</w:t>
      </w:r>
      <w:r>
        <w:rPr>
          <w:rFonts w:ascii="Arial" w:cs="Arial" w:eastAsia="Arial" w:hAnsi="Arial"/>
          <w:sz w:val="17"/>
          <w:szCs w:val="17"/>
          <w:color w:val="auto"/>
        </w:rPr>
        <w:t>. Atopic Dermatitis (AD) is a chronic pruritic (itching), immune-mediated, inflammatory skin disease that for some adult patients can</w:t>
      </w:r>
      <w:r>
        <w:rPr>
          <w:rFonts w:ascii="Arial" w:cs="Arial" w:eastAsia="Arial" w:hAnsi="Arial"/>
          <w:sz w:val="17"/>
          <w:szCs w:val="17"/>
          <w:i w:val="1"/>
          <w:iCs w:val="1"/>
          <w:color w:val="auto"/>
        </w:rPr>
        <w:t xml:space="preserve"> </w:t>
      </w:r>
      <w:r>
        <w:rPr>
          <w:rFonts w:ascii="Arial" w:cs="Arial" w:eastAsia="Arial" w:hAnsi="Arial"/>
          <w:sz w:val="17"/>
          <w:szCs w:val="17"/>
          <w:color w:val="auto"/>
        </w:rPr>
        <w:t>be severe and debilitating. There is an important unmet medical need in adults with severe disease who are not adequately treated with topical medicines. Our findings in psoriasis led to an interest in exploring the potential utility of the compound in treatment of AD. A Phase 2a open label trial was initiated in 3 adult patients who were treated with GR-MD-02 at 8 mg/Kg every other week for 12 weeks, and dosage could be increased to 12 mg/Kg for weeks 12-24 if an incomplete response was observed. The response was objectively evaluated using two validated scores: the EASI (eczema area and severity index) and SCORAD (severity scoring of atopic dermatitis index). All three patients showed clinical responses as determined by reduction of EASI and SCORAD during the study. but no subject achieved a primary endpoint. Upon completion of the 24-week treatment phase subject 1 met both secondary endpoints of SCORAD-50 and EASI-50, and subject 2 met one secondary endpoint (EASI-50). Subject 3 approached a secondary endpoint with an EASI reduction of 49% at week 24. There were no drug related adverse events during this trial. These initial findings are believed to suggest a clinically relevant effect. Additionally, the 12 mg/Kg dosage was administered safely in this patient population.</w:t>
      </w:r>
    </w:p>
    <w:p>
      <w:pPr>
        <w:spacing w:after="0" w:line="178"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We believe the mechanism of action for GR-MD-02 in moderate to severe skin diseases is based upon interaction with, and inhibition of, galectin proteins, particularly galectin-3, which are expressed at high levels in certain pathological states including inflammation, fibrosis, skin diseases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2017 Compared to Three Months Ended September 30,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6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2017 as Compared to 2016</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14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2"/>
                <w:szCs w:val="12"/>
                <w:color w:val="auto"/>
              </w:rPr>
            </w:pPr>
          </w:p>
        </w:tc>
        <w:tc>
          <w:tcPr>
            <w:tcW w:w="168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64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2"/>
                <w:szCs w:val="12"/>
                <w:color w:val="auto"/>
              </w:rPr>
            </w:pPr>
          </w:p>
        </w:tc>
        <w:tc>
          <w:tcPr>
            <w:tcW w:w="152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Nine Months</w:t>
            </w:r>
          </w:p>
        </w:tc>
        <w:tc>
          <w:tcPr>
            <w:tcW w:w="26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w w:val="89"/>
              </w:rPr>
              <w:t>Change</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Change</w:t>
            </w:r>
          </w:p>
        </w:tc>
        <w:tc>
          <w:tcPr>
            <w:tcW w:w="7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 except %)</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89"/>
              </w:rPr>
              <w:t>$ 3,503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$ 3,289</w:t>
            </w:r>
          </w:p>
        </w:tc>
        <w:tc>
          <w:tcPr>
            <w:tcW w:w="9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$10,719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214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(1,173)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365"/>
        </w:trPr>
        <w:tc>
          <w:tcPr>
            <w:tcW w:w="4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We have two product candidates, GR-MD-02 and GM-CT-01; however only GR-MD-02 is in active development. We filed for an IND for GR-MD-02 in January 2013 and in February 2013 we entered into an agreement with CTI to conduct a Phase 1 clinical trial of GR-MD-02. In March 2013, the FDA indicated we could proceed with a Phase 1 human clinical trial of GR-MD-02, and we began enrolling patients in the third quarter of 2013. In January 2014, we completed the enrollment of the first cohort of patients in the Phase 1 trial with no serious adverse events being reported. We reported initial safety and tolerability results from the first cohort of patients on March 31,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 results of the Phase 1 study demonstrate that</w:t>
      </w:r>
    </w:p>
    <w:p>
      <w:pPr>
        <w:spacing w:after="0" w:line="3" w:lineRule="exact"/>
        <w:rPr>
          <w:sz w:val="20"/>
          <w:szCs w:val="20"/>
          <w:color w:val="auto"/>
        </w:rPr>
      </w:pPr>
    </w:p>
    <w:p>
      <w:pPr>
        <w:ind w:right="20" w:firstLine="8"/>
        <w:spacing w:after="0" w:line="252"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GR-MD-02 was safe and well tolerated by patients with advanced NASH liver fibrosis after IV administration of four doses of 2 mg/kg, 4 mg/kg and 8mg/kg lean body weight, (ii) Pharmacokinetics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 FibroTest </w:t>
      </w:r>
      <w:r>
        <w:rPr>
          <w:rFonts w:ascii="Arial" w:cs="Arial" w:eastAsia="Arial" w:hAnsi="Arial"/>
          <w:sz w:val="15"/>
          <w:szCs w:val="15"/>
          <w:color w:val="auto"/>
        </w:rPr>
        <w:t>®</w:t>
      </w:r>
      <w:r>
        <w:rPr>
          <w:rFonts w:ascii="Arial" w:cs="Arial" w:eastAsia="Arial" w:hAnsi="Arial"/>
          <w:sz w:val="18"/>
          <w:szCs w:val="18"/>
          <w:color w:val="auto"/>
        </w:rPr>
        <w:t xml:space="preserve"> scores due to a statistically significant reduction in alpha-2 macroglobulin (A2M) serum levels, and (iv) Liver Stiffness Effect, as measured by FibroScan </w:t>
      </w:r>
      <w:r>
        <w:rPr>
          <w:rFonts w:ascii="Arial" w:cs="Arial" w:eastAsia="Arial" w:hAnsi="Arial"/>
          <w:sz w:val="15"/>
          <w:szCs w:val="15"/>
          <w:color w:val="auto"/>
        </w:rPr>
        <w:t>®</w:t>
      </w:r>
      <w:r>
        <w:rPr>
          <w:rFonts w:ascii="Arial" w:cs="Arial" w:eastAsia="Arial" w:hAnsi="Arial"/>
          <w:sz w:val="18"/>
          <w:szCs w:val="18"/>
          <w:color w:val="auto"/>
        </w:rPr>
        <w:t xml:space="preserve"> showed that there was a signal of reduced liver stiffness in patients receiving GR-MD-02. The reduction seen in A2M does </w:t>
      </w:r>
      <w:r>
        <w:rPr>
          <w:rFonts w:ascii="Arial" w:cs="Arial" w:eastAsia="Arial" w:hAnsi="Arial"/>
          <w:sz w:val="18"/>
          <w:szCs w:val="18"/>
          <w:i w:val="1"/>
          <w:iCs w:val="1"/>
          <w:color w:val="auto"/>
        </w:rPr>
        <w:t>not</w:t>
      </w:r>
      <w:r>
        <w:rPr>
          <w:rFonts w:ascii="Arial" w:cs="Arial" w:eastAsia="Arial" w:hAnsi="Arial"/>
          <w:sz w:val="18"/>
          <w:szCs w:val="18"/>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provide a firm foundation for entry into a Phase 2 development program.</w:t>
      </w:r>
    </w:p>
    <w:p>
      <w:pPr>
        <w:spacing w:after="0" w:line="19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held an “End of Phase 1 meeting” with the FDA and, amongst other things, received guidance on the primary endpoints for a Phase 2 trial. Our Phase 2 program in fibrotic disease consists of two separate human clinical trials. The first clinical trial is the Phase 2b NASH-CX study for patients with NASH with cirrhosis, which began enrolling in June 2015. This study is the primary focus of our program and is a randomized, placebo-controlled, double-blind, parallel-group Phase 2 trial to evaluate the safety and efficacy of GR-MD-02 for the treatment of liver fibrosis and resultant portal hypertension in patients with NASH cirrhosis. Enrollment in this trial was completed in September 2016, and a total of 162 patients at 36 sites in the United States were be randomized to receive either 2 mg/kg of GR-MD-02, 8 mg/kg of GR-MD-02 or placebo, with approximately 54 patients in each group. The primary endpoint is a reduction in change in hepatic venous pressure gradient (HVPG). Patients are receiving an infusion every other week for one year, total of 26 infusions, and will be evaluated to determine the change in HVPG as compared with placebo. HVPG will be correlated with secondary endpoints of fibrosis on liver biopsy as well as with measurement of liver stiffness (FibroScan</w:t>
      </w:r>
      <w:r>
        <w:rPr>
          <w:rFonts w:ascii="Arial" w:cs="Arial" w:eastAsia="Arial" w:hAnsi="Arial"/>
          <w:sz w:val="13"/>
          <w:szCs w:val="13"/>
          <w:color w:val="auto"/>
        </w:rPr>
        <w:t>(R)</w:t>
      </w:r>
      <w:r>
        <w:rPr>
          <w:rFonts w:ascii="Arial" w:cs="Arial" w:eastAsia="Arial" w:hAnsi="Arial"/>
          <w:sz w:val="16"/>
          <w:szCs w:val="16"/>
          <w:color w:val="auto"/>
        </w:rPr>
        <w:t>) and assessment of liver metabolism (</w:t>
      </w:r>
      <w:r>
        <w:rPr>
          <w:rFonts w:ascii="Arial" w:cs="Arial" w:eastAsia="Arial" w:hAnsi="Arial"/>
          <w:sz w:val="13"/>
          <w:szCs w:val="13"/>
          <w:color w:val="auto"/>
        </w:rPr>
        <w:t>13</w:t>
      </w:r>
      <w:r>
        <w:rPr>
          <w:rFonts w:ascii="Arial" w:cs="Arial" w:eastAsia="Arial" w:hAnsi="Arial"/>
          <w:sz w:val="16"/>
          <w:szCs w:val="16"/>
          <w:color w:val="auto"/>
        </w:rPr>
        <w:t>C-methacetin breath test, Exalenz), which are non-invasive measures of the liver that may be used in future studies. Data readout is expected in early December 2017.</w:t>
      </w:r>
    </w:p>
    <w:p>
      <w:pPr>
        <w:spacing w:after="0" w:line="16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second trial, our Phase 2a pilot trial NASH-FX for patients with NASH advanced fibrosis which explored use of three non-invasive imaging technologies, is now complete. It was a shorter,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5"/>
          <w:szCs w:val="15"/>
          <w:color w:val="auto"/>
        </w:rPr>
        <w:t>(R)</w:t>
      </w:r>
      <w:r>
        <w:rPr>
          <w:rFonts w:ascii="Arial" w:cs="Arial" w:eastAsia="Arial" w:hAnsi="Arial"/>
          <w:sz w:val="18"/>
          <w:szCs w:val="18"/>
          <w:color w:val="auto"/>
        </w:rPr>
        <w:t>, Perspectum Diagnostics). The trial also did not meet secondary endpoints that measure liver stiffness as a surrogate for fibrosis using, magnetic resonance-elastography and FibroScan score. After analysis of the data, we do not believe that a four-month treatment period was likely long enough in the NASH population to show efficacy results. This small study was not powered for the secondary endpoints and thus, not surprisingly did not meet the secondary endpoints. In the trial, GR-MD-02 was found to be safe and well tolerated among the patient population with no serious adverse events.</w:t>
      </w:r>
    </w:p>
    <w:p>
      <w:pPr>
        <w:spacing w:after="0" w:line="192"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a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renal disease and stroke. We have further demonstrated the broad applicability of the actions of our galectin-3 inhibitor’s biological effect in ameliorating fibrosis involving lung, kidney and cardiac tissues in a variety of animal models.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in the liver and, thereby improve liver function and prevent the development of complications of fibrosis/cirrhosis and liver-related mortality in patients.</w:t>
      </w:r>
    </w:p>
    <w:p>
      <w:pPr>
        <w:spacing w:after="0" w:line="17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Additionally, during the Phase 1 clinical trial, there appeared to be a potential beneficial effect on at least one patient’s moderate to severe psoriasis. 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4 patients with moderate to severe plaque psoriasis were administered GR-MD-02 every two weeks for 12 weeks. In May 2016, we reported positive results on the first four patients after 12 weeks of therapy. Based on these results, we modified the trial to include 24 weeks of therapy. In August 2016, we reported on four patients after 24 weeks of therapy and one patient after</w:t>
      </w:r>
    </w:p>
    <w:p>
      <w:pPr>
        <w:spacing w:after="0" w:line="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12 weeks of therapy. The four patients who received 24 weeks of therapy experienced an average of 48% improvement in their plaque psoriasis. However, there are existing drugs on the market in this disease that produce 75% and higher improvements. While we are encouraged that this study has demonstrated clinically meaningful results in a human disease with GR-MD-02, we do not expect to conduct further trials in this area absent a strategic partnership.</w:t>
      </w:r>
    </w:p>
    <w:p>
      <w:pPr>
        <w:spacing w:after="0" w:line="155"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An open label drug-drug interaction study was completed with GR-MD-02 and it showed that with 8 mg/kg dose of GR-MD-02 and 2 mg/kg dose of midazolam there was no drug-drug interaction and no serious adverse events or drug-related adverse events were observed. This study was required by the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enables Galectin to expand the number of patients eligible for its Phase 2 clinical trial. In addition, should GR-MD-02 be approved for marketing, the success of this study supports a broader patient population for the drug label.</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Based on guidance from FDA and in furtherance of its understanding of the GR-MD-02 molecule, we continue to enhance its chemistry, manufacturing and control procedures on GR-MD-02 active pharmaceutical ingredient (API) as well as on the finished, sterile, pharmaceutical dosage form. Various state of the art and cutting-edge analytical technologies are being utilized, for example, to characterize and quantify the backbone vs. side-chain constituents and their quantitation, use of sophisticated linkage analysis with 2-D NMR to provide both qualitative and quantitative information on the proportion of oligomers, degree of methylation, as well as other monoclonal specific antibody techniques to map GR oligomer integrity and distribution. The Company has also characterized how the GR molecule behaves under conditions of forced degradation.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expenses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4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4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2016</w:t>
            </w:r>
          </w:p>
        </w:tc>
        <w:tc>
          <w:tcPr>
            <w:tcW w:w="2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5"/>
          </w:tcPr>
          <w:p>
            <w:pPr>
              <w:jc w:val="right"/>
              <w:ind w:right="54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3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4460" w:type="dxa"/>
            <w:vAlign w:val="bottom"/>
            <w:gridSpan w:val="3"/>
          </w:tcPr>
          <w:p>
            <w:pPr>
              <w:jc w:val="right"/>
              <w:ind w:right="120"/>
              <w:spacing w:after="0"/>
              <w:rPr>
                <w:sz w:val="20"/>
                <w:szCs w:val="20"/>
                <w:color w:val="auto"/>
              </w:rPr>
            </w:pPr>
            <w:r>
              <w:rPr>
                <w:rFonts w:ascii="Arial" w:cs="Arial" w:eastAsia="Arial" w:hAnsi="Arial"/>
                <w:sz w:val="18"/>
                <w:szCs w:val="18"/>
                <w:color w:val="auto"/>
              </w:rPr>
              <w:t>$ 2,945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2,499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8,973</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9,272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4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37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$ 3,503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10,719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11,892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780" w:type="dxa"/>
            <w:vAlign w:val="bottom"/>
            <w:vMerge w:val="restart"/>
          </w:tcPr>
          <w:p>
            <w:pPr>
              <w:jc w:val="right"/>
              <w:ind w:right="2330"/>
              <w:spacing w:after="0"/>
              <w:rPr>
                <w:sz w:val="20"/>
                <w:szCs w:val="20"/>
                <w:color w:val="auto"/>
              </w:rPr>
            </w:pPr>
            <w:r>
              <w:rPr>
                <w:rFonts w:ascii="Arial" w:cs="Arial" w:eastAsia="Arial" w:hAnsi="Arial"/>
                <w:sz w:val="18"/>
                <w:szCs w:val="18"/>
                <w:color w:val="auto"/>
              </w:rPr>
              <w:t>19</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Clinical programs expenses increased during the three months ended September 30, 2017 as compared to the prior year and decreased during nine months ended September 30, 2017 as compared to the same period in 2016 primarily due to timing of costs incurred in the NASH-CX clinical trial. As we continue our Phase 2 trial, we expect our clinical activities costs will increase although they may fluctuate from quarter to quarter as the trials progress. Clinical activities expenses primarily decreased due to reduced expenses associated with drug manufacturing and preparation. Pre-clinical activities decreased primarily because we have completed pre-clinical work directly related to our Phase 2 clinical trial program. Other research and development expense decreased in the nine months ended September 30, 2017 compared to 2016 primarily due to a decrease in non-cash stock-based compensation expense of approximately $191,000.</w:t>
      </w:r>
    </w:p>
    <w:p>
      <w:pPr>
        <w:spacing w:after="0" w:line="189"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2017 as Compared to 2016</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2"/>
                <w:szCs w:val="12"/>
                <w:color w:val="auto"/>
              </w:rPr>
            </w:pPr>
          </w:p>
        </w:tc>
        <w:tc>
          <w:tcPr>
            <w:tcW w:w="156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72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2"/>
                <w:szCs w:val="12"/>
                <w:color w:val="auto"/>
              </w:rPr>
            </w:pPr>
          </w:p>
        </w:tc>
        <w:tc>
          <w:tcPr>
            <w:tcW w:w="152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Nine Months</w:t>
            </w:r>
          </w:p>
        </w:tc>
        <w:tc>
          <w:tcPr>
            <w:tcW w:w="26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89"/>
              </w:rPr>
              <w:t>Change</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Change</w:t>
            </w:r>
          </w:p>
        </w:tc>
        <w:tc>
          <w:tcPr>
            <w:tcW w:w="7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40" w:type="dxa"/>
            <w:vAlign w:val="bottom"/>
            <w:gridSpan w:val="6"/>
          </w:tcPr>
          <w:p>
            <w:pPr>
              <w:jc w:val="right"/>
              <w:ind w:right="900"/>
              <w:spacing w:after="0" w:line="142" w:lineRule="exact"/>
              <w:rPr>
                <w:sz w:val="20"/>
                <w:szCs w:val="20"/>
                <w:color w:val="auto"/>
              </w:rPr>
            </w:pPr>
            <w:r>
              <w:rPr>
                <w:rFonts w:ascii="Arial" w:cs="Arial" w:eastAsia="Arial" w:hAnsi="Arial"/>
                <w:sz w:val="14"/>
                <w:szCs w:val="14"/>
                <w:b w:val="1"/>
                <w:bCs w:val="1"/>
                <w:color w:val="auto"/>
              </w:rPr>
              <w:t>(In thousands, except %)</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$ 911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1,248</w:t>
            </w: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$ 3,155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$ 4,990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(337)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(1,835)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bl>
    <w:p>
      <w:pPr>
        <w:spacing w:after="0" w:line="2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General and administrative expenses consist primarily of salaries including stock based compensation, legal and accounting fees, insurance, investor relations, business development and other office related expenses. The primary reasons for the decrease in general and administrative expenses for the three months ended September 30, 2017 as compared to the same period in 2016 are reduced legal expenses of approximately $163,000 and decreased non-cash stock compensation expense of approximately $90,000. The primary reasons for the decrease in general and administrative expenses for the nine months ended September 30, 2017 as compared to the same period in 2016 is due to recording of severance of $300,000, acceleration of non-cash, stock-based compensation expense of $578,000 related to the termination of the Company’s executive chairman in January 2016, a decrease in investor relations expenses of approximately $335,000, a decrease in legal expenses of $248,000, and a decrease in non-cash stock based compensation expense of $403,000.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Since our inception on July 10, 2000, we have financed our operations from proceeds of public and private offerings of debt and equity. As of September 30, 2017, we raised a net total of $132 million from these offerings. We have operated at a loss since our inception and have had no significant revenues. We anticipate that losses will continue for the foreseeable future. At September 30, 2017, we had $7.0 million of unrestricted cash and cash equivalents available to fund future operations. We believe that with the cash on hand at September 30, 2017, there is sufficient cash to fund currently planned operations through February 2018 which creates uncertainty about the Company’s ability to continue as a going concern. Our ability to fund operations after our current cash resources are exhausted depends on our ability to obtain additional financing or achieve profitable operations, as to which no assurances can be given. Accordingly, based on the forecasts and estimates underlying the Company’s current operating plan, substantial doubt exists about the ability for the Company to continue as a going concern. The financial statements do not currently include any adjustments that might be necessary if the Company is unable to continue as a going concern.</w:t>
      </w:r>
    </w:p>
    <w:p>
      <w:pPr>
        <w:spacing w:after="0" w:line="18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Net cash used in operations increased by $444,000 to $11,988,000 for the nine months ended September 30, 2017, as compared to $11,544,000 for the nine months ended September 30, 2016. Cash operating expenses increased principally just due to timing of payments for research and development activities related to our clinical trial activity with GR-MD-02.</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Net cash provided by financing activities the nine months ended September 30, 2017 and 2016, of $3,584,000 and $1,757,000, respectively, represents net proceeds from the sale of common and preferred stock and warrants.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2016 Annual Report on Form 10-K.</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September 30, 2017, our disclosure controls and procedures were effective at a reasonable assurance level. During the quarter ended September 30, 2017, no change in our internal control over financial reporting has materially affected, or is reasonably likely to materially affect, our internal control over financial reporting.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except as discussed in Note 8 to our condensed consolidated financial statements included in this report.</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information set forth in this report should be read in conjunction with the risk factors set forth in Item 1A, “Risk Factors,” of Part I of our Annual Report on Form 10-K for the year ended December 31, 2016, which could materially impact our business, financial condition or future results.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Item 6.</w:t>
            </w:r>
          </w:p>
        </w:tc>
        <w:tc>
          <w:tcPr>
            <w:tcW w:w="9080" w:type="dxa"/>
            <w:vAlign w:val="bottom"/>
            <w:gridSpan w:val="5"/>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8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85"/>
        </w:trPr>
        <w:tc>
          <w:tcPr>
            <w:tcW w:w="8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6"/>
                <w:szCs w:val="16"/>
                <w:color w:val="auto"/>
              </w:rPr>
            </w:pPr>
          </w:p>
        </w:tc>
        <w:tc>
          <w:tcPr>
            <w:tcW w:w="8720" w:type="dxa"/>
            <w:vAlign w:val="bottom"/>
            <w:gridSpan w:val="4"/>
          </w:tcPr>
          <w:p>
            <w:pPr>
              <w:ind w:left="372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51"/>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20" w:type="dxa"/>
            <w:vAlign w:val="bottom"/>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Certification Pursuant to Rule 13a-14(a) of the Securities Exchange Act of 1934</w:t>
              </w:r>
            </w:hyperlink>
          </w:p>
        </w:tc>
      </w:tr>
      <w:tr>
        <w:trPr>
          <w:trHeight w:val="20"/>
        </w:trPr>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60" w:type="dxa"/>
            <w:vAlign w:val="bottom"/>
            <w:gridSpan w:val="3"/>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04"/>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2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Certification Pursuant to Rule 13a-14(a) of the Securities Exchange Act of 1934</w:t>
              </w:r>
            </w:hyperlink>
          </w:p>
        </w:tc>
      </w:tr>
      <w:tr>
        <w:trPr>
          <w:trHeight w:val="20"/>
        </w:trPr>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60" w:type="dxa"/>
            <w:vAlign w:val="bottom"/>
            <w:gridSpan w:val="3"/>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04"/>
        </w:trPr>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Certification Pursuant to 18 U.S.C. Section 1350, as Adopted Pursuant to Section 906 of the Sarbanes-Oxley Act of 2002</w:t>
              </w:r>
            </w:hyperlink>
          </w:p>
        </w:tc>
      </w:tr>
      <w:tr>
        <w:trPr>
          <w:trHeight w:val="304"/>
        </w:trPr>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Certification Pursuant to 18 U.S.C. Section 1350, as Adopted Pursuant to Section 906 of the Sarbanes-Oxley Act of 2002</w:t>
              </w:r>
            </w:hyperlink>
          </w:p>
        </w:tc>
      </w:tr>
      <w:tr>
        <w:trPr>
          <w:trHeight w:val="345"/>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101.SCH</w:t>
            </w:r>
          </w:p>
        </w:tc>
        <w:tc>
          <w:tcPr>
            <w:tcW w:w="360" w:type="dxa"/>
            <w:vAlign w:val="bottom"/>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97"/>
              </w:rPr>
              <w:t>101.CAL</w:t>
            </w:r>
          </w:p>
        </w:tc>
        <w:tc>
          <w:tcPr>
            <w:tcW w:w="360" w:type="dxa"/>
            <w:vAlign w:val="bottom"/>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8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101.DEF</w:t>
            </w:r>
          </w:p>
        </w:tc>
        <w:tc>
          <w:tcPr>
            <w:tcW w:w="360" w:type="dxa"/>
            <w:vAlign w:val="bottom"/>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98"/>
              </w:rPr>
              <w:t>101.LAB</w:t>
            </w:r>
          </w:p>
        </w:tc>
        <w:tc>
          <w:tcPr>
            <w:tcW w:w="360" w:type="dxa"/>
            <w:vAlign w:val="bottom"/>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86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101.PRE</w:t>
            </w:r>
          </w:p>
        </w:tc>
        <w:tc>
          <w:tcPr>
            <w:tcW w:w="360" w:type="dxa"/>
            <w:vAlign w:val="bottom"/>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20" w:right="1280" w:hanging="5612"/>
        <w:spacing w:after="0" w:line="433" w:lineRule="auto"/>
        <w:tabs>
          <w:tab w:leader="none" w:pos="45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 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Reference</w:t>
      </w:r>
    </w:p>
    <w:p>
      <w:pPr>
        <w:sectPr>
          <w:pgSz w:w="11900" w:h="16838" w:orient="portrait"/>
          <w:cols w:equalWidth="0" w:num="2">
            <w:col w:w="10040" w:space="720"/>
            <w:col w:w="62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7, 2017.</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Peter G. Traber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Peter G. Traber, M.D.</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Jack W. Callicutt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13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November 7, 2017</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G. Traber</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Peter G. Traber, M.D.</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November 7, 2017</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September 30, 2017 as filed with the Securities and Exchange Commission on the date hereof (the “Report”), I, Peter G. Traber, Chief Executive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November 7 , 2017</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G. Traber</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Peter G. Traber, M.D.</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September 30, 2017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November 7, 2017</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Roman"/>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2019-12-29T03:13:05Z</dcterms:created>
  <dcterms:modified xsi:type="dcterms:W3CDTF">2019-12-29T03:13:05Z</dcterms:modified>
</cp:coreProperties>
</file>