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The number of shares outstanding of the registrant’s common stock as of May 8, 2015 was 23,729,885.</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600" w:type="dxa"/>
            <w:vAlign w:val="bottom"/>
            <w:tcBorders>
              <w:top w:val="single" w:sz="8" w:color="CCEEFF"/>
            </w:tcBorders>
            <w:gridSpan w:val="8"/>
            <w:shd w:val="clear" w:color="auto" w:fill="CCEEFF"/>
          </w:tcPr>
          <w:p>
            <w:pPr>
              <w:jc w:val="center"/>
              <w:ind w:right="2560"/>
              <w:spacing w:after="0" w:line="196" w:lineRule="exact"/>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6"/>
          </w:tcPr>
          <w:p>
            <w:pPr>
              <w:ind w:left="120"/>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4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and December 31, 2014 (unaudited)</w:t>
              </w:r>
            </w:hyperlink>
          </w:p>
        </w:tc>
        <w:tc>
          <w:tcPr>
            <w:tcW w:w="4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40" w:type="dxa"/>
            <w:vAlign w:val="bottom"/>
            <w:gridSpan w:val="1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2015 and 2014 (unaudited)</w:t>
              </w:r>
            </w:hyperlink>
          </w:p>
        </w:tc>
        <w:tc>
          <w:tcPr>
            <w:tcW w:w="4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2015 and 2014 (unaudited)</w:t>
              </w:r>
            </w:hyperlink>
          </w:p>
        </w:tc>
        <w:tc>
          <w:tcPr>
            <w:tcW w:w="4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58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136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gridSpan w:val="2"/>
          </w:tcPr>
          <w:p>
            <w:pPr>
              <w:jc w:val="right"/>
              <w:ind w:right="10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9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20" w:type="dxa"/>
            <w:vAlign w:val="bottom"/>
            <w:shd w:val="clear" w:color="auto" w:fill="CCEEFF"/>
          </w:tcPr>
          <w:p>
            <w:pPr>
              <w:spacing w:after="0"/>
              <w:rPr>
                <w:sz w:val="15"/>
                <w:szCs w:val="15"/>
                <w:color w:val="auto"/>
              </w:rPr>
            </w:pPr>
          </w:p>
        </w:tc>
        <w:tc>
          <w:tcPr>
            <w:tcW w:w="994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60" w:type="dxa"/>
            <w:vAlign w:val="bottom"/>
            <w:gridSpan w:val="16"/>
          </w:tcPr>
          <w:p>
            <w:pPr>
              <w:ind w:left="120"/>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98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060" w:type="dxa"/>
            <w:vAlign w:val="bottom"/>
            <w:gridSpan w:val="16"/>
            <w:shd w:val="clear" w:color="auto" w:fill="CCEEFF"/>
          </w:tcPr>
          <w:p>
            <w:pPr>
              <w:ind w:left="1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7600" w:type="dxa"/>
            <w:vAlign w:val="bottom"/>
            <w:tcBorders>
              <w:top w:val="single" w:sz="8" w:color="CCEEFF"/>
            </w:tcBorders>
            <w:gridSpan w:val="8"/>
          </w:tcPr>
          <w:p>
            <w:pPr>
              <w:jc w:val="center"/>
              <w:ind w:right="256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20" w:type="dxa"/>
            <w:vAlign w:val="bottom"/>
            <w:shd w:val="clear" w:color="auto" w:fill="CCEEFF"/>
          </w:tcPr>
          <w:p>
            <w:pPr>
              <w:spacing w:after="0"/>
              <w:rPr>
                <w:sz w:val="15"/>
                <w:szCs w:val="15"/>
                <w:color w:val="auto"/>
              </w:rPr>
            </w:pPr>
          </w:p>
        </w:tc>
        <w:tc>
          <w:tcPr>
            <w:tcW w:w="9940" w:type="dxa"/>
            <w:vAlign w:val="bottom"/>
            <w:gridSpan w:val="1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60" w:type="dxa"/>
            <w:vAlign w:val="bottom"/>
            <w:gridSpan w:val="16"/>
          </w:tcPr>
          <w:p>
            <w:pPr>
              <w:ind w:left="120"/>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580" w:type="dxa"/>
            <w:vAlign w:val="bottom"/>
            <w:tcBorders>
              <w:bottom w:val="single" w:sz="8" w:color="CCEEFF"/>
            </w:tcBorders>
            <w:gridSpan w:val="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60" w:type="dxa"/>
            <w:vAlign w:val="bottom"/>
            <w:gridSpan w:val="16"/>
          </w:tcPr>
          <w:p>
            <w:pPr>
              <w:ind w:left="12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8160" w:type="dxa"/>
            <w:vAlign w:val="bottom"/>
            <w:tcBorders>
              <w:bottom w:val="single" w:sz="8" w:color="CCEEFF"/>
            </w:tcBorders>
            <w:gridSpan w:val="9"/>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60" w:type="dxa"/>
            <w:vAlign w:val="bottom"/>
            <w:gridSpan w:val="16"/>
          </w:tcPr>
          <w:p>
            <w:pPr>
              <w:ind w:left="120"/>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20" w:type="dxa"/>
            <w:vAlign w:val="bottom"/>
            <w:shd w:val="clear" w:color="auto" w:fill="CCEEFF"/>
          </w:tcPr>
          <w:p>
            <w:pPr>
              <w:spacing w:after="0"/>
              <w:rPr>
                <w:sz w:val="15"/>
                <w:szCs w:val="15"/>
                <w:color w:val="auto"/>
              </w:rPr>
            </w:pPr>
          </w:p>
        </w:tc>
        <w:tc>
          <w:tcPr>
            <w:tcW w:w="9940" w:type="dxa"/>
            <w:vAlign w:val="bottom"/>
            <w:gridSpan w:val="15"/>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094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gridSpan w:val="2"/>
          </w:tcPr>
          <w:p>
            <w:pPr>
              <w:spacing w:after="0"/>
              <w:rPr>
                <w:sz w:val="24"/>
                <w:szCs w:val="24"/>
                <w:color w:val="auto"/>
              </w:rPr>
            </w:pPr>
          </w:p>
        </w:tc>
        <w:tc>
          <w:tcPr>
            <w:tcW w:w="4700" w:type="dxa"/>
            <w:vAlign w:val="bottom"/>
            <w:gridSpan w:val="9"/>
          </w:tcPr>
          <w:p>
            <w:pPr>
              <w:jc w:val="right"/>
              <w:ind w:right="4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1,291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w w:val="95"/>
              </w:rPr>
              <w:t>Series B-1 12% redeemable convertible preferred stock; 900,000 shares authorized, issued and outstanding at March 31,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2015 and December 31, 2014, redemption and liquidation value $1,800,000 at March 31, 2015</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1,735</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B-2 12% redeemable convertible preferred stock; 2,100,000 shares authorized,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2015 and December 31, 2014, redemption and liquidation value $4,200,000 at March 31, 2015</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3,378</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4"/>
              </w:rPr>
              <w:t>Series C super dividend convertible preferred stock; 1,000 shares authorized, 176 and 176 shares issued and outstanding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6"/>
              </w:rPr>
              <w:t>at March 31, 2015 and December 31, 2014, respectively, redemption value: $5,634,000, liquidation value: $1,760,000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at March 31, 2015</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6"/>
              </w:rPr>
              <w:t>Undesignated stock, $0.01 par value; 20,000,000 shares authorized, 8,001,000 designated at March 31, 2015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and December 31, 2014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5,000,000 shares authorized, 1,402,500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March 31, 2015 and December 31, 2014, liquidation value $1,402,500 at March 31, 2015</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7"/>
              </w:rPr>
              <w:t>Common stock, $0.001 par value; 50,000,000 shares authorized at March 31, 2015 and December 31, 2014,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w w:val="95"/>
              </w:rPr>
              <w:t>23,729,885 and 22,277,283 issued and outstanding at March 31, 2015 and December 31, 2014,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145,256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(123,999)</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4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3,136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Arial" w:cs="Arial" w:eastAsia="Arial" w:hAnsi="Arial"/>
                <w:sz w:val="18"/>
                <w:szCs w:val="18"/>
                <w:color w:val="auto"/>
              </w:rPr>
              <w:t>Loss from equity method investment in Galectin Sciences,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4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4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(4,826)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(5,110)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Loss from equity method investment in Galectin Sciences LLC</w:t>
            </w: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r>
      <w:tr>
        <w:trPr>
          <w:trHeight w:val="230"/>
        </w:trPr>
        <w:tc>
          <w:tcPr>
            <w:tcW w:w="20" w:type="dxa"/>
            <w:vAlign w:val="bottom"/>
          </w:tcPr>
          <w:p>
            <w:pPr>
              <w:spacing w:after="0"/>
              <w:rPr>
                <w:sz w:val="20"/>
                <w:szCs w:val="20"/>
                <w:color w:val="auto"/>
              </w:rPr>
            </w:pPr>
          </w:p>
        </w:tc>
        <w:tc>
          <w:tcPr>
            <w:tcW w:w="978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(3,619)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Equity method investment in Galectin Sciences LLC</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28,178</w:t>
            </w: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Proceeds from exercise of common stock warrants and options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30,124</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26,105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10,489</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36,594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March 31, 2015 and the results of its operations for the three months ended March 31, 2015 and 2014 and its cash flows for the three months ended March 31, 2015 and 2014.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2014.</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March 31, 2015, the Company had $29.3 million of unrestricted cash and cash equivalents available to fund future operations. The Company believes that with the cash on hand at March 31, 2015, there is sufficient cash to fund currently planned operations through September 30, 2016.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w w:val="93"/>
              </w:rPr>
              <w:t>March 31,</w:t>
            </w:r>
          </w:p>
        </w:tc>
        <w:tc>
          <w:tcPr>
            <w:tcW w:w="7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7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6"/>
              </w:rPr>
              <w:t>2015</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96"/>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1,010</w:t>
            </w:r>
          </w:p>
        </w:tc>
      </w:tr>
      <w:tr>
        <w:trPr>
          <w:trHeight w:val="27"/>
        </w:trPr>
        <w:tc>
          <w:tcPr>
            <w:tcW w:w="5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1,648</w:t>
            </w:r>
          </w:p>
        </w:tc>
      </w:tr>
      <w:tr>
        <w:trPr>
          <w:trHeight w:val="20"/>
        </w:trPr>
        <w:tc>
          <w:tcPr>
            <w:tcW w:w="5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2014 through March 31, 2015:</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688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3,332,617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304,000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3.45</w:t>
            </w: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(95,574)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1.80</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(121,309)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1.96</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3,419,734</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5.83</w:t>
            </w:r>
          </w:p>
        </w:tc>
      </w:tr>
      <w:tr>
        <w:trPr>
          <w:trHeight w:val="20"/>
        </w:trPr>
        <w:tc>
          <w:tcPr>
            <w:tcW w:w="6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2015, there was $4,178,000 of unrecognized compensation related to 920,468 unvested options, which is expected to be recognized over a weighted–average period of approximately 1.8 years. The weighted-average grant date fair value for options granted during the three months ended March 31, 2015 and 2014 was $2.78 and $11.28, respectively. The Company granted 304,000 stock options during the three months ended March 31, 2015, of which 76,000 options vested upon grant with the remaining 228,000 options vesting over 3 years. Approximately $173,000 of non-cash, stock-based compensation expense was recorded during the three months ended March 31, 2015 related to the options granted during the quarter that were vested upon the grant date.</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color w:val="auto"/>
                <w:w w:val="92"/>
              </w:rPr>
              <w:t>Three</w:t>
            </w: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Three</w:t>
            </w:r>
          </w:p>
        </w:tc>
      </w:tr>
      <w:tr>
        <w:trPr>
          <w:trHeight w:val="149"/>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Months Ended</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3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color w:val="auto"/>
                <w:w w:val="93"/>
              </w:rPr>
              <w:t>March 31,</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March 31,</w:t>
            </w:r>
          </w:p>
        </w:tc>
      </w:tr>
      <w:tr>
        <w:trPr>
          <w:trHeight w:val="142"/>
        </w:trPr>
        <w:tc>
          <w:tcPr>
            <w:tcW w:w="392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2015</w:t>
            </w:r>
          </w:p>
        </w:tc>
        <w:tc>
          <w:tcPr>
            <w:tcW w:w="5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3400" w:type="dxa"/>
            <w:vAlign w:val="bottom"/>
          </w:tcPr>
          <w:p>
            <w:pPr>
              <w:spacing w:after="0"/>
              <w:rPr>
                <w:sz w:val="18"/>
                <w:szCs w:val="18"/>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6.0 years</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6.0 years</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4260" w:type="dxa"/>
            <w:vAlign w:val="bottom"/>
            <w:gridSpan w:val="2"/>
            <w:shd w:val="clear" w:color="auto" w:fill="CCEEFF"/>
          </w:tcPr>
          <w:p>
            <w:pPr>
              <w:jc w:val="center"/>
              <w:ind w:left="3310"/>
              <w:spacing w:after="0"/>
              <w:rPr>
                <w:sz w:val="20"/>
                <w:szCs w:val="20"/>
                <w:color w:val="auto"/>
              </w:rPr>
            </w:pPr>
            <w:r>
              <w:rPr>
                <w:rFonts w:ascii="Arial" w:cs="Arial" w:eastAsia="Arial" w:hAnsi="Arial"/>
                <w:sz w:val="18"/>
                <w:szCs w:val="18"/>
                <w:color w:val="auto"/>
                <w:w w:val="91"/>
              </w:rPr>
              <w:t>104%</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4260" w:type="dxa"/>
            <w:vAlign w:val="bottom"/>
            <w:gridSpan w:val="2"/>
          </w:tcPr>
          <w:p>
            <w:pPr>
              <w:jc w:val="center"/>
              <w:ind w:left="3330"/>
              <w:spacing w:after="0"/>
              <w:rPr>
                <w:sz w:val="20"/>
                <w:szCs w:val="20"/>
                <w:color w:val="auto"/>
              </w:rPr>
            </w:pPr>
            <w:r>
              <w:rPr>
                <w:rFonts w:ascii="Arial" w:cs="Arial" w:eastAsia="Arial" w:hAnsi="Arial"/>
                <w:sz w:val="18"/>
                <w:szCs w:val="18"/>
                <w:color w:val="auto"/>
                <w:w w:val="92"/>
              </w:rPr>
              <w:t>0%</w:t>
            </w:r>
          </w:p>
        </w:tc>
        <w:tc>
          <w:tcPr>
            <w:tcW w:w="5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350"/>
        </w:trPr>
        <w:tc>
          <w:tcPr>
            <w:tcW w:w="3920" w:type="dxa"/>
            <w:vAlign w:val="bottom"/>
          </w:tcPr>
          <w:p>
            <w:pPr>
              <w:spacing w:after="0"/>
              <w:rPr>
                <w:sz w:val="24"/>
                <w:szCs w:val="24"/>
                <w:color w:val="auto"/>
              </w:rPr>
            </w:pPr>
          </w:p>
        </w:tc>
        <w:tc>
          <w:tcPr>
            <w:tcW w:w="3400" w:type="dxa"/>
            <w:vAlign w:val="bottom"/>
          </w:tcPr>
          <w:p>
            <w:pPr>
              <w:jc w:val="right"/>
              <w:ind w:right="2390"/>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2014 through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Shares</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81,352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498,022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May 20, 2016, when the restricted shares will vest in full. A total of 3,568 shares were issued to two directors, who were not nominated for reelection, representing non-cash compensation cost of $12,845 that will be recognized on a straight-line basis from the grant date through May 21, 2015, when the restricted shares will vest in full.</w:t>
      </w:r>
    </w:p>
    <w:p>
      <w:pPr>
        <w:spacing w:after="0" w:line="18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In January 2014, the Company entered into an agreement with a consultant that provided for the grant of 3,000 shares of common stock. The Company recognized an expense of $25,000, representing the market value of the common stock, during the three months ended March 31, 2014.</w:t>
      </w:r>
    </w:p>
    <w:p>
      <w:pPr>
        <w:spacing w:after="0" w:line="2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2014 through March 31,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w w:val="97"/>
              </w:rPr>
              <w:t>Weighted Average</w:t>
            </w:r>
          </w:p>
        </w:tc>
      </w:tr>
      <w:tr>
        <w:trPr>
          <w:trHeight w:val="167"/>
        </w:trPr>
        <w:tc>
          <w:tcPr>
            <w:tcW w:w="690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5,470,995</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5,470,995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3.67</w:t>
            </w:r>
          </w:p>
        </w:tc>
      </w:tr>
      <w:tr>
        <w:trPr>
          <w:trHeight w:val="20"/>
        </w:trPr>
        <w:tc>
          <w:tcPr>
            <w:tcW w:w="6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There were no level 2 or level 3 assets held at fair value at March 31, 2015 or December 31, 2014.</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Loss Per Share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color w:val="auto"/>
                <w:w w:val="94"/>
              </w:rPr>
              <w:t>March 31, 2015</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March 31, 2014</w:t>
            </w:r>
          </w:p>
        </w:tc>
      </w:tr>
      <w:tr>
        <w:trPr>
          <w:trHeight w:val="167"/>
        </w:trPr>
        <w:tc>
          <w:tcPr>
            <w:tcW w:w="7180" w:type="dxa"/>
            <w:vAlign w:val="bottom"/>
          </w:tcPr>
          <w:p>
            <w:pPr>
              <w:spacing w:after="0"/>
              <w:rPr>
                <w:sz w:val="14"/>
                <w:szCs w:val="1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(shares)</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(shares)</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5,470,995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3,419,734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3,365,198</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2,527,103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2,550,437</w:t>
            </w:r>
          </w:p>
        </w:tc>
        <w:tc>
          <w:tcPr>
            <w:tcW w:w="100" w:type="dxa"/>
            <w:vAlign w:val="bottom"/>
            <w:shd w:val="clear" w:color="auto" w:fill="CCEEFF"/>
          </w:tcPr>
          <w:p>
            <w:pPr>
              <w:spacing w:after="0"/>
              <w:rPr>
                <w:sz w:val="18"/>
                <w:szCs w:val="18"/>
                <w:color w:val="auto"/>
              </w:rPr>
            </w:pPr>
          </w:p>
        </w:tc>
      </w:tr>
      <w:tr>
        <w:trPr>
          <w:trHeight w:val="223"/>
        </w:trPr>
        <w:tc>
          <w:tcPr>
            <w:tcW w:w="7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11,417,832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11,421,214</w:t>
            </w:r>
          </w:p>
        </w:tc>
        <w:tc>
          <w:tcPr>
            <w:tcW w:w="10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As of December 31, 2014, the Company had issued 217,622 shares of its common stock through its 2014 At Market Agreement at an average price of $5.49 per share resulting in gross proceeds of approximately $1,196,000. The Company incurred commissions of approximately $36,000 resulting in net proceeds of approximately $1,159,000 as of December 31, 2014. In three months ended March 31, 2015, the Company issued 1,279,416 shares of common stock for net proceeds of approximately $4,532,000 under the 2014 At Market Agreement.</w:t>
      </w: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The complaints allege that the defendants made false or misleading statements in certain press releases and other public statements in violation of the federal securities laws and seek class certification, unspecified monetary damages, costs, and attorneys’ fees. The Company disputes the allegations in the complaints and intends to vigorously defend against the claims. On August 22, 2014, the Nevada District Court entered an order consolidating the three cases, relieving the defendants of any obligation to respond to the complaints currently on file, and providing that defendants may respond to a consolidated amended complaint to be filed by the lead plaintiff appointed pursuant to the Private Securities Litigation Reform Act of 1995. On January 5, 2015, the Nevada District Court granted Defendants’ motion to transfer the consolidated putative securities class action to the United States District Court for the Northern District of Georgia. The lead plaintiff is expected to file a consolidated amended complaint in May 2015.</w:t>
      </w:r>
    </w:p>
    <w:p>
      <w:pPr>
        <w:spacing w:after="0" w:line="17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amended complaint to be filed by the plaintiffs. On January 5, 2015, the Nevada District Court granted Defendants’ motion to transfer the consolidated putative derivative litigation to the United States District Court for the Northern District of Georgia. The plaintiffs filed a consolidated amended complaint on February 27, 2015. The consolidated amended complaint alleges that the defendants breached their fiduciary duties to the Company’s shareholders by causing or permitting the Company to make allegedly false and misleading public statements concerning the Company’s financial and business prospects. The consolidated amended complaint also alleges that the defendants violated the federal securities laws by allegedly making false or misleading statements of material fact in the Company’s proxy filings, committed “waste” of corporate assets, were unjustly enriched, aided and abetted breaches of fiduciary duties, and that certain defendants breached their fiduciary duties through allegedly improper sales of Galectin stock. The complaints seek unspecified monetary damages on behalf of the Company, corporate governance reforms, disgorgement of profits, benefits and compensation by the defendants, costs, and attorneys’ and experts’ fees. Defendants filed a timely motion to dismiss the consolidated amended complaint on April 6, 2015. That motion to dismiss currently remains pending.</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directors and officers who are named as defendants in the derivative litigation pending in the United States District Court for the District of Nevada. The state court derivative plaintiff filed an amended complaint on December 1, 2014, and filed a second amended complaint on March 27, 2015. The second amended complaint alleges that the defendants breached their fiduciary duties to the Company’s shareholders by causing or permitting the Company and third parties to make allegedly false and misleading public statements and/or omissions of material fact concerning the Company’s financial and business prospects. The second amended complaint also alleges claims for unjust enrichment and waste of corporate assets and alleges insider trading claims against certain of the Company’s directors and officers. The second amended complaint seeks unspecified monetary damages on behalf of the Company, corporate governance reforms, disgorgement of profits, benefits and compensation by the defendants, costs, and attorneys’ and experts’ fees. Defendant filed motions to dismiss the second amended complaint on April 22, 2015.</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Galectin Sciences LLC</w:t>
      </w:r>
    </w:p>
    <w:p>
      <w:pPr>
        <w:spacing w:after="0" w:line="12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and $159,000 needed for the fourth quarter of 2014 and first quarter of 2015 expenses of the LLC, respectively. As a result, the Company’s ownership percentage in the LLC is 61.3% at March 31, 2015. The Company accounts for the interest in the LLC as a consolidated, less than wholly owned subsidiary. The Company’s portion of the LLC’s net loss for the year ended December 31, 2014, prior to the change in accounting discussed previously, was $400,000, which includes the Company’s proportionate share of the non-cash charge associated with the contributed IPR&amp;D of $200,000.</w:t>
      </w: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March 31,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September 30, 2016;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outside capital,</w:t>
      </w:r>
    </w:p>
    <w:p>
      <w:pPr>
        <w:spacing w:after="0" w:line="130" w:lineRule="exact"/>
        <w:rPr>
          <w:rFonts w:ascii="Arial" w:cs="Arial" w:eastAsia="Arial" w:hAnsi="Arial"/>
          <w:sz w:val="18"/>
          <w:szCs w:val="18"/>
          <w:color w:val="auto"/>
        </w:rPr>
      </w:pPr>
    </w:p>
    <w:p>
      <w:pPr>
        <w:ind w:left="1120" w:right="20" w:hanging="207"/>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1120" w:right="520" w:hanging="207"/>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 intellectual property protection, and we may be unable to improve upon, protect and/or enforce our intellectual property,</w:t>
      </w:r>
    </w:p>
    <w:p>
      <w:pPr>
        <w:spacing w:after="0" w:line="75" w:lineRule="exact"/>
        <w:rPr>
          <w:rFonts w:ascii="Arial" w:cs="Arial" w:eastAsia="Arial" w:hAnsi="Arial"/>
          <w:sz w:val="18"/>
          <w:szCs w:val="18"/>
          <w:color w:val="auto"/>
        </w:rPr>
      </w:pPr>
    </w:p>
    <w:p>
      <w:pPr>
        <w:ind w:left="1120" w:right="380" w:hanging="207"/>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120" w:right="320" w:hanging="207"/>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120" w:right="200" w:hanging="207"/>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other risks detailed herein and from time to time in our SEC reports, including our Annual Report on Form 10-K filed with the SEC for the fiscal year ended December 31, 2014, and our subsequent SEC filings.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two compounds in development, GR-MD-02 and GM-CT-01, both of which have shown promise in preclinical studies in treatment of fibrosis and in cancer therapy. However, we are currently focusing on development of GR-MD-02 intended to be used in the treatment of liver fibrosis associated with fatty liver disease (NASH) and in cancer therapy in combination with immune-system modifying agent(s). Both of our proprietary, patented compounds are derived from completely different, natural, readily available, starting materials, which, following chemical processing, both exhibit the property of binding to and inhibiting galectin proteins.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8240"/>
        <w:spacing w:after="0"/>
        <w:rPr>
          <w:sz w:val="20"/>
          <w:szCs w:val="20"/>
          <w:color w:val="auto"/>
        </w:rPr>
      </w:pPr>
      <w:r>
        <w:rPr>
          <w:rFonts w:ascii="Arial" w:cs="Arial" w:eastAsia="Arial" w:hAnsi="Arial"/>
          <w:sz w:val="18"/>
          <w:szCs w:val="18"/>
          <w:color w:val="auto"/>
        </w:rPr>
        <w:t>Our product pipeline is shown below:</w:t>
      </w:r>
    </w:p>
    <w:p>
      <w:pPr>
        <w:sectPr>
          <w:pgSz w:w="11900" w:h="16838" w:orient="portrait"/>
          <w:cols w:equalWidth="0" w:num="1">
            <w:col w:w="11420"/>
          </w:cols>
          <w:pgMar w:left="240" w:top="459" w:right="2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20" w:type="dxa"/>
            <w:vAlign w:val="bottom"/>
          </w:tcPr>
          <w:p>
            <w:pPr>
              <w:spacing w:after="0"/>
              <w:rPr>
                <w:sz w:val="16"/>
                <w:szCs w:val="16"/>
                <w:color w:val="auto"/>
              </w:rPr>
            </w:pP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Drug</w:t>
            </w:r>
          </w:p>
        </w:tc>
      </w:tr>
      <w:tr>
        <w:trPr>
          <w:trHeight w:val="228"/>
        </w:trPr>
        <w:tc>
          <w:tcPr>
            <w:tcW w:w="20" w:type="dxa"/>
            <w:vAlign w:val="bottom"/>
          </w:tcPr>
          <w:p>
            <w:pPr>
              <w:spacing w:after="0"/>
              <w:rPr>
                <w:sz w:val="19"/>
                <w:szCs w:val="19"/>
                <w:color w:val="auto"/>
              </w:rPr>
            </w:pPr>
          </w:p>
        </w:tc>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Fibrosis</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91"/>
        </w:trPr>
        <w:tc>
          <w:tcPr>
            <w:tcW w:w="2620" w:type="dxa"/>
            <w:vAlign w:val="bottom"/>
            <w:gridSpan w:val="2"/>
          </w:tcPr>
          <w:p>
            <w:pPr>
              <w:spacing w:after="0"/>
              <w:rPr>
                <w:sz w:val="20"/>
                <w:szCs w:val="20"/>
                <w:color w:val="auto"/>
              </w:rPr>
            </w:pPr>
            <w:r>
              <w:rPr>
                <w:rFonts w:ascii="Arial" w:cs="Arial" w:eastAsia="Arial" w:hAnsi="Arial"/>
                <w:sz w:val="18"/>
                <w:szCs w:val="18"/>
                <w:color w:val="auto"/>
                <w:w w:val="94"/>
              </w:rPr>
              <w:t>NASH with Advanced Fibrosis and</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GR-MD-02</w:t>
            </w:r>
          </w:p>
        </w:tc>
      </w:tr>
      <w:tr>
        <w:trPr>
          <w:trHeight w:val="230"/>
        </w:trPr>
        <w:tc>
          <w:tcPr>
            <w:tcW w:w="20" w:type="dxa"/>
            <w:vAlign w:val="bottom"/>
          </w:tcPr>
          <w:p>
            <w:pPr>
              <w:spacing w:after="0"/>
              <w:rPr>
                <w:sz w:val="20"/>
                <w:szCs w:val="20"/>
                <w:color w:val="auto"/>
              </w:rPr>
            </w:pPr>
          </w:p>
        </w:tc>
        <w:tc>
          <w:tcPr>
            <w:tcW w:w="2600" w:type="dxa"/>
            <w:vAlign w:val="bottom"/>
          </w:tcPr>
          <w:p>
            <w:pPr>
              <w:ind w:left="160"/>
              <w:spacing w:after="0"/>
              <w:rPr>
                <w:sz w:val="20"/>
                <w:szCs w:val="20"/>
                <w:color w:val="auto"/>
              </w:rPr>
            </w:pPr>
            <w:r>
              <w:rPr>
                <w:rFonts w:ascii="Arial" w:cs="Arial" w:eastAsia="Arial" w:hAnsi="Arial"/>
                <w:sz w:val="18"/>
                <w:szCs w:val="18"/>
                <w:color w:val="auto"/>
              </w:rPr>
              <w:t>NASH cirrhosis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756"/>
        </w:trPr>
        <w:tc>
          <w:tcPr>
            <w:tcW w:w="262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GR-MD-02</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GR-MD-02</w:t>
            </w:r>
          </w:p>
        </w:tc>
      </w:tr>
      <w:tr>
        <w:trPr>
          <w:trHeight w:val="310"/>
        </w:trPr>
        <w:tc>
          <w:tcPr>
            <w:tcW w:w="2620" w:type="dxa"/>
            <w:vAlign w:val="bottom"/>
            <w:gridSpan w:val="2"/>
          </w:tcPr>
          <w:p>
            <w:pPr>
              <w:spacing w:after="0"/>
              <w:rPr>
                <w:sz w:val="20"/>
                <w:szCs w:val="20"/>
                <w:color w:val="auto"/>
              </w:rPr>
            </w:pPr>
            <w:r>
              <w:rPr>
                <w:rFonts w:ascii="Arial" w:cs="Arial" w:eastAsia="Arial" w:hAnsi="Arial"/>
                <w:sz w:val="18"/>
                <w:szCs w:val="18"/>
                <w:color w:val="auto"/>
              </w:rPr>
              <w:t>Cardiac Fibrosis</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GR-MD-02</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and</w:t>
            </w: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GM-CT-01</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GR-MD-02</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15240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2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IND submitted January 2013, FDA indicated on March 1, 2013 that we could proceed with a Phase 1 US clinical trial. Phase 1 clinical trial started Q2-2013. Results from the three cohorts of the Phase 1 clinical trial were reported in 2014, with final results reported in January 2015. End of Phase 1 meeting held with FDA in 2014 and Phase 2 clinical program expected to begin in Q2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Investigator IND filed in December 2013. Phase 1B study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660" w:space="120"/>
            <w:col w:w="7640"/>
          </w:cols>
          <w:pgMar w:left="240" w:top="459" w:right="239" w:bottom="1440" w:gutter="0" w:footer="0" w:header="0"/>
          <w:type w:val="continuous"/>
        </w:sectPr>
      </w:pPr>
    </w:p>
    <w:p>
      <w:pPr>
        <w:spacing w:after="0" w:line="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powerful</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is able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An “End of Phase 1 Meeting” was held with FDA which, amongst other items, provided guidance on the primary endpoint for the Phase 2 clinical trial. We are progressing in our Phase 2 program and expect to begin clinical trials in the summer of 2015.</w:t>
      </w:r>
    </w:p>
    <w:p>
      <w:pPr>
        <w:spacing w:after="0" w:line="18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The goal of the therapeutic program is to stop the progression of and reverse the fibrosis in the liver and, thereby improve liver function and prevent the development of complications of fibrosis/cirrhosis and liver-related mortality.</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in a Phase 1B study of patients with metastatic melanoma. This study is being conducted under the sponsorship of Providence Portland Medical Center’s Earle A. Chiles Research Institute (EACRI).</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the mechanism of action for GM-CT-01 and GR-MD-02 is based upon interaction with, and inhibition of, galectin proteins, particularly galectin-3,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Three Months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color w:val="auto"/>
                <w:w w:val="90"/>
              </w:rPr>
              <w:t>2015 as Compared to 2014</w:t>
            </w:r>
          </w:p>
        </w:tc>
      </w:tr>
      <w:tr>
        <w:trPr>
          <w:trHeight w:val="167"/>
        </w:trPr>
        <w:tc>
          <w:tcPr>
            <w:tcW w:w="4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Ended March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Three Months</w:t>
            </w: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2015</w:t>
            </w:r>
          </w:p>
        </w:tc>
        <w:tc>
          <w:tcPr>
            <w:tcW w:w="7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color w:val="auto"/>
                <w:w w:val="95"/>
              </w:rPr>
              <w:t>$ Change</w:t>
            </w:r>
          </w:p>
        </w:tc>
        <w:tc>
          <w:tcPr>
            <w:tcW w:w="9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w w:val="97"/>
              </w:rPr>
              <w:t>% Change</w:t>
            </w:r>
          </w:p>
        </w:tc>
        <w:tc>
          <w:tcPr>
            <w:tcW w:w="2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5"/>
          </w:tcPr>
          <w:p>
            <w:pPr>
              <w:jc w:val="right"/>
              <w:ind w:right="222"/>
              <w:spacing w:after="0" w:line="142" w:lineRule="exact"/>
              <w:rPr>
                <w:sz w:val="20"/>
                <w:szCs w:val="20"/>
                <w:color w:val="auto"/>
              </w:rPr>
            </w:pPr>
            <w:r>
              <w:rPr>
                <w:rFonts w:ascii="Arial" w:cs="Arial" w:eastAsia="Arial" w:hAnsi="Arial"/>
                <w:sz w:val="14"/>
                <w:szCs w:val="14"/>
                <w:color w:val="auto"/>
              </w:rPr>
              <w:t>(In thousands, except %)</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$3,136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364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serum levels, and (iv) Liver Stiffness Effect, as measured by FibroScan</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held an “End of Phase 1 meeting” with FDA and, amongst other things, received guidance on the primary endpoints for a Phase 2 trials. In Phase 2 we plan to explore two indications, NASH cirrhosis and NASH with advanced fibrosis. The NASH-CX trial is designed to target a patient population with cirrhosis due to NASH. The study endpoints will include those that are closely associated with outcomes in patients with cirrhosis with the primary endpoint: chosen as hepatic venous pressure gradient (HVPG). HVPG is reflective of portal pressure and portal hypertension is responsible for most of the complications resulting from cirrhosis; a reduction in HVPG is associated with a reduction in complications of cirrhosis and reduced mortality. Planned secondary endpoints include: morphometric analysis of collagen on liver biopsies, a change in histopathological stage, and other secondary endpoints will include non-invasive tests to evaluate for correlation with HVPG and liver collagen. We have awarded the contract for the NASH-CX trial to a CRO and expect to initiate the clinical trial in the first half of 2015 to assess the efficacy of GR-MD-02 in patients with NASH cirrhosis. The timing of initial results from the NASH-CX are dependent upon the trial design, and, amongst other factors, the rate of patient enrollment, but we anticipate top line results by the end of 2017. In the indication of NASH with advanced fibrosis, we are initiating a single site, placebo controlled, randomized clinical trial (NASH-FX) to evaluate 4 months of treatment on patients with stage 3 bridging fibrosis. We anticipate this trial to initiate by the end of Q2 2015 with top line results available by the end of 2016. Our Phase 2 clinical program is designed to position the Company for a strong Phase 3 clinical trial program.</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planning a single site, 10 patient, open label clinical trial with GR-MD-02 to determine whether more extensive studies in this indication are warranted.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7940"/>
        <w:spacing w:after="0"/>
        <w:rPr>
          <w:sz w:val="20"/>
          <w:szCs w:val="20"/>
          <w:color w:val="auto"/>
        </w:rPr>
      </w:pPr>
      <w:r>
        <w:rPr>
          <w:rFonts w:ascii="Arial" w:cs="Arial" w:eastAsia="Arial" w:hAnsi="Arial"/>
          <w:sz w:val="14"/>
          <w:szCs w:val="14"/>
          <w:color w:val="auto"/>
        </w:rPr>
        <w:t>Three Months</w:t>
      </w:r>
    </w:p>
    <w:p>
      <w:pPr>
        <w:jc w:val="center"/>
        <w:ind w:left="7940"/>
        <w:spacing w:after="0" w:line="221" w:lineRule="auto"/>
        <w:rPr>
          <w:sz w:val="20"/>
          <w:szCs w:val="20"/>
          <w:color w:val="auto"/>
        </w:rPr>
      </w:pPr>
      <w:r>
        <w:rPr>
          <w:rFonts w:ascii="Arial" w:cs="Arial" w:eastAsia="Arial" w:hAnsi="Arial"/>
          <w:sz w:val="14"/>
          <w:szCs w:val="14"/>
          <w:color w:val="auto"/>
        </w:rPr>
        <w:t>Ended</w:t>
      </w:r>
    </w:p>
    <w:p>
      <w:pPr>
        <w:jc w:val="center"/>
        <w:ind w:left="794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8020" w:type="dxa"/>
            <w:vAlign w:val="bottom"/>
          </w:tcPr>
          <w:p>
            <w:pPr>
              <w:spacing w:after="0"/>
              <w:rPr>
                <w:sz w:val="10"/>
                <w:szCs w:val="10"/>
                <w:color w:val="auto"/>
              </w:rPr>
            </w:pPr>
          </w:p>
        </w:tc>
        <w:tc>
          <w:tcPr>
            <w:tcW w:w="500" w:type="dxa"/>
            <w:vAlign w:val="bottom"/>
            <w:tcBorders>
              <w:top w:val="single" w:sz="8" w:color="auto"/>
            </w:tcBorders>
          </w:tcPr>
          <w:p>
            <w:pPr>
              <w:jc w:val="right"/>
              <w:ind w:right="16"/>
              <w:spacing w:after="0" w:line="123"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4"/>
              <w:spacing w:after="0" w:line="123"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0"/>
                <w:szCs w:val="10"/>
                <w:color w:val="auto"/>
              </w:rPr>
            </w:pPr>
          </w:p>
        </w:tc>
      </w:tr>
      <w:tr>
        <w:trPr>
          <w:trHeight w:val="167"/>
        </w:trPr>
        <w:tc>
          <w:tcPr>
            <w:tcW w:w="8020" w:type="dxa"/>
            <w:vAlign w:val="bottom"/>
          </w:tcPr>
          <w:p>
            <w:pPr>
              <w:spacing w:after="0"/>
              <w:rPr>
                <w:sz w:val="14"/>
                <w:szCs w:val="14"/>
                <w:color w:val="auto"/>
              </w:rPr>
            </w:pPr>
          </w:p>
        </w:tc>
        <w:tc>
          <w:tcPr>
            <w:tcW w:w="1560" w:type="dxa"/>
            <w:vAlign w:val="bottom"/>
            <w:gridSpan w:val="4"/>
          </w:tcPr>
          <w:p>
            <w:pPr>
              <w:jc w:val="right"/>
              <w:ind w:right="420"/>
              <w:spacing w:after="0"/>
              <w:rPr>
                <w:sz w:val="20"/>
                <w:szCs w:val="20"/>
                <w:color w:val="auto"/>
              </w:rPr>
            </w:pPr>
            <w:r>
              <w:rPr>
                <w:rFonts w:ascii="Arial" w:cs="Arial" w:eastAsia="Arial" w:hAnsi="Arial"/>
                <w:sz w:val="14"/>
                <w:szCs w:val="14"/>
                <w:color w:val="auto"/>
              </w:rPr>
              <w:t>(in thousands)</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$2,073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$1,162</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621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r>
      <w:tr>
        <w:trPr>
          <w:trHeight w:val="27"/>
        </w:trPr>
        <w:tc>
          <w:tcPr>
            <w:tcW w:w="8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2,772</w:t>
            </w:r>
          </w:p>
        </w:tc>
      </w:tr>
      <w:tr>
        <w:trPr>
          <w:trHeight w:val="20"/>
        </w:trPr>
        <w:tc>
          <w:tcPr>
            <w:tcW w:w="8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Clinical programs expenses increased primarily due to costs related to completion of our Phase 1 clinical trial, expenses related to planning for our Phase 2 clinical trial and compound manufacturing costs in anticipation of a Phase 2 clinical trial during the three months ended March 31, 2015 as compared to the same period in 2014. As we begin enrolling patients in the Phase 2 trial we expect our clinical activities costs will increase and may fluctuate from quarter to quarter as the trial progresses. Pre-clinical activities decreased primarily because we are nearing completion of pre-clinical work directly related preparation for our anticipated Phase 2 clinical trial program. Other research and development expense decreased primarily due to decreased stock-based compensation expense.</w:t>
      </w:r>
    </w:p>
    <w:p>
      <w:pPr>
        <w:spacing w:after="0" w:line="193"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Three Months</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1"/>
              </w:rPr>
              <w:t>2015 as Compared to 2014</w:t>
            </w:r>
          </w:p>
        </w:tc>
      </w:tr>
      <w:tr>
        <w:trPr>
          <w:trHeight w:val="167"/>
        </w:trPr>
        <w:tc>
          <w:tcPr>
            <w:tcW w:w="4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Ended March 31,</w:t>
            </w:r>
          </w:p>
        </w:tc>
        <w:tc>
          <w:tcPr>
            <w:tcW w:w="260" w:type="dxa"/>
            <w:vAlign w:val="bottom"/>
          </w:tcPr>
          <w:p>
            <w:pPr>
              <w:spacing w:after="0"/>
              <w:rPr>
                <w:sz w:val="14"/>
                <w:szCs w:val="14"/>
                <w:color w:val="auto"/>
              </w:rPr>
            </w:pPr>
          </w:p>
        </w:tc>
        <w:tc>
          <w:tcPr>
            <w:tcW w:w="2140" w:type="dxa"/>
            <w:vAlign w:val="bottom"/>
            <w:gridSpan w:val="3"/>
          </w:tcPr>
          <w:p>
            <w:pPr>
              <w:jc w:val="center"/>
              <w:ind w:right="260"/>
              <w:spacing w:after="0"/>
              <w:rPr>
                <w:sz w:val="20"/>
                <w:szCs w:val="20"/>
                <w:color w:val="auto"/>
              </w:rPr>
            </w:pPr>
            <w:r>
              <w:rPr>
                <w:rFonts w:ascii="Arial" w:cs="Arial" w:eastAsia="Arial" w:hAnsi="Arial"/>
                <w:sz w:val="14"/>
                <w:szCs w:val="14"/>
                <w:color w:val="auto"/>
                <w:w w:val="92"/>
              </w:rPr>
              <w:t>Three Months</w:t>
            </w:r>
          </w:p>
        </w:tc>
      </w:tr>
      <w:tr>
        <w:trPr>
          <w:trHeight w:val="142"/>
        </w:trPr>
        <w:tc>
          <w:tcPr>
            <w:tcW w:w="4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2015</w:t>
            </w:r>
          </w:p>
        </w:tc>
        <w:tc>
          <w:tcPr>
            <w:tcW w:w="7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92"/>
              </w:rPr>
              <w:t>$ Change</w:t>
            </w: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60" w:type="dxa"/>
            <w:vAlign w:val="bottom"/>
            <w:gridSpan w:val="4"/>
          </w:tcPr>
          <w:p>
            <w:pPr>
              <w:jc w:val="right"/>
              <w:ind w:right="268"/>
              <w:spacing w:after="0" w:line="142" w:lineRule="exact"/>
              <w:rPr>
                <w:sz w:val="20"/>
                <w:szCs w:val="20"/>
                <w:color w:val="auto"/>
              </w:rPr>
            </w:pPr>
            <w:r>
              <w:rPr>
                <w:rFonts w:ascii="Arial" w:cs="Arial" w:eastAsia="Arial" w:hAnsi="Arial"/>
                <w:sz w:val="14"/>
                <w:szCs w:val="14"/>
                <w:color w:val="auto"/>
              </w:rPr>
              <w:t>(In thousands, except %)</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$1,704</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$2,072</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(368)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 for the decrease in general and administrative expenses for the three-months ended March 31, 2015 as compared to the same period in 2014 is due to a decrease in stock-based compensation expense of $394,000.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Since our inception on July 10, 2000, we have financed our operations from proceeds of public and private offerings of debt and equity. As of March 31, 2015, we raised a net total of $112 million from these offerings. We have operated at a loss since our inception and have had no significant revenues. We anticipate that losses will continue for the foreseeable future. At March 31, 2015, we had $29.3 million of unrestricted cash and cash equivalents available to fund future operations. We believe that with the cash on hand at March 31, 2015, there is sufficient cash to fund currently planned operations through September 30, 2016.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cash used in operations increased by $692,000 to $4,311,000 for the three months ended March 31, 2015, as compared to $3,619,000 for the three months ended March 31, 2014. Cash operating expenses increased principally due to increased research and development activities related to our clinical trial activity with GR-MD-02.</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provided by financing activities the three months ended March 31, 2015, of $4,532,000 represents net proceeds from the sale of common stock. Net cash provided by financing activities was $30,124,000 for the three months ending March 31, 2014, consisting of $28,178,000 in net proceeds from sale of common stock and $1,946,000 from the proceeds from the exercise of stock options and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2014 Annual Report on Form 10-K.</w:t>
      </w:r>
    </w:p>
    <w:p>
      <w:pPr>
        <w:spacing w:after="0" w:line="2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2015, our disclosure controls and procedures were effective at a reasonable assurance level. During the quarter ended March 31, 2015,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2014, which could materially impact our business, financial condition or future results.</w:t>
      </w:r>
    </w:p>
    <w:p>
      <w:pPr>
        <w:spacing w:after="0" w:line="2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66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40" w:type="dxa"/>
            <w:vAlign w:val="bottom"/>
          </w:tcPr>
          <w:p>
            <w:pPr>
              <w:spacing w:after="0"/>
              <w:rPr>
                <w:sz w:val="24"/>
                <w:szCs w:val="24"/>
                <w:color w:val="auto"/>
              </w:rPr>
            </w:pPr>
          </w:p>
        </w:tc>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62"/>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40" w:type="dxa"/>
            <w:vAlign w:val="bottom"/>
          </w:tcPr>
          <w:p>
            <w:pPr>
              <w:spacing w:after="0"/>
              <w:rPr>
                <w:sz w:val="14"/>
                <w:szCs w:val="14"/>
                <w:color w:val="auto"/>
              </w:rPr>
            </w:pPr>
          </w:p>
        </w:tc>
        <w:tc>
          <w:tcPr>
            <w:tcW w:w="5420" w:type="dxa"/>
            <w:vAlign w:val="bottom"/>
            <w:gridSpan w:val="2"/>
            <w:vMerge w:val="continue"/>
          </w:tcPr>
          <w:p>
            <w:pPr>
              <w:spacing w:after="0"/>
              <w:rPr>
                <w:sz w:val="14"/>
                <w:szCs w:val="14"/>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ind w:left="100"/>
              <w:spacing w:after="0"/>
              <w:rPr>
                <w:sz w:val="20"/>
                <w:szCs w:val="20"/>
                <w:color w:val="auto"/>
              </w:rPr>
            </w:pPr>
            <w:r>
              <w:rPr>
                <w:rFonts w:ascii="Arial" w:cs="Arial" w:eastAsia="Arial" w:hAnsi="Arial"/>
                <w:sz w:val="18"/>
                <w:szCs w:val="18"/>
                <w:color w:val="auto"/>
                <w:w w:val="95"/>
              </w:rPr>
              <w:t>31.1*</w:t>
            </w:r>
          </w:p>
        </w:tc>
        <w:tc>
          <w:tcPr>
            <w:tcW w:w="200" w:type="dxa"/>
            <w:vAlign w:val="bottom"/>
          </w:tcPr>
          <w:p>
            <w:pPr>
              <w:spacing w:after="0"/>
              <w:rPr>
                <w:sz w:val="24"/>
                <w:szCs w:val="24"/>
                <w:color w:val="auto"/>
              </w:rPr>
            </w:pP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w w:val="95"/>
              </w:rPr>
              <w:t>31.2*</w:t>
            </w:r>
          </w:p>
        </w:tc>
        <w:tc>
          <w:tcPr>
            <w:tcW w:w="200" w:type="dxa"/>
            <w:vAlign w:val="bottom"/>
          </w:tcPr>
          <w:p>
            <w:pPr>
              <w:spacing w:after="0"/>
              <w:rPr>
                <w:sz w:val="24"/>
                <w:szCs w:val="24"/>
                <w:color w:val="auto"/>
              </w:rPr>
            </w:pP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Taxonomy Calculation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Taxonomy Label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9660" w:type="dxa"/>
            <w:vAlign w:val="bottom"/>
            <w:gridSpan w:val="3"/>
          </w:tcPr>
          <w:p>
            <w:pPr>
              <w:ind w:left="500"/>
              <w:spacing w:after="0"/>
              <w:rPr>
                <w:sz w:val="20"/>
                <w:szCs w:val="20"/>
                <w:color w:val="auto"/>
              </w:rPr>
            </w:pPr>
            <w:r>
              <w:rPr>
                <w:rFonts w:ascii="Arial" w:cs="Arial" w:eastAsia="Arial" w:hAnsi="Arial"/>
                <w:sz w:val="18"/>
                <w:szCs w:val="18"/>
                <w:color w:val="auto"/>
              </w:rPr>
              <w:t>XBRL Taxonomy Presentation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2660" w:hanging="5612"/>
        <w:spacing w:after="0" w:line="433"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11,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May 11, 2015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May 11, 2015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March 31, 2015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May 11, 2015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2015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May 11, 2015</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2019-12-29T16:32:48Z</dcterms:created>
  <dcterms:modified xsi:type="dcterms:W3CDTF">2019-12-29T16:32:48Z</dcterms:modified>
</cp:coreProperties>
</file>