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259080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1260" w:type="dxa"/>
        <w:tblCellMar>
          <w:top w:w="0" w:type="dxa"/>
          <w:left w:w="0" w:type="dxa"/>
          <w:bottom w:w="0" w:type="dxa"/>
          <w:right w:w="0" w:type="dxa"/>
        </w:tblCellMar>
      </w:tblPr>
      <w:tr>
        <w:trPr>
          <w:trHeight w:val="214"/>
        </w:trPr>
        <w:tc>
          <w:tcPr>
            <w:tcW w:w="6480" w:type="dxa"/>
            <w:vAlign w:val="bottom"/>
          </w:tcPr>
          <w:p>
            <w:pPr>
              <w:jc w:val="center"/>
              <w:ind w:right="31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149"/>
        </w:trPr>
        <w:tc>
          <w:tcPr>
            <w:tcW w:w="6480" w:type="dxa"/>
            <w:vAlign w:val="bottom"/>
          </w:tcPr>
          <w:p>
            <w:pPr>
              <w:jc w:val="center"/>
              <w:ind w:right="31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8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480" w:type="dxa"/>
            <w:vAlign w:val="bottom"/>
          </w:tcPr>
          <w:p>
            <w:pPr>
              <w:jc w:val="center"/>
              <w:ind w:right="3139"/>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w:t>
            </w:r>
          </w:p>
        </w:tc>
        <w:tc>
          <w:tcPr>
            <w:tcW w:w="1480" w:type="dxa"/>
            <w:vAlign w:val="bottom"/>
          </w:tcPr>
          <w:p>
            <w:pPr>
              <w:spacing w:after="0"/>
              <w:rPr>
                <w:sz w:val="24"/>
                <w:szCs w:val="24"/>
                <w:color w:val="auto"/>
              </w:rPr>
            </w:pPr>
          </w:p>
        </w:tc>
      </w:tr>
      <w:tr>
        <w:trPr>
          <w:trHeight w:val="227"/>
        </w:trPr>
        <w:tc>
          <w:tcPr>
            <w:tcW w:w="6480" w:type="dxa"/>
            <w:vAlign w:val="bottom"/>
          </w:tcPr>
          <w:p>
            <w:pPr>
              <w:jc w:val="center"/>
              <w:ind w:right="3139"/>
              <w:spacing w:after="0"/>
              <w:rPr>
                <w:sz w:val="20"/>
                <w:szCs w:val="20"/>
                <w:color w:val="auto"/>
              </w:rPr>
            </w:pPr>
            <w:r>
              <w:rPr>
                <w:rFonts w:ascii="Times New Roman" w:cs="Times New Roman" w:eastAsia="Times New Roman" w:hAnsi="Times New Roman"/>
                <w:sz w:val="18"/>
                <w:szCs w:val="18"/>
                <w:b w:val="1"/>
                <w:bCs w:val="1"/>
                <w:color w:val="auto"/>
              </w:rPr>
              <w:t>Norcross, GA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190"/>
        </w:trPr>
        <w:tc>
          <w:tcPr>
            <w:tcW w:w="648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48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(678) 620-3186</w:t>
            </w:r>
          </w:p>
        </w:tc>
        <w:tc>
          <w:tcPr>
            <w:tcW w:w="1480" w:type="dxa"/>
            <w:vAlign w:val="bottom"/>
          </w:tcPr>
          <w:p>
            <w:pPr>
              <w:spacing w:after="0"/>
              <w:rPr>
                <w:sz w:val="24"/>
                <w:szCs w:val="24"/>
                <w:color w:val="auto"/>
              </w:rPr>
            </w:pPr>
          </w:p>
        </w:tc>
      </w:tr>
      <w:tr>
        <w:trPr>
          <w:trHeight w:val="190"/>
        </w:trPr>
        <w:tc>
          <w:tcPr>
            <w:tcW w:w="6480" w:type="dxa"/>
            <w:vAlign w:val="bottom"/>
          </w:tcPr>
          <w:p>
            <w:pPr>
              <w:jc w:val="center"/>
              <w:ind w:left="23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November 4, 2016 was 29,396,619.</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0" w:type="dxa"/>
            <w:vAlign w:val="bottom"/>
            <w:gridSpan w:val="10"/>
            <w:vMerge w:val="restart"/>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920" w:type="dxa"/>
            <w:vAlign w:val="bottom"/>
            <w:gridSpan w:val="16"/>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2016 and December 31, 2015 (unaudited)</w:t>
              </w:r>
            </w:hyperlink>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Nine Months Ended September 30, 2016 and 2015 (unaudited)</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Nine Months Ended September 30, 2016 and 2015 (unaudited)</w:t>
              </w:r>
            </w:hyperlink>
          </w:p>
        </w:tc>
        <w:tc>
          <w:tcPr>
            <w:tcW w:w="7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Unaudited Condensed Consolidated Financial Statements</w:t>
              </w:r>
            </w:hyperlink>
          </w:p>
        </w:tc>
        <w:tc>
          <w:tcPr>
            <w:tcW w:w="51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2.</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3.</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4.</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Controls and Procedures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6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9"/>
              </w:rPr>
            </w:pPr>
            <w:hyperlink w:anchor="page20">
              <w:r>
                <w:rPr>
                  <w:rFonts w:ascii="Times New Roman" w:cs="Times New Roman" w:eastAsia="Times New Roman" w:hAnsi="Times New Roman"/>
                  <w:sz w:val="18"/>
                  <w:szCs w:val="18"/>
                  <w:b w:val="1"/>
                  <w:bCs w:val="1"/>
                  <w:color w:val="0000EE"/>
                  <w:w w:val="99"/>
                </w:rPr>
                <w:t>PART II — OTHER INFORMATION</w:t>
              </w:r>
            </w:hyperlink>
          </w:p>
        </w:tc>
        <w:tc>
          <w:tcPr>
            <w:tcW w:w="36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1.</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1A.</w:t>
              </w:r>
            </w:hyperlink>
          </w:p>
        </w:tc>
        <w:tc>
          <w:tcPr>
            <w:tcW w:w="26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w:t>
              </w:r>
            </w:hyperlink>
          </w:p>
        </w:tc>
        <w:tc>
          <w:tcPr>
            <w:tcW w:w="26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Defaults Upon Senior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4.</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1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5.</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6.</w:t>
              </w:r>
            </w:hyperlink>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Exhibits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SIGNATURES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85"/>
        </w:trPr>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7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16,059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26,400</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26,408</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B-1 12% redeemable convertible preferred stock; 900,000 shares authorized, issued and outstanding at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2015 (Note 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B-2 12% redeemable convertible preferred stock; 2,100,000 shares authorized, issued and outstanding at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2015 (Note 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convertible preferred stock; 1,000 shares authorized, 176 shares issued and outstanding at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2016 and December 31, 2015, redemption value: $6,355,000, liquidation value: $1,760,000 at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8,001,000 designated at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September 30, 2016 and December 31, 2015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5,000,000 shares authorized, 1,377,500 issued and outstanding</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at June 30, 2016 and December 31, 2015, liquidation value $1,377,500 at September 30, 2016</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Series B-1 12% convertible preferred stock; 900,000 shares authorized, issued and outstanding at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September 30, 2016, liquidation value $1,800,000 at September 30, 2016 (Note 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Series B-2 12% convertible preferred stock; 2,100,000 shares authorized, issued and outstanding at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September 30, 2016, liquidation value $4,200,000 at September 30, 2016 (Note 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3,697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Series B-3 8% convertible preferred stock; 1,500,000 shares authorized, issued and outstanding at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September 30, 2016, liquidation value $1,500,000 at September 30, 2016 (Note 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at September 30, 2016 and December 31,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2015, 29,396,619 and 28,825,033 issued and outstanding at September 30, 2016 and December 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2015, respectively</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162,176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Retained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(158,524)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2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jc w:val="center"/>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loss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(16,882)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(15,396)</w:t>
            </w:r>
          </w:p>
        </w:tc>
        <w:tc>
          <w:tcPr>
            <w:tcW w:w="0" w:type="dxa"/>
            <w:vAlign w:val="bottom"/>
          </w:tcPr>
          <w:p>
            <w:pPr>
              <w:spacing w:after="0"/>
              <w:rPr>
                <w:sz w:val="1"/>
                <w:szCs w:val="1"/>
                <w:color w:val="auto"/>
              </w:rPr>
            </w:pPr>
          </w:p>
        </w:tc>
      </w:tr>
      <w:tr>
        <w:trPr>
          <w:trHeight w:val="33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(16,845)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(15,356)</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accretion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related to beneficial conversion feature of convertible preferred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(16,157)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29,282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23,793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0"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(16,845)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(15,356)</w:t>
            </w:r>
          </w:p>
        </w:tc>
      </w:tr>
      <w:tr>
        <w:trPr>
          <w:trHeight w:val="216"/>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9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97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(11,544)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(12,382)</w:t>
            </w: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issuance of Series B-3 preferred stock and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4,573</w:t>
            </w: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29,128</w:t>
            </w: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7"/>
          <w:szCs w:val="17"/>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2016 and the results of its operations for the three and nine months ended September 30, 2016 and 2015 and its cash flows for the nine months ended September 30, 2016 and 2015.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2015.</w:t>
      </w:r>
    </w:p>
    <w:p>
      <w:pPr>
        <w:spacing w:after="0" w:line="185"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significant revenues. The Company anticipates that losses will continue for the foreseeable future. At September 30, 2016, the Company had $16.1 million of unrestricted cash and cash equivalents available to fund future operations. The Company believes that with the cash on hand at September 30, 2016, there is sufficient cash to fund currently planned operations through August 2017.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88"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June 30,</w:t>
            </w:r>
          </w:p>
        </w:tc>
        <w:tc>
          <w:tcPr>
            <w:tcW w:w="154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w w:val="99"/>
              </w:rPr>
              <w:t>2016</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2,667</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3,435</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common stock, restricted common stock and common stock warrants: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1,747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2,527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6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2015 through September 30, 2016:</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1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Shares</w:t>
            </w:r>
          </w:p>
        </w:tc>
        <w:tc>
          <w:tcPr>
            <w:tcW w:w="14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3,342,325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(120,187)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3,499,638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of September 30, 2016, there was $875,000 of unrecognized compensation related to 445,149 unvested options, which is expected to be recognized over a weighted–average period of approximately 1.76 years.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Nine</w:t>
            </w:r>
          </w:p>
        </w:tc>
        <w:tc>
          <w:tcPr>
            <w:tcW w:w="3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Six</w:t>
            </w:r>
          </w:p>
        </w:tc>
      </w:tr>
      <w:tr>
        <w:trPr>
          <w:trHeight w:val="149"/>
        </w:trPr>
        <w:tc>
          <w:tcPr>
            <w:tcW w:w="4560" w:type="dxa"/>
            <w:vAlign w:val="bottom"/>
          </w:tcPr>
          <w:p>
            <w:pPr>
              <w:spacing w:after="0"/>
              <w:rPr>
                <w:sz w:val="12"/>
                <w:szCs w:val="12"/>
                <w:color w:val="auto"/>
              </w:rPr>
            </w:pPr>
          </w:p>
        </w:tc>
        <w:tc>
          <w:tcPr>
            <w:tcW w:w="2760" w:type="dxa"/>
            <w:vAlign w:val="bottom"/>
            <w:gridSpan w:val="3"/>
          </w:tcPr>
          <w:p>
            <w:pPr>
              <w:jc w:val="center"/>
              <w:ind w:left="956"/>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13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Months Ended</w:t>
            </w:r>
          </w:p>
        </w:tc>
      </w:tr>
      <w:tr>
        <w:trPr>
          <w:trHeight w:val="171"/>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September 30,</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June 30,</w:t>
            </w:r>
          </w:p>
        </w:tc>
      </w:tr>
      <w:tr>
        <w:trPr>
          <w:trHeight w:val="142"/>
        </w:trPr>
        <w:tc>
          <w:tcPr>
            <w:tcW w:w="45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2016</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4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 years</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2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7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restricted stock grant activity in the Company’s equity incentive plans from December 31, 2015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754,605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December 15, 2016, when the restricted shares will vest in full. A total of 3,568 shares were issued to two directors, who were not nominated for reelection, representing non-cash compensation cost of $12,845 that will be recognized on a straight-line basis from the grant date through December 15, 2016, when the restricted shares will vest in full.</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Common Stock Warrants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common stock warrant activity from December 31, 2015 through September 30, 2016:</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Shares</w:t>
            </w:r>
          </w:p>
        </w:tc>
        <w:tc>
          <w:tcPr>
            <w:tcW w:w="190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8,908,586</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1,544,258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Forfeited/cancelled</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2016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10,452,844</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September 30, 2016 or December 31,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Loss Per Share</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 2016</w:t>
            </w:r>
          </w:p>
        </w:tc>
        <w:tc>
          <w:tcPr>
            <w:tcW w:w="198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color w:val="auto"/>
              </w:rPr>
              <w:t>September 30, 2015</w:t>
            </w:r>
          </w:p>
        </w:tc>
      </w:tr>
      <w:tr>
        <w:trPr>
          <w:trHeight w:val="17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(shares)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10,452,844</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3,499,638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3,342,325</w:t>
            </w:r>
          </w:p>
        </w:tc>
        <w:tc>
          <w:tcPr>
            <w:tcW w:w="100" w:type="dxa"/>
            <w:vAlign w:val="bottom"/>
          </w:tcPr>
          <w:p>
            <w:pPr>
              <w:spacing w:after="0"/>
              <w:rPr>
                <w:sz w:val="18"/>
                <w:szCs w:val="18"/>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issuable upon conversion of preferred</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3,415,285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2,522,936</w:t>
            </w:r>
          </w:p>
        </w:tc>
        <w:tc>
          <w:tcPr>
            <w:tcW w:w="100" w:type="dxa"/>
            <w:vAlign w:val="bottom"/>
            <w:shd w:val="clear" w:color="auto" w:fill="CCEEFF"/>
          </w:tcPr>
          <w:p>
            <w:pPr>
              <w:spacing w:after="0"/>
              <w:rPr>
                <w:sz w:val="20"/>
                <w:szCs w:val="20"/>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Unvested shares of restricted common stock</w:t>
            </w:r>
          </w:p>
        </w:tc>
        <w:tc>
          <w:tcPr>
            <w:tcW w:w="5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337,935</w:t>
            </w:r>
          </w:p>
        </w:tc>
        <w:tc>
          <w:tcPr>
            <w:tcW w:w="7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337,935</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17,705,702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11,574,191</w:t>
            </w:r>
          </w:p>
        </w:tc>
        <w:tc>
          <w:tcPr>
            <w:tcW w:w="10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At Market Issuance of Common Stock</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the three months ended June 30, 2016, the Company issued 176,950 share of common stock for net proceeds of approximately $257,000 under the 2014 At Market Agreement. In three months ended March 31, 2015, the Company issued 1,279,416 shares of common stock for net proceeds of approximately $4,532,000 under the 2014 At Market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Preferred Stock</w:t>
      </w:r>
    </w:p>
    <w:p>
      <w:pPr>
        <w:spacing w:after="0" w:line="121" w:lineRule="exact"/>
        <w:rPr>
          <w:sz w:val="20"/>
          <w:szCs w:val="20"/>
          <w:color w:val="auto"/>
        </w:rPr>
      </w:pPr>
    </w:p>
    <w:p>
      <w:pPr>
        <w:jc w:val="both"/>
        <w:ind w:right="60" w:firstLine="456"/>
        <w:spacing w:after="0" w:line="257" w:lineRule="auto"/>
        <w:rPr>
          <w:sz w:val="20"/>
          <w:szCs w:val="20"/>
          <w:color w:val="auto"/>
        </w:rPr>
      </w:pPr>
      <w:r>
        <w:rPr>
          <w:rFonts w:ascii="Times New Roman" w:cs="Times New Roman" w:eastAsia="Times New Roman" w:hAnsi="Times New Roman"/>
          <w:sz w:val="18"/>
          <w:szCs w:val="18"/>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 common stock, and (ii) warrants to purchase up to 669,262 shares of common stock.</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convertible preferred stock (the “Series B-1”), Series B-2 convertible preferred stock (the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of the Series B-3 are as follows:</w:t>
      </w:r>
    </w:p>
    <w:p>
      <w:pPr>
        <w:spacing w:after="0" w:line="115" w:lineRule="exact"/>
        <w:rPr>
          <w:sz w:val="20"/>
          <w:szCs w:val="20"/>
          <w:color w:val="auto"/>
        </w:rPr>
      </w:pPr>
    </w:p>
    <w:p>
      <w:pPr>
        <w:jc w:val="both"/>
        <w:ind w:right="2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Series B-3 will be entitled to receive cumulative dividends at the rate of 8% per share per annum (compounding monthly)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quarterly which may, at the Company’s option, be paid in cash or common stock. Dividends payable in shares of Common Stock will be valued at 100% of the volume weighted average price of the Common Stock for the 20 consecutive trading days prior to the dividend payment date. If the Company does not pay any dividend on the Series B, dividends will accrue at the rate of 15% per annum (compounding monthly).</w:t>
      </w:r>
    </w:p>
    <w:p>
      <w:pPr>
        <w:spacing w:after="0" w:line="72"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1,500,000 shares of B-3 convertible preferred stock are convertible into 892,349 shares of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at any time.</w:t>
      </w:r>
    </w:p>
    <w:p>
      <w:pPr>
        <w:spacing w:after="0" w:line="50"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liquidation, dissolution or winding up of the Company, either voluntarily or involuntarily,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B-3 will receive $1 per share plus accrued and unpaid dividends, payable prior and in preference to any distributions to the holders of Common Stock but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holders of the Series B-1, Series B-2 and Series A 12% Convertible Preferred Stock.</w:t>
      </w:r>
    </w:p>
    <w:p>
      <w:pPr>
        <w:spacing w:after="0" w:line="6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noted below, the holder of each share of Series B-3 shall be entitled to the number of votes equal to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into which such share of Series B-3 would be convertible, and shall otherwise have voting rights and powers equal to the voting rights and powers of the Common Stock. With respect to the election of directors, the holders of the Series B-3, together with the holders of Series B-1 and Series B-2, shall vote together as a separate class to elect two (2) 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three additional (3) members of the Board of Directors (the “Series B Nominees”), who shall be subject to election by all shares of voting stock of the Company voting together as a single group,) until there are no longer any shares of Series B outstanding. The holders of Series B shall vote together with the holders of Common Stock and other voting capital stock of the Company to elect all other members of the Board of Directors.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 So long as any shares of the Series B remain outstanding, the Company may not, without the approval of the holders of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 (iii) create or increase the authorized amount of any additional class or series of shares of stock that is equal to or senior to Series B; (iv) 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 (xiii) enter into, create, incur or assume any liens of any kind (other than certain permitted liens); (xiv) issue any common stock or common stock equivalents; (xv) increase the number of shares of the Company’s common stock that may be issued pursuant to options, warrants or rights to employees, directors, officers, consultants or advisors above the number of shares that were authorized for issuance under our 2001 Stock Incentive Plan, 2003 Non-Employee Director Stock Incentive Plan and 2009 Incentive Compensation Plan as of September 9, 2016.</w:t>
      </w:r>
    </w:p>
    <w:p>
      <w:pPr>
        <w:spacing w:after="0" w:line="79" w:lineRule="exact"/>
        <w:rPr>
          <w:sz w:val="20"/>
          <w:szCs w:val="20"/>
          <w:color w:val="auto"/>
        </w:rPr>
      </w:pPr>
    </w:p>
    <w:p>
      <w:pPr>
        <w:ind w:right="5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All warrants issued in the Series B-3 transaction are exercisable at $3.00 per share of common stock at any time on or after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until the seventh anniversary of the respective issue date.</w:t>
      </w:r>
    </w:p>
    <w:p>
      <w:pPr>
        <w:spacing w:after="0" w:line="16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fair value of the warrants issued in connection with the Series B-3 was $2,262,000 at the date of issuance based on the following assumptions: an expected life of 7 years, volatility of 95%, risk free interest rate of 1.42% and zero dividends. The Company allocated the gross proceeds of $1.5 million based on the relative fair value of the Series B-3 and the related warrants, resulting in $890,000 of the proceeds being allocated to additional paid-in capital and $610,000 being allocated to the Series B-3.</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analyzed the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$991,000 was charged to additional paid in capital and accumulated deficit.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Class Actions and Derivative Lawsuits</w:t>
      </w:r>
    </w:p>
    <w:p>
      <w:pPr>
        <w:spacing w:after="0" w:line="12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 to respond to the complaints then on file, and providing that defendants may respond to a consolidated amended complaint to be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filed a notice of appeal seeking review of the dismissal order and final judgment. The appeal is fully briefed and is currently pending before the United States Court of Appeals for the Eleventh Circuit.</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91"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Defendants’ motion to dismiss was fully briefed to the Nevada court in February 2016. At a hearing on March 3, 2016, the Nevada State Court granted dismissal of the Nevada State Court litigation pending entry of a final order of dismissal. The Nevada State Court issued its order of dismissal on April 1, 2016. Defendants thereafter filed a motion requesting that the Nevada State Court correct certain language in the dismissal order. In an order dated June 10, 2016, the Nevada State Court denied Defendants’ motion seeking correction of certain language in the dismissal order. On June 21, 2016, Notice of Entry of the Nevada State Court’s order dismissing the Nevada State Court litigation was docketed. The Nevada plaintiff and Intervenor Plaintiffs have filed notices of appeal seeking review of the Nevada State Court’s dismissal order.</w:t>
      </w:r>
    </w:p>
    <w:p>
      <w:pPr>
        <w:spacing w:after="0" w:line="20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Galectin Sciences LLC</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As a result, the Company’s ownership percentage in the LLC was 54.2% at December 31, 2014. The Company contributed $687,000 for the LLC expenses in 2015 adjusting the Company’s ownership percentage to 74.7% at December 31, 2015. The Company also contributed $618,000 for the LLC expenses in the nine months ended September 30, 2016 which adjusted the Company’s ownership percentage to 81.8% at September 30, 2016. The Company accounts for the interest in the LLC as a consolidated, less than wholly owned subsidiary. Because the LLC’s equity is immaterial, the value of the non-controlling interest is also deemed to be immaterial.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Recent Account Pronouncements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The new standard requires recognition of the income tax effects of vested or settled awards in the income statement and involves several other aspects of the accounting for share-based payment transactions, including the income tax consequences, classification of awards as either equity or liabilities and classification on the statement of cash flows. The new standard will be effective for us on January 1, 2017. This standard is not expected to have a material impact on our financial position, results of operations or statements of cash flows upon adoption.</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August 2014, the FASB issued ASU 2014-15, Presentation of Financial Statements — Going Concern (“ASU 2014-15”), which would require disclosure of uncertainties about an entity’s ability to continue as a going concern. The new guidance is effective for the annual period ending after December 15, 2016 and for interim periods thereafter. Early application is permitted. We plan to adopt ASU 2014-15 beginning December 31, 2016.</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 Classification of Certain Cash Receipts and Cash Payments.” This ASU provides new guidance on eight specific cash flow issues related to how such cash receipts and cash payments should be presented in a statement of cash flows. This ASU is effective for us beginning after January 1, 2018. We are currently assessing the impact the adoption of this update will have on our consolidated cash flows.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August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04"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 including shareholder class actions and derivative lawsuits filed,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w:t>
      </w:r>
    </w:p>
    <w:p>
      <w:pPr>
        <w:spacing w:after="0" w:line="162"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 We have one new chemical entity (NCE) in development, GR-MD-02, which has shown promise in preclinical and early clinical studies in treatment of fibrosis and in cancer therapy. Currently we are focusing on development of GR-MD-02 intended to be used in the treatment of liver fibrosis associated with fatty liver disease (NASH), moderate to severe plaque psoriasis,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pipeline is shown below:</w:t>
      </w:r>
    </w:p>
    <w:p>
      <w:pPr>
        <w:spacing w:after="0" w:line="246" w:lineRule="exact"/>
        <w:rPr>
          <w:sz w:val="20"/>
          <w:szCs w:val="20"/>
          <w:color w:val="auto"/>
        </w:rPr>
      </w:pPr>
    </w:p>
    <w:p>
      <w:pPr>
        <w:spacing w:after="0"/>
        <w:tabs>
          <w:tab w:leader="none" w:pos="4000" w:val="left"/>
          <w:tab w:leader="none" w:pos="7760" w:val="left"/>
        </w:tabs>
        <w:rPr>
          <w:sz w:val="20"/>
          <w:szCs w:val="20"/>
          <w:color w:val="auto"/>
        </w:rPr>
      </w:pPr>
      <w:r>
        <w:rPr>
          <w:rFonts w:ascii="Times New Roman" w:cs="Times New Roman" w:eastAsia="Times New Roman" w:hAnsi="Times New Roman"/>
          <w:sz w:val="14"/>
          <w:szCs w:val="14"/>
          <w:b w:val="1"/>
          <w:bCs w:val="1"/>
          <w:color w:val="auto"/>
        </w:rPr>
        <w:t>Indication</w:t>
      </w:r>
      <w:r>
        <w:rPr>
          <w:sz w:val="20"/>
          <w:szCs w:val="20"/>
          <w:color w:val="auto"/>
        </w:rPr>
        <w:tab/>
      </w:r>
      <w:r>
        <w:rPr>
          <w:rFonts w:ascii="Times New Roman" w:cs="Times New Roman" w:eastAsia="Times New Roman" w:hAnsi="Times New Roman"/>
          <w:sz w:val="14"/>
          <w:szCs w:val="14"/>
          <w:b w:val="1"/>
          <w:bCs w:val="1"/>
          <w:color w:val="auto"/>
        </w:rPr>
        <w:t>Drug</w:t>
      </w:r>
      <w:r>
        <w:rPr>
          <w:sz w:val="20"/>
          <w:szCs w:val="20"/>
          <w:color w:val="auto"/>
        </w:rPr>
        <w:tab/>
      </w:r>
      <w:r>
        <w:rPr>
          <w:rFonts w:ascii="Times New Roman" w:cs="Times New Roman" w:eastAsia="Times New Roman" w:hAnsi="Times New Roman"/>
          <w:sz w:val="14"/>
          <w:szCs w:val="14"/>
          <w:b w:val="1"/>
          <w:bCs w:val="1"/>
          <w:color w:val="auto"/>
        </w:rPr>
        <w:t>Status</w:t>
      </w:r>
    </w:p>
    <w:p>
      <w:pPr>
        <w:sectPr>
          <w:pgSz w:w="11900" w:h="16838" w:orient="portrait"/>
          <w:cols w:equalWidth="0" w:num="1">
            <w:col w:w="11420"/>
          </w:cols>
          <w:pgMar w:left="240" w:top="455" w:right="23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Fibrosis</w:t>
      </w:r>
    </w:p>
    <w:p>
      <w:pPr>
        <w:spacing w:after="0" w:line="31" w:lineRule="exact"/>
        <w:rPr>
          <w:sz w:val="20"/>
          <w:szCs w:val="20"/>
          <w:color w:val="auto"/>
        </w:rPr>
      </w:pPr>
    </w:p>
    <w:p>
      <w:pPr>
        <w:ind w:right="2200"/>
        <w:spacing w:after="0" w:line="261" w:lineRule="auto"/>
        <w:rPr>
          <w:sz w:val="20"/>
          <w:szCs w:val="20"/>
          <w:color w:val="auto"/>
        </w:rPr>
      </w:pPr>
      <w:r>
        <w:rPr>
          <w:rFonts w:ascii="Times New Roman" w:cs="Times New Roman" w:eastAsia="Times New Roman" w:hAnsi="Times New Roman"/>
          <w:sz w:val="18"/>
          <w:szCs w:val="18"/>
          <w:color w:val="auto"/>
        </w:rPr>
        <w:t>NASH with Advanced Fibrosis: NASH-CX trial and GR-MD-02 NASH-FX trial</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IND submitted January 2013. Results from the Phase 1 clinical trial were reported in 2014, with final results reported in January 2015. End of Phase 1 meeting held with FDA in 2014. Two Phase 2 clinical trials are being conducted. The NASH CX trial, is designed for patients with cirrhosis, and the NASH FX trial is designed for patients with advanced fibrosis but not cirrhosis. The NASH FX trial top line data was reported in September 2016 and the NASH CX trial top line data is expected in December 2017.</w:t>
      </w:r>
    </w:p>
    <w:p>
      <w:pPr>
        <w:spacing w:after="0" w:line="66" w:lineRule="exact"/>
        <w:rPr>
          <w:sz w:val="20"/>
          <w:szCs w:val="20"/>
          <w:color w:val="auto"/>
        </w:rPr>
      </w:pPr>
    </w:p>
    <w:p>
      <w:pPr>
        <w:sectPr>
          <w:pgSz w:w="11900" w:h="16838" w:orient="portrait"/>
          <w:cols w:equalWidth="0" w:num="2">
            <w:col w:w="7060" w:space="720"/>
            <w:col w:w="36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Lung Fibrosis</w:t>
            </w:r>
          </w:p>
        </w:tc>
        <w:tc>
          <w:tcPr>
            <w:tcW w:w="3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GR-MD-02</w:t>
            </w: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 pre-clinical development</w:t>
            </w:r>
          </w:p>
        </w:tc>
      </w:tr>
      <w:tr>
        <w:trPr>
          <w:trHeight w:val="32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Kidney Fibrosis</w:t>
            </w:r>
          </w:p>
        </w:tc>
        <w:tc>
          <w:tcPr>
            <w:tcW w:w="3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GR-MD-02</w:t>
            </w: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 pre-clinical development</w:t>
            </w:r>
          </w:p>
        </w:tc>
      </w:tr>
      <w:tr>
        <w:trPr>
          <w:trHeight w:val="32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Cardiac and Vascular Fibrosis</w:t>
            </w:r>
          </w:p>
        </w:tc>
        <w:tc>
          <w:tcPr>
            <w:tcW w:w="3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GR-MD-02 and GM-CT-01</w:t>
            </w: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 pre-clinical development</w:t>
            </w:r>
          </w:p>
        </w:tc>
      </w:tr>
      <w:tr>
        <w:trPr>
          <w:trHeight w:val="30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3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Melanoma</w:t>
            </w:r>
          </w:p>
        </w:tc>
        <w:tc>
          <w:tcPr>
            <w:tcW w:w="3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GR-MD-02</w:t>
            </w: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Investigator IND submitted in December 2013.</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Phase 1B study in process. A second Phase 1B</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study began in Q-1 2016. Investigator IND for</w:t>
            </w:r>
          </w:p>
        </w:tc>
      </w:tr>
      <w:tr>
        <w:trPr>
          <w:trHeight w:val="234"/>
        </w:trPr>
        <w:tc>
          <w:tcPr>
            <w:tcW w:w="3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that study submitted in September 2015.</w:t>
            </w:r>
          </w:p>
        </w:tc>
      </w:tr>
      <w:tr>
        <w:trPr>
          <w:trHeight w:val="30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Psoriasis</w:t>
            </w:r>
          </w:p>
        </w:tc>
        <w:tc>
          <w:tcPr>
            <w:tcW w:w="3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Moderate to Severe Plaque Psoriasis</w:t>
            </w:r>
          </w:p>
        </w:tc>
        <w:tc>
          <w:tcPr>
            <w:tcW w:w="3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GR-MD-02</w:t>
            </w: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IND submitted March 2015. A phase 2a trial in</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moderate to severe plaque psoriasis patients began</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 January 2016. Interim data on the first four</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patients were positive and were reported in May</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2016. Further data was reported in September</w:t>
            </w:r>
          </w:p>
        </w:tc>
      </w:tr>
      <w:tr>
        <w:trPr>
          <w:trHeight w:val="234"/>
        </w:trPr>
        <w:tc>
          <w:tcPr>
            <w:tcW w:w="3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2016.</w:t>
            </w:r>
          </w:p>
        </w:tc>
      </w:tr>
    </w:tbl>
    <w:p>
      <w:pPr>
        <w:spacing w:after="0" w:line="196" w:lineRule="exact"/>
        <w:rPr>
          <w:sz w:val="20"/>
          <w:szCs w:val="20"/>
          <w:color w:val="auto"/>
        </w:rPr>
      </w:pPr>
    </w:p>
    <w:p>
      <w:pPr>
        <w:ind w:right="6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Fibrosis. </w:t>
      </w:r>
      <w:r>
        <w:rPr>
          <w:rFonts w:ascii="Times New Roman" w:cs="Times New Roman" w:eastAsia="Times New Roman" w:hAnsi="Times New Roman"/>
          <w:sz w:val="18"/>
          <w:szCs w:val="18"/>
          <w:color w:val="auto"/>
        </w:rPr>
        <w:t>GR-MD-02 is our lead product candidate for treatment of fibrotic disease. Our preclinical data show that GR-MD-02 has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 effect on liver fibrosis as shown in several relevant animal models. In addition, in NASH animal models</w:t>
      </w:r>
    </w:p>
    <w:p>
      <w:pPr>
        <w:sectPr>
          <w:pgSz w:w="11900" w:h="16838" w:orient="portrait"/>
          <w:cols w:equalWidth="0" w:num="1">
            <w:col w:w="11420"/>
          </w:cols>
          <w:pgMar w:left="240" w:top="455" w:right="2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 “End of Phase 1 Meeting” was held with FDA which, amongst other items, provided guidance on the primary endpoint for the Phase 2 clinical trial.</w:t>
      </w:r>
    </w:p>
    <w:p>
      <w:pPr>
        <w:spacing w:after="0" w:line="18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be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 and assessment of liver metabolism (</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C-methacetin breath test, Exalenz), which are non-invasive measures of the liver that may be used in future studies. Data readout is expected by the end of 2017.</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second trial, our Phase 2a pilot trial NASH-FX for patients with NASH advanced fibrosis, is now complete. It was a shorter,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 score. We, and many experts in the field, now believe that a four month treatment period is not sufficient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89"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8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60"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burgeoning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cancer.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These preclinical data led to the filing of an Investigator-sponsored IND and the initiation of a study of GR-MD-02 in combination with Yervoy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(ipilimumab) in a Phase 1B study of patients with metastatic melanoma. This study is being conducted under the sponsorship of Providence Portland Medical Center’s Earle A. Chiles Research Institute (EACRI). A second study with Keytruda and GRMD-02 is conducted by EACRI began enrolling by April 2016.</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7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Psoriasis. </w:t>
      </w:r>
      <w:r>
        <w:rPr>
          <w:rFonts w:ascii="Times New Roman" w:cs="Times New Roman" w:eastAsia="Times New Roman" w:hAnsi="Times New Roman"/>
          <w:sz w:val="18"/>
          <w:szCs w:val="18"/>
          <w:color w:val="auto"/>
        </w:rPr>
        <w:t>During our Phase 1 NASH fibrosis trial with GR-MD-02, a clinical effect on plaque psoriasis was observed in a NASH patient who also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4 patients with moderate to severe plaque psoriasis were administered GR-MD-02 every two weeks for 12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ind w:right="160"/>
        <w:spacing w:after="0" w:line="255" w:lineRule="auto"/>
        <w:rPr>
          <w:sz w:val="20"/>
          <w:szCs w:val="20"/>
          <w:color w:val="auto"/>
        </w:rPr>
      </w:pPr>
      <w:r>
        <w:rPr>
          <w:rFonts w:ascii="Times New Roman" w:cs="Times New Roman" w:eastAsia="Times New Roman" w:hAnsi="Times New Roman"/>
          <w:sz w:val="18"/>
          <w:szCs w:val="18"/>
          <w:color w:val="auto"/>
        </w:rPr>
        <w:t>12 weeks of therapy. The four patients who received 24 weeks of therapy experienced an average of 48% improvement in their plaque psoriasis. However, there are existing drugs on the market in this disease that produce 75% and higher improvements. While we are encouraged that this study has demonstrated clinically meaningful results in a human disease with GR-MD-02, we do not expect to conduct further trials in this area absent a strategic partnership.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2016 Compared to Three and Nine Months Ended September 30,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Nine Months Ended</w:t>
            </w:r>
          </w:p>
        </w:tc>
        <w:tc>
          <w:tcPr>
            <w:tcW w:w="8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2016 as Compared to 2015</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76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192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4"/>
                <w:szCs w:val="14"/>
                <w:color w:val="auto"/>
              </w:rPr>
              <w:t>Three Months</w:t>
            </w:r>
          </w:p>
        </w:tc>
        <w:tc>
          <w:tcPr>
            <w:tcW w:w="144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Nine Months</w:t>
            </w:r>
          </w:p>
        </w:tc>
        <w:tc>
          <w:tcPr>
            <w:tcW w:w="20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7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4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20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color w:val="auto"/>
              </w:rPr>
              <w:t>(In thousands, except %)</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$3,289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$ 4,464</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$11,892</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$10,200</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$(1,175)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$ 1,692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5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5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5"/>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programs</w:t>
            </w:r>
          </w:p>
        </w:tc>
        <w:tc>
          <w:tcPr>
            <w:tcW w:w="2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$2,499</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$ 3,459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Pre-clinical activities</w:t>
            </w:r>
          </w:p>
        </w:tc>
        <w:tc>
          <w:tcPr>
            <w:tcW w:w="27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213</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1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1,782</w:t>
            </w:r>
          </w:p>
        </w:tc>
      </w:tr>
      <w:tr>
        <w:trPr>
          <w:trHeight w:val="27"/>
        </w:trPr>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3,289</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$ 4,464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11,892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10,200</w:t>
            </w:r>
          </w:p>
        </w:tc>
      </w:tr>
      <w:tr>
        <w:trPr>
          <w:trHeight w:val="20"/>
        </w:trPr>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we continue our Phase 2 trials, we expect our clinical programs costs will increase and may fluctuate from quarter to quarter as the trials progress. Pre-clinical activities decreased primarily because we have completed pre-clinical work directly related to our Phase 2 clinical trial program. Other research and development expense increased for the nine months ended September 30, 2016 primarily due to the hiring of our executive director of clinical development in June 2015.</w:t>
      </w:r>
    </w:p>
    <w:p>
      <w:pPr>
        <w:spacing w:after="0" w:line="180" w:lineRule="exact"/>
        <w:rPr>
          <w:sz w:val="20"/>
          <w:szCs w:val="20"/>
          <w:color w:val="auto"/>
        </w:rPr>
      </w:pPr>
    </w:p>
    <w:p>
      <w:pPr>
        <w:jc w:val="both"/>
        <w:ind w:right="140" w:firstLine="456"/>
        <w:spacing w:after="0" w:line="270" w:lineRule="auto"/>
        <w:rPr>
          <w:sz w:val="20"/>
          <w:szCs w:val="20"/>
          <w:color w:val="auto"/>
        </w:rPr>
      </w:pPr>
      <w:r>
        <w:rPr>
          <w:rFonts w:ascii="Times New Roman" w:cs="Times New Roman" w:eastAsia="Times New Roman" w:hAnsi="Times New Roman"/>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w:t>
            </w:r>
          </w:p>
        </w:tc>
        <w:tc>
          <w:tcPr>
            <w:tcW w:w="140" w:type="dxa"/>
            <w:vAlign w:val="bottom"/>
          </w:tcPr>
          <w:p>
            <w:pPr>
              <w:spacing w:after="0"/>
              <w:rPr>
                <w:sz w:val="13"/>
                <w:szCs w:val="13"/>
                <w:color w:val="auto"/>
              </w:rPr>
            </w:pP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Nine Months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80" w:type="dxa"/>
            <w:vAlign w:val="bottom"/>
            <w:gridSpan w:val="5"/>
            <w:vMerge w:val="restart"/>
          </w:tcPr>
          <w:p>
            <w:pPr>
              <w:jc w:val="right"/>
              <w:ind w:right="82"/>
              <w:spacing w:after="0"/>
              <w:rPr>
                <w:sz w:val="20"/>
                <w:szCs w:val="20"/>
                <w:color w:val="auto"/>
              </w:rPr>
            </w:pPr>
            <w:r>
              <w:rPr>
                <w:rFonts w:ascii="Times New Roman" w:cs="Times New Roman" w:eastAsia="Times New Roman" w:hAnsi="Times New Roman"/>
                <w:sz w:val="14"/>
                <w:szCs w:val="14"/>
                <w:color w:val="auto"/>
              </w:rPr>
              <w:t>2016 as Compared to 2015</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40" w:type="dxa"/>
            <w:vAlign w:val="bottom"/>
          </w:tcPr>
          <w:p>
            <w:pPr>
              <w:spacing w:after="0"/>
              <w:rPr>
                <w:sz w:val="6"/>
                <w:szCs w:val="6"/>
                <w:color w:val="auto"/>
              </w:rPr>
            </w:pPr>
          </w:p>
        </w:tc>
        <w:tc>
          <w:tcPr>
            <w:tcW w:w="142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gridSpan w:val="5"/>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Three Months</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w w:val="98"/>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 except %)</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$1,248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$1,435</w:t>
            </w: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$4,990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(187)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 based compensation, legal and accounting fees, insurance, investor relations, business development and other office related expenses. The primary reasons for the decrease in general and administrative expenses for the three-months ended September 30, 2016 as compared to the same period in 2015 were decreases in non-cash, stock-based compensation expense partially offset by higher legal and accounting fees. For the nine months ended September 30, 2016, there was a decrease in non-cash, stock-based compensation expense partially offset by an increase in investor and public relations and legal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As of September 30, 2016, we raised a net total of $124.3 million from these offerings. We have operated at a loss since our inception and have had no significant revenues. We anticipate that losses will continue for the foreseeable future. At September 30, 2016, we had $16.1 million of unrestricted cash and cash equivalents available to fund future operations. We believe that with the cash on hand at September 30, 2016, there is sufficient cash to fund currently planned operations through August 2017. Our ability to fund operations after our current cash resources are exhausted depends on our ability to obtain additional financing or achieve profitable operations, as to which no assurances can be given. Based on the forecasts and estimates underlying our current operating plan, the financial statements do not currently include any adjustments that might be necessary if we are unable to continue as a going concern.</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operations decreased by $838,000 to $11,544,000 for the nine months ended September 30, 2016, as compared to $12,382,000 for the nine months ended September 30, 2015. Cash operating expenses decreased principally due to timing of payments of research and development activities related to our clinical trial activity with GR-MD-02.</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the nine months ended September 30, 2016 and 2015, of $1,757,000 and $4,532,000, respectively, represent net proceeds from the sale of Series B-3 preferred stock in September 2016 and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2015 Annual Report on Form 10-K.</w:t>
      </w: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2016, our disclosure controls and procedures were effective at a reasonable assurance level. During the quarter ended September 30, 2016, no change in our internal control over financial reporting has materially affected, or is reasonably likely to materially affect, our internal control over financial reporting.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9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0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00" w:type="dxa"/>
            <w:vAlign w:val="bottom"/>
            <w:gridSpan w:val="3"/>
            <w:vMerge w:val="continue"/>
          </w:tcPr>
          <w:p>
            <w:pPr>
              <w:spacing w:after="0"/>
              <w:rPr>
                <w:sz w:val="14"/>
                <w:szCs w:val="14"/>
                <w:color w:val="auto"/>
              </w:rPr>
            </w:pPr>
          </w:p>
        </w:tc>
        <w:tc>
          <w:tcPr>
            <w:tcW w:w="10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60" w:type="dxa"/>
            <w:vAlign w:val="bottom"/>
          </w:tcPr>
          <w:p>
            <w:pPr>
              <w:spacing w:after="0"/>
              <w:rPr>
                <w:sz w:val="24"/>
                <w:szCs w:val="24"/>
                <w:color w:val="auto"/>
              </w:rPr>
            </w:pP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60" w:type="dxa"/>
            <w:vAlign w:val="bottom"/>
          </w:tcPr>
          <w:p>
            <w:pPr>
              <w:spacing w:after="0"/>
              <w:rPr>
                <w:sz w:val="24"/>
                <w:szCs w:val="24"/>
                <w:color w:val="auto"/>
              </w:rPr>
            </w:pP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101.SCH</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101.CAL</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101.DEF</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101.LAB</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101.PRE</w:t>
            </w:r>
          </w:p>
        </w:tc>
        <w:tc>
          <w:tcPr>
            <w:tcW w:w="9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20" w:right="2620" w:hanging="5612"/>
        <w:spacing w:after="0" w:line="433" w:lineRule="auto"/>
        <w:tabs>
          <w:tab w:leader="none" w:pos="4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20</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8, 2016.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Peter G. Traber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Peter G. Traber, M.D.</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 (principal</w:t>
            </w:r>
          </w:p>
        </w:tc>
      </w:tr>
      <w:tr>
        <w:trPr>
          <w:trHeight w:val="234"/>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19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Jack W. Callicutt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5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Peter G. Traber</w:t>
            </w:r>
          </w:p>
        </w:tc>
      </w:tr>
      <w:tr>
        <w:trPr>
          <w:trHeight w:val="191"/>
        </w:trPr>
        <w:tc>
          <w:tcPr>
            <w:tcW w:w="6300" w:type="dxa"/>
            <w:vAlign w:val="bottom"/>
          </w:tcPr>
          <w:p>
            <w:pPr>
              <w:ind w:left="582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5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6300" w:type="dxa"/>
            <w:vAlign w:val="bottom"/>
          </w:tcPr>
          <w:p>
            <w:pPr>
              <w:ind w:left="582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September 30, 2016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2"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5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Peter G. Traber</w:t>
            </w:r>
          </w:p>
        </w:tc>
      </w:tr>
      <w:tr>
        <w:trPr>
          <w:trHeight w:val="191"/>
        </w:trPr>
        <w:tc>
          <w:tcPr>
            <w:tcW w:w="6300" w:type="dxa"/>
            <w:vAlign w:val="bottom"/>
          </w:tcPr>
          <w:p>
            <w:pPr>
              <w:ind w:left="582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Galectin Therapeutics Inc. (the “Company”) on Form 10-Q for the period ended September 30, 2016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2"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2016</w:t>
            </w:r>
          </w:p>
        </w:tc>
        <w:tc>
          <w:tcPr>
            <w:tcW w:w="5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6300" w:type="dxa"/>
            <w:vAlign w:val="bottom"/>
          </w:tcPr>
          <w:p>
            <w:pPr>
              <w:ind w:left="582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11"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2019-12-29T10:10:08Z</dcterms:created>
  <dcterms:modified xsi:type="dcterms:W3CDTF">2019-12-29T10:10:08Z</dcterms:modified>
</cp:coreProperties>
</file>