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135255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REGISTRATION STATEMENT</w:t>
      </w:r>
    </w:p>
    <w:p>
      <w:pPr>
        <w:jc w:val="center"/>
        <w:ind w:right="-1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GALECTIN THERAPEUTICS INC.</w:t>
      </w:r>
    </w:p>
    <w:p>
      <w:pPr>
        <w:spacing w:after="0" w:line="50" w:lineRule="exact"/>
        <w:rPr>
          <w:sz w:val="24"/>
          <w:szCs w:val="24"/>
          <w:color w:val="auto"/>
        </w:rPr>
      </w:pPr>
    </w:p>
    <w:tbl>
      <w:tblPr>
        <w:tblLayout w:type="fixed"/>
        <w:tblInd w:w="21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5260" w:type="dxa"/>
            <w:vAlign w:val="bottom"/>
            <w:gridSpan w:val="3"/>
          </w:tcPr>
          <w:p>
            <w:pPr>
              <w:ind w:left="60"/>
              <w:spacing w:after="0"/>
              <w:rPr>
                <w:sz w:val="20"/>
                <w:szCs w:val="20"/>
                <w:color w:val="auto"/>
              </w:rPr>
            </w:pPr>
            <w:r>
              <w:rPr>
                <w:rFonts w:ascii="Arial" w:cs="Arial" w:eastAsia="Arial" w:hAnsi="Arial"/>
                <w:sz w:val="18"/>
                <w:szCs w:val="18"/>
                <w:b w:val="1"/>
                <w:bCs w:val="1"/>
                <w:color w:val="auto"/>
              </w:rPr>
              <w:t>(Name of Registrant as specified in its charter)</w:t>
            </w:r>
          </w:p>
        </w:tc>
      </w:tr>
      <w:tr>
        <w:trPr>
          <w:trHeight w:val="331"/>
        </w:trPr>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4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260" w:type="dxa"/>
            <w:vAlign w:val="bottom"/>
            <w:gridSpan w:val="3"/>
          </w:tcPr>
          <w:p>
            <w:pPr>
              <w:jc w:val="center"/>
              <w:ind w:left="4030"/>
              <w:spacing w:after="0"/>
              <w:rPr>
                <w:sz w:val="20"/>
                <w:szCs w:val="20"/>
                <w:color w:val="auto"/>
              </w:rPr>
            </w:pPr>
            <w:r>
              <w:rPr>
                <w:rFonts w:ascii="Arial" w:cs="Arial" w:eastAsia="Arial" w:hAnsi="Arial"/>
                <w:sz w:val="18"/>
                <w:szCs w:val="18"/>
                <w:b w:val="1"/>
                <w:bCs w:val="1"/>
                <w:color w:val="auto"/>
                <w:w w:val="89"/>
              </w:rPr>
              <w:t>04-3562325</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tcPr>
          <w:p>
            <w:pPr>
              <w:jc w:val="center"/>
              <w:ind w:left="104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60" w:type="dxa"/>
            <w:vAlign w:val="bottom"/>
          </w:tcPr>
          <w:p>
            <w:pPr>
              <w:jc w:val="center"/>
              <w:ind w:left="10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Norcross, Georgia 30071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(678) 620-3186</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and telephone number of principal executive offices and principal place of 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Harold Shlevin, Ph.D.</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Norcross, Georgia 30071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(678) 620-3186</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Robert E. Tritt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303 Peachtree Street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Atlanta, Georgia 30308</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Tel No.: (404) 527-4990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Fax No.: (404) 527-8890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Approximate date of commencement of proposed sale of the securities to the public</w:t>
      </w:r>
      <w:r>
        <w:rPr>
          <w:rFonts w:ascii="Arial" w:cs="Arial" w:eastAsia="Arial" w:hAnsi="Arial"/>
          <w:sz w:val="18"/>
          <w:szCs w:val="18"/>
          <w:color w:val="auto"/>
        </w:rPr>
        <w:t>: From time to time,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66" w:lineRule="exact"/>
        <w:rPr>
          <w:sz w:val="24"/>
          <w:szCs w:val="24"/>
          <w:color w:val="auto"/>
        </w:rPr>
      </w:pPr>
    </w:p>
    <w:p>
      <w:pPr>
        <w:ind w:left="200"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10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2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220"/>
          </w:cols>
          <w:pgMar w:left="240" w:top="230" w:right="439" w:bottom="0" w:gutter="0" w:footer="0" w:header="0"/>
        </w:sectPr>
      </w:pPr>
    </w:p>
    <w:bookmarkStart w:id="1" w:name="page2"/>
    <w:bookmarkEnd w:id="1"/>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ind w:left="1880"/>
              <w:spacing w:after="0" w:line="158" w:lineRule="exact"/>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ind w:left="190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1,702,725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$3.51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$5,976,564.75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$724.36</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1,702,725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$5,976,564.75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60" w:hanging="436"/>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416 under the Securities Act of 1933, as amended (the “Securities Act”), this registration statement also shall register and be deemed to cover any additional shares of Common Stock of the Registrant which may be offered or become issuable to prevent dilution resulting from stock splits, stock dividends, or similar transactions.</w:t>
      </w:r>
    </w:p>
    <w:p>
      <w:pPr>
        <w:spacing w:after="0" w:line="1" w:lineRule="exact"/>
        <w:rPr>
          <w:rFonts w:ascii="Arial" w:cs="Arial" w:eastAsia="Arial" w:hAnsi="Arial"/>
          <w:sz w:val="18"/>
          <w:szCs w:val="18"/>
          <w:color w:val="auto"/>
        </w:rPr>
      </w:pPr>
    </w:p>
    <w:p>
      <w:pPr>
        <w:ind w:left="440" w:right="280" w:hanging="436"/>
        <w:spacing w:after="0" w:line="261"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under the Securities Act, based upon the average of the high and low prices of the Registrant’s common stock as reported on the Nasdaq Stock Market on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220345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i w:val="1"/>
          <w:iCs w:val="1"/>
          <w:color w:val="auto"/>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SUBJECT TO COMPLETION, DATED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172085</wp:posOffset>
            </wp:positionV>
            <wp:extent cx="1783715"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GALECTIN THERAPEUTICS INC.</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1,702,725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This prospectus covers the offer and sale of up to 1,702,725 shares of our common stock, par value $0.001 (“Common Stock”) from time to time by the selling stockholders named in this prospectus (together with their successors and assigns,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The shares of Common Stock being offered are issuable to the Selling Stockholders identified herein as follows:</w:t>
      </w:r>
    </w:p>
    <w:p>
      <w:pPr>
        <w:spacing w:after="0" w:line="73" w:lineRule="exact"/>
        <w:rPr>
          <w:sz w:val="20"/>
          <w:szCs w:val="20"/>
          <w:color w:val="auto"/>
        </w:rPr>
      </w:pPr>
    </w:p>
    <w:p>
      <w:pPr>
        <w:ind w:left="640" w:right="260" w:firstLine="4"/>
        <w:spacing w:after="0" w:line="264" w:lineRule="auto"/>
        <w:tabs>
          <w:tab w:leader="none" w:pos="8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785,808 shares of Common Stock are issuable upon exercise of certain Common Stock purchase warrants (the “</w:t>
      </w:r>
      <w:r>
        <w:rPr>
          <w:rFonts w:ascii="Arial" w:cs="Arial" w:eastAsia="Arial" w:hAnsi="Arial"/>
          <w:sz w:val="18"/>
          <w:szCs w:val="18"/>
          <w:u w:val="single" w:color="auto"/>
          <w:color w:val="auto"/>
        </w:rPr>
        <w:t>Class B 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Registrable Shares</w:t>
      </w:r>
      <w:r>
        <w:rPr>
          <w:rFonts w:ascii="Arial" w:cs="Arial" w:eastAsia="Arial" w:hAnsi="Arial"/>
          <w:sz w:val="18"/>
          <w:szCs w:val="18"/>
          <w:color w:val="auto"/>
        </w:rPr>
        <w:t>”) held by certain selling stockholders at an exercise price of $3.00 per share that were originally issued in a series of private placements during a period commencing on February 12, 2009 and concluding on May 10, 2010.</w:t>
      </w:r>
    </w:p>
    <w:p>
      <w:pPr>
        <w:spacing w:after="0" w:line="73" w:lineRule="exact"/>
        <w:rPr>
          <w:rFonts w:ascii="Arial" w:cs="Arial" w:eastAsia="Arial" w:hAnsi="Arial"/>
          <w:sz w:val="18"/>
          <w:szCs w:val="18"/>
          <w:color w:val="auto"/>
        </w:rPr>
      </w:pPr>
    </w:p>
    <w:p>
      <w:pPr>
        <w:ind w:left="640" w:right="520" w:firstLine="4"/>
        <w:spacing w:after="0" w:line="279" w:lineRule="auto"/>
        <w:tabs>
          <w:tab w:leader="none" w:pos="905" w:val="left"/>
        </w:tabs>
        <w:numPr>
          <w:ilvl w:val="0"/>
          <w:numId w:val="2"/>
        </w:numPr>
        <w:rPr>
          <w:rFonts w:ascii="Arial" w:cs="Arial" w:eastAsia="Arial" w:hAnsi="Arial"/>
          <w:sz w:val="17"/>
          <w:szCs w:val="17"/>
          <w:color w:val="auto"/>
        </w:rPr>
      </w:pPr>
      <w:r>
        <w:rPr>
          <w:rFonts w:ascii="Arial" w:cs="Arial" w:eastAsia="Arial" w:hAnsi="Arial"/>
          <w:sz w:val="17"/>
          <w:szCs w:val="17"/>
          <w:color w:val="auto"/>
        </w:rPr>
        <w:t>up to 26,665 shares of Common Stock are issuable upon exercise of certain Common Stock purchase warrants (the “</w:t>
      </w:r>
      <w:r>
        <w:rPr>
          <w:rFonts w:ascii="Arial" w:cs="Arial" w:eastAsia="Arial" w:hAnsi="Arial"/>
          <w:sz w:val="17"/>
          <w:szCs w:val="17"/>
          <w:u w:val="single" w:color="auto"/>
          <w:color w:val="auto"/>
        </w:rPr>
        <w:t>Lock Up 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Registrable Shares</w:t>
      </w:r>
      <w:r>
        <w:rPr>
          <w:rFonts w:ascii="Arial" w:cs="Arial" w:eastAsia="Arial" w:hAnsi="Arial"/>
          <w:sz w:val="17"/>
          <w:szCs w:val="17"/>
          <w:color w:val="auto"/>
        </w:rPr>
        <w:t>”) held by certain selling stockholders at an exercise price of $3.00 per share that were issued on September 22, 2016, September 29, 2016 and December 23, 2016. Throughout this prospectus, the Class B Warrant Registrable Shares and the Lock Up Warrant Registrable Shares will be referred to collectively as the “</w:t>
      </w:r>
      <w:r>
        <w:rPr>
          <w:rFonts w:ascii="Arial" w:cs="Arial" w:eastAsia="Arial" w:hAnsi="Arial"/>
          <w:sz w:val="17"/>
          <w:szCs w:val="17"/>
          <w:u w:val="single" w:color="auto"/>
          <w:color w:val="auto"/>
        </w:rPr>
        <w:t>Warrant Registrable Shares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640" w:firstLine="4"/>
        <w:spacing w:after="0" w:line="264"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221,757 shares of Common Stock are issuable upon the conversion of shares of our Series A 12% Convertible Preferred Stock, par value $0.01 (the “</w:t>
      </w:r>
      <w:r>
        <w:rPr>
          <w:rFonts w:ascii="Arial" w:cs="Arial" w:eastAsia="Arial" w:hAnsi="Arial"/>
          <w:sz w:val="18"/>
          <w:szCs w:val="18"/>
          <w:u w:val="single" w:color="auto"/>
          <w:color w:val="auto"/>
        </w:rPr>
        <w:t>Series A Convertible Shares</w:t>
      </w:r>
      <w:r>
        <w:rPr>
          <w:rFonts w:ascii="Arial" w:cs="Arial" w:eastAsia="Arial" w:hAnsi="Arial"/>
          <w:sz w:val="18"/>
          <w:szCs w:val="18"/>
          <w:color w:val="auto"/>
        </w:rPr>
        <w:t>”), which are held by certain selling stockholders and which were originally issued pursuant to a private placement that commenced in October 2007 and closed on February 4, 2008.</w:t>
      </w:r>
    </w:p>
    <w:p>
      <w:pPr>
        <w:spacing w:after="0" w:line="73" w:lineRule="exact"/>
        <w:rPr>
          <w:rFonts w:ascii="Arial" w:cs="Arial" w:eastAsia="Arial" w:hAnsi="Arial"/>
          <w:sz w:val="18"/>
          <w:szCs w:val="18"/>
          <w:color w:val="auto"/>
        </w:rPr>
      </w:pPr>
    </w:p>
    <w:p>
      <w:pPr>
        <w:ind w:left="940" w:hanging="296"/>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 to 248,773 shares of Common Stock that may be issued as stock dividends on outstanding shares of the Series A Preferred Stock (the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Dividend Shares</w:t>
      </w:r>
      <w:r>
        <w:rPr>
          <w:rFonts w:ascii="Arial" w:cs="Arial" w:eastAsia="Arial" w:hAnsi="Arial"/>
          <w:sz w:val="16"/>
          <w:szCs w:val="16"/>
          <w:color w:val="auto"/>
        </w:rPr>
        <w:t>”, together with the Series A Convertible Shares, the “</w:t>
      </w:r>
      <w:r>
        <w:rPr>
          <w:rFonts w:ascii="Arial" w:cs="Arial" w:eastAsia="Arial" w:hAnsi="Arial"/>
          <w:sz w:val="16"/>
          <w:szCs w:val="16"/>
          <w:u w:val="single" w:color="auto"/>
          <w:color w:val="auto"/>
        </w:rPr>
        <w:t>Series A Registrable Shares</w:t>
      </w:r>
      <w:r>
        <w:rPr>
          <w:rFonts w:ascii="Arial" w:cs="Arial" w:eastAsia="Arial" w:hAnsi="Arial"/>
          <w:sz w:val="16"/>
          <w:szCs w:val="16"/>
          <w:color w:val="auto"/>
        </w:rPr>
        <w:t>”) held by certain selling stockholders</w:t>
      </w:r>
    </w:p>
    <w:p>
      <w:pPr>
        <w:spacing w:after="0" w:line="126" w:lineRule="exact"/>
        <w:rPr>
          <w:sz w:val="20"/>
          <w:szCs w:val="20"/>
          <w:color w:val="auto"/>
        </w:rPr>
      </w:pPr>
    </w:p>
    <w:p>
      <w:pPr>
        <w:ind w:left="640" w:right="460" w:firstLine="4"/>
        <w:spacing w:after="0" w:line="264"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210,006 shares of Common Stock are issuable upon the conversion of shares of our Series C Super Dividend Convertible Preferred Stock, par value $0.01 (the “</w:t>
      </w:r>
      <w:r>
        <w:rPr>
          <w:rFonts w:ascii="Arial" w:cs="Arial" w:eastAsia="Arial" w:hAnsi="Arial"/>
          <w:sz w:val="18"/>
          <w:szCs w:val="18"/>
          <w:u w:val="single" w:color="auto"/>
          <w:color w:val="auto"/>
        </w:rPr>
        <w:t>Series C Convertible Shares</w:t>
      </w:r>
      <w:r>
        <w:rPr>
          <w:rFonts w:ascii="Arial" w:cs="Arial" w:eastAsia="Arial" w:hAnsi="Arial"/>
          <w:sz w:val="18"/>
          <w:szCs w:val="18"/>
          <w:color w:val="auto"/>
        </w:rPr>
        <w:t>”), which are held by certain selling stockholders and which were originally issued pursuant to private placements in December of 2010 and January of 2011.</w:t>
      </w:r>
    </w:p>
    <w:p>
      <w:pPr>
        <w:spacing w:after="0" w:line="73" w:lineRule="exact"/>
        <w:rPr>
          <w:rFonts w:ascii="Arial" w:cs="Arial" w:eastAsia="Arial" w:hAnsi="Arial"/>
          <w:sz w:val="18"/>
          <w:szCs w:val="18"/>
          <w:color w:val="auto"/>
        </w:rPr>
      </w:pPr>
    </w:p>
    <w:p>
      <w:pPr>
        <w:ind w:left="640" w:right="460" w:firstLine="4"/>
        <w:spacing w:after="0" w:line="264" w:lineRule="auto"/>
        <w:tabs>
          <w:tab w:leader="none" w:pos="945"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210,216 shares of Common Stock that may be issued as stock dividends on outstanding shares of the Series C Preferred Stock (the “</w:t>
      </w:r>
      <w:r>
        <w:rPr>
          <w:rFonts w:ascii="Arial" w:cs="Arial" w:eastAsia="Arial" w:hAnsi="Arial"/>
          <w:sz w:val="18"/>
          <w:szCs w:val="18"/>
          <w:u w:val="single" w:color="auto"/>
          <w:color w:val="auto"/>
        </w:rPr>
        <w:t>Series C Dividend Shares</w:t>
      </w:r>
      <w:r>
        <w:rPr>
          <w:rFonts w:ascii="Arial" w:cs="Arial" w:eastAsia="Arial" w:hAnsi="Arial"/>
          <w:sz w:val="18"/>
          <w:szCs w:val="18"/>
          <w:color w:val="auto"/>
        </w:rPr>
        <w:t>”, together with the Series C Convertible Shares, the “</w:t>
      </w:r>
      <w:r>
        <w:rPr>
          <w:rFonts w:ascii="Arial" w:cs="Arial" w:eastAsia="Arial" w:hAnsi="Arial"/>
          <w:sz w:val="18"/>
          <w:szCs w:val="18"/>
          <w:u w:val="single" w:color="auto"/>
          <w:color w:val="auto"/>
        </w:rPr>
        <w:t>Series C Registrable Shares</w:t>
      </w:r>
      <w:r>
        <w:rPr>
          <w:rFonts w:ascii="Arial" w:cs="Arial" w:eastAsia="Arial" w:hAnsi="Arial"/>
          <w:sz w:val="18"/>
          <w:szCs w:val="18"/>
          <w:color w:val="auto"/>
        </w:rPr>
        <w:t>”) held by certain selling stockholders.</w:t>
      </w:r>
    </w:p>
    <w:p>
      <w:pPr>
        <w:spacing w:after="0" w:line="18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Throughout this prospectus, the Warrant Registrable Shares, the Series A Registrable Shares, and the Series C Registrable Shares will be referred to collectively as the “</w:t>
      </w:r>
      <w:r>
        <w:rPr>
          <w:rFonts w:ascii="Arial" w:cs="Arial" w:eastAsia="Arial" w:hAnsi="Arial"/>
          <w:sz w:val="18"/>
          <w:szCs w:val="18"/>
          <w:u w:val="single" w:color="auto"/>
          <w:color w:val="auto"/>
        </w:rPr>
        <w:t>Registrable Shares</w:t>
      </w:r>
      <w:r>
        <w:rPr>
          <w:rFonts w:ascii="Arial" w:cs="Arial" w:eastAsia="Arial" w:hAnsi="Arial"/>
          <w:sz w:val="18"/>
          <w:szCs w:val="18"/>
          <w:color w:val="auto"/>
        </w:rPr>
        <w:t>”).</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 information regarding the Selling Stockholders and the times and manner in which they may offer or sell the shares, see “Selling Stockholder” or “Plan of Distribution.”</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will not receive any of the proceeds from the sale of the Registrable Shares by the Selling Stockholders; however, we will receive proceeds from the exercise of warrants with respect to the Warrant Registrable Shares, to the extent such warrants are exercised by cash payment. We will pay the expenses of registering the Common Stock. The Selling Stockholders will bear all commissions and discounts, if any, attributable to the sale of the Common Stock by the Selling Stockholders.</w:t>
      </w:r>
    </w:p>
    <w:p>
      <w:pPr>
        <w:spacing w:after="0" w:line="1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“GALT.” On August 2, 2019, the last reported closing price for our Common Stock on the NASDAQ Capital Market was $3.36 per share.</w:t>
      </w:r>
    </w:p>
    <w:p>
      <w:pPr>
        <w:spacing w:after="0" w:line="166" w:lineRule="exact"/>
        <w:rPr>
          <w:sz w:val="20"/>
          <w:szCs w:val="20"/>
          <w:color w:val="auto"/>
        </w:rPr>
      </w:pPr>
    </w:p>
    <w:p>
      <w:pPr>
        <w:ind w:left="20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shares of our Common Stock involves certain risks. See “</w:t>
      </w:r>
      <w:r>
        <w:rPr>
          <w:rFonts w:ascii="Arial" w:cs="Arial" w:eastAsia="Arial" w:hAnsi="Arial"/>
          <w:sz w:val="18"/>
          <w:szCs w:val="18"/>
          <w:color w:val="auto"/>
        </w:rPr>
        <w:t>RISK FACTORS</w:t>
      </w:r>
      <w:r>
        <w:rPr>
          <w:rFonts w:ascii="Arial" w:cs="Arial" w:eastAsia="Arial" w:hAnsi="Arial"/>
          <w:sz w:val="18"/>
          <w:szCs w:val="18"/>
          <w:b w:val="1"/>
          <w:bCs w:val="1"/>
          <w:color w:val="auto"/>
        </w:rPr>
        <w:t>” beginning on page 4 of this prospectus. In addition, see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in our Annual Report on Form 10-K for the year ended December 31, 2018 and supplemented by our Quarterly Reports on Form 10-Q for the period ended March 31, 2019 and period ended June 30, 2019, each of which has been filed with the Securities and Exchange Commission and is incorporated herein by reference and which may be updated, supplemented or superseded by the risks and uncertainties described in the reports we subsequently file with the Commission . You should carefully read and consider these risk factors before you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216535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t>The date of this prospectus is August</w:t>
      </w:r>
      <w:r>
        <w:rPr>
          <w:sz w:val="20"/>
          <w:szCs w:val="20"/>
          <w:color w:val="auto"/>
        </w:rPr>
        <w:tab/>
      </w:r>
      <w:r>
        <w:rPr>
          <w:rFonts w:ascii="Arial" w:cs="Arial" w:eastAsia="Arial" w:hAnsi="Arial"/>
          <w:sz w:val="16"/>
          <w:szCs w:val="16"/>
          <w:b w:val="1"/>
          <w:bCs w:val="1"/>
          <w:color w:val="auto"/>
        </w:rPr>
        <w:t>, 2019.</w:t>
      </w:r>
    </w:p>
    <w:p>
      <w:pPr>
        <w:sectPr>
          <w:pgSz w:w="11900" w:h="16838" w:orient="portrait"/>
          <w:cols w:equalWidth="0" w:num="1">
            <w:col w:w="11220"/>
          </w:cols>
          <w:pgMar w:left="240" w:top="459" w:right="439" w:bottom="22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8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7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2040" w:type="dxa"/>
            <w:vAlign w:val="bottom"/>
            <w:gridSpan w:val="6"/>
          </w:tcPr>
          <w:p>
            <w:pPr>
              <w:spacing w:after="0"/>
              <w:rPr>
                <w:sz w:val="24"/>
                <w:szCs w:val="24"/>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42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820" w:type="dxa"/>
            <w:vAlign w:val="bottom"/>
            <w:tcBorders>
              <w:top w:val="single" w:sz="8" w:color="0000EE"/>
            </w:tcBorders>
            <w:gridSpan w:val="5"/>
          </w:tcPr>
          <w:p>
            <w:pPr>
              <w:spacing w:after="0"/>
              <w:rPr>
                <w:sz w:val="17"/>
                <w:szCs w:val="17"/>
                <w:color w:val="auto"/>
              </w:rPr>
            </w:pPr>
          </w:p>
        </w:tc>
        <w:tc>
          <w:tcPr>
            <w:tcW w:w="2200" w:type="dxa"/>
            <w:vAlign w:val="bottom"/>
            <w:gridSpan w:val="8"/>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1340" w:type="dxa"/>
            <w:vAlign w:val="bottom"/>
            <w:gridSpan w:val="4"/>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USE OF PROCEEDS</w:t>
              </w:r>
            </w:hyperlink>
          </w:p>
        </w:tc>
        <w:tc>
          <w:tcPr>
            <w:tcW w:w="2680" w:type="dxa"/>
            <w:vAlign w:val="bottom"/>
            <w:gridSpan w:val="10"/>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DESCRIPTION OF FINANCING TRANSACTIONS</w:t>
              </w:r>
            </w:hyperlink>
          </w:p>
        </w:tc>
        <w:tc>
          <w:tcPr>
            <w:tcW w:w="380" w:type="dxa"/>
            <w:vAlign w:val="bottom"/>
            <w:gridSpan w:val="2"/>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DIVIDEND POLICY</w:t>
              </w:r>
            </w:hyperlink>
          </w:p>
        </w:tc>
        <w:tc>
          <w:tcPr>
            <w:tcW w:w="2700" w:type="dxa"/>
            <w:vAlign w:val="bottom"/>
            <w:gridSpan w:val="11"/>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SELLING STOCKHOLDERS</w:t>
              </w:r>
            </w:hyperlink>
          </w:p>
        </w:tc>
        <w:tc>
          <w:tcPr>
            <w:tcW w:w="2060" w:type="dxa"/>
            <w:vAlign w:val="bottom"/>
            <w:gridSpan w:val="7"/>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PLAN OF DISTRIBUTION</w:t>
              </w:r>
            </w:hyperlink>
          </w:p>
        </w:tc>
        <w:tc>
          <w:tcPr>
            <w:tcW w:w="2220" w:type="dxa"/>
            <w:vAlign w:val="bottom"/>
            <w:gridSpan w:val="9"/>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LEGAL MATTERS</w:t>
              </w:r>
            </w:hyperlink>
          </w:p>
        </w:tc>
        <w:tc>
          <w:tcPr>
            <w:tcW w:w="2820" w:type="dxa"/>
            <w:vAlign w:val="bottom"/>
            <w:gridSpan w:val="12"/>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EXPERTS</w:t>
              </w:r>
            </w:hyperlink>
          </w:p>
        </w:tc>
        <w:tc>
          <w:tcPr>
            <w:tcW w:w="3500" w:type="dxa"/>
            <w:vAlign w:val="bottom"/>
            <w:gridSpan w:val="16"/>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428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BY REFERENCE</w:t>
              </w:r>
            </w:hyperlink>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WHERE YOU CAN FIND MORE INFORMATION</w:t>
              </w:r>
            </w:hyperlink>
          </w:p>
        </w:tc>
        <w:tc>
          <w:tcPr>
            <w:tcW w:w="460" w:type="dxa"/>
            <w:vAlign w:val="bottom"/>
            <w:gridSpan w:val="3"/>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40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INFORMATION NOT REQUIRED IN PROSPECTUS</w:t>
              </w:r>
            </w:hyperlink>
          </w:p>
        </w:tc>
        <w:tc>
          <w:tcPr>
            <w:tcW w:w="260" w:type="dxa"/>
            <w:vAlign w:val="bottom"/>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II-1</w:t>
            </w:r>
          </w:p>
        </w:tc>
      </w:tr>
      <w:tr>
        <w:trPr>
          <w:trHeight w:val="196"/>
        </w:trPr>
        <w:tc>
          <w:tcPr>
            <w:tcW w:w="200" w:type="dxa"/>
            <w:vAlign w:val="bottom"/>
          </w:tcPr>
          <w:p>
            <w:pPr>
              <w:spacing w:after="0"/>
              <w:rPr>
                <w:sz w:val="17"/>
                <w:szCs w:val="17"/>
                <w:color w:val="auto"/>
              </w:rPr>
            </w:pPr>
          </w:p>
        </w:tc>
        <w:tc>
          <w:tcPr>
            <w:tcW w:w="428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6700" w:type="dxa"/>
            <w:vAlign w:val="bottom"/>
          </w:tcPr>
          <w:p>
            <w:pPr>
              <w:jc w:val="right"/>
              <w:spacing w:after="0" w:line="196" w:lineRule="exact"/>
              <w:rPr>
                <w:sz w:val="20"/>
                <w:szCs w:val="20"/>
                <w:color w:val="auto"/>
              </w:rPr>
            </w:pPr>
            <w:r>
              <w:rPr>
                <w:rFonts w:ascii="Arial" w:cs="Arial" w:eastAsia="Arial" w:hAnsi="Arial"/>
                <w:sz w:val="18"/>
                <w:szCs w:val="18"/>
                <w:color w:val="auto"/>
              </w:rPr>
              <w:t>II-6</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This prospectus relates to the resale by the Selling Stockholders identified in this prospectus under the caption “Selling Stockholders,” from time to time, of up to 1,702,725 Registrable Shares of our Common Stock, par value $0.001 per share. We are not selling any shares of Common Stock under this prospectus and will not receive any proceeds from the sale of shares of Common Stock by the Selling Stockholders ;however, we will receive proceeds from the exercise of warrants with respect to the Warrant Registrable Shares, to the extent such warrants are exercised by cash payment.</w:t>
      </w:r>
    </w:p>
    <w:p>
      <w:pPr>
        <w:spacing w:after="0" w:line="154"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This prospectus is part of a registration statement we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or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this registration process, the Selling Stockholders may, from time to time, offer and sell up to 1,702,725 Registrable Shares of our Common Stock, as described in this prospectus, in one or more offerings as described in the “Plan of Distribution”. This prospectus provides you with a general description of the securities the Selling Stockholders may offer. You should read this prospectus carefully before making an investment decision.</w:t>
      </w:r>
    </w:p>
    <w:p>
      <w:pPr>
        <w:spacing w:after="0" w:line="154"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You should read this prospectus, any documents that we incorporate by reference in this prospectus and the additional information described below under “Where You Can Find More Information” and “Incorporated By Reference” before making an investment decision. You should rely only on the information contained or incorporated by reference in this prospectus.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w:t>
      </w:r>
    </w:p>
    <w:p>
      <w:pPr>
        <w:spacing w:after="0" w:line="173"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You should not assume that the information in this prospectus or any documents we incorporate by reference herein or therein is accurate as of any date other than the date on the front of those documents. Our business, financial condition, results of operations and prospects may have changed since those 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used in this prospectus, “Galectin Therapeutics,” the “Company,” “we,” “our,” the “Registrant” and similar terms refer to Galectin Therapeutics, Inc.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its subsidiaries, unless the context indicates otherwise.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40"/>
        <w:spacing w:after="0" w:line="289" w:lineRule="auto"/>
        <w:rPr>
          <w:sz w:val="20"/>
          <w:szCs w:val="20"/>
          <w:color w:val="auto"/>
        </w:rPr>
      </w:pPr>
      <w:r>
        <w:rPr>
          <w:rFonts w:ascii="Arial" w:cs="Arial" w:eastAsia="Arial" w:hAnsi="Arial"/>
          <w:sz w:val="16"/>
          <w:szCs w:val="16"/>
          <w:color w:val="auto"/>
        </w:rPr>
        <w:t>This prospectus and the documents incorporated by reference contain, in addition to historical information, forward-looking statements. These statements relate to future events or our future financial performance and can be identified by the use of forward-looking terminology such as “may,” “could,” “expect,” “anticipate,” “estimate,” “continue” or other similar words. These forward-looking statements are based on management’s current expectations and are subject to a number of factors and uncertainties which could cause actual results to differ materially from those described in these statements. We caution investors that actual results or business conditions may differ materially from those projected or suggested in forward-looking statements as a result of various factors including, but not limited to, those described in, or incorporated by reference into, the Risk Factors section of this prospectus. We cannot assure you that we have identified all the factors that create uncertainties.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does not contain all of the information you should consider before investing in our securities. Before deciding to invest in our securities, you should read this entire prospectus, including the discussion of “Risk Factors” and our consolidated financial statements and the related notes included in our Annual Report on Form 10-K for the year ended December 31, 2018, and our subsequent Quarterly Reports on Form 10-Q and Current Reports on Form 10-Q, all of which are incorporated by reference into this prospectus .</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67"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Our lead galectin-3 inhibitor is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this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and results of an End of Phase 2 meeting with the FDA, which provided direction on potentially acceptable end points for a Phase 3 trial. The company with its external NASH consultants has designed a Phase 3 study that has been sent to various contract research organizations (CROs) for their input on feasibility, timing costs and other important considerations.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However, our clinical development efforts are focused on both liver fibrosis and fatty liver disease as represented by a Phase 2 clinical trial in NASH-cirrhosis which reported top line data in December 2017 and on planning for Phase 3 studies. All of our proposed products are presently in development, including pre-clinical and clinical trials.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were founded in July 2000 as Pro-Pharmaceuticals, Inc., a Massachusetts corporation. On April 25, 2001, DTR-Med Pharma Corp. (“</w:t>
      </w:r>
      <w:r>
        <w:rPr>
          <w:rFonts w:ascii="Arial" w:cs="Arial" w:eastAsia="Arial" w:hAnsi="Arial"/>
          <w:sz w:val="18"/>
          <w:szCs w:val="18"/>
          <w:u w:val="single" w:color="auto"/>
          <w:color w:val="auto"/>
        </w:rPr>
        <w:t>DTR</w:t>
      </w:r>
      <w:r>
        <w:rPr>
          <w:rFonts w:ascii="Arial" w:cs="Arial" w:eastAsia="Arial" w:hAnsi="Arial"/>
          <w:sz w:val="18"/>
          <w:szCs w:val="18"/>
          <w:color w:val="auto"/>
        </w:rPr>
        <w:t>”),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OFFERING SUMMARY</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 by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Up to 1,702,725 Shares of Common Stock.</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Terms of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Selling Stockholders, including their transferees, donees, pledgees, assignees and successors-in-interest, may sell, transfer or otherwise dispose of any or all of the shares of the Registrable Shares offered by this prospectus from time to time on the NASDAQ Capital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312" w:lineRule="auto"/>
        <w:rPr>
          <w:sz w:val="20"/>
          <w:szCs w:val="20"/>
          <w:color w:val="auto"/>
        </w:rPr>
      </w:pPr>
      <w:r>
        <w:rPr>
          <w:rFonts w:ascii="Arial" w:cs="Arial" w:eastAsia="Arial" w:hAnsi="Arial"/>
          <w:sz w:val="16"/>
          <w:szCs w:val="16"/>
          <w:color w:val="auto"/>
        </w:rPr>
        <w:t>We will not receive any of the proceeds from a sale of any Common Stock offered pursuant to this prospectus that may be received by the Selling Stockholders. We may receive proceeds from the exercise of warrants, to the extent such warrants are exercised with cash payment.</w:t>
      </w:r>
    </w:p>
    <w:p>
      <w:pPr>
        <w:spacing w:after="0" w:line="174"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GALT</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purchase of our Common Stock involves a high degree of risk. You should carefully review and consider the “Risk Factors” beginning on page 4.</w:t>
      </w:r>
    </w:p>
    <w:p>
      <w:pPr>
        <w:spacing w:after="0" w:line="103"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Investing in our common stock involves risks. Before deciding to invest in our common stock, please read carefully the risks and uncertainties described below and incorporated by reference in this prospectus or any prospectus supplement. These risks and uncertainties include those discussed in our Annual Report on Form 10-K for the fiscal year ended December 31, 2018, which is incorporated by reference and may be amended, supplemented or superseded from time to time by other reports we file with the SEC in the future and any prospectus supplement related to a particular offering. See “Incorporation by Reference” and “Where You Can Find Additional Information.” These risks are not the only risks that we may face. Additional risks and uncertainties that we are unaware of, or that we currently deem immaterial, may also become important factors that affect us. If any of the risks or uncertainties described in this prospectus or our SEC filings or any such additional risks and uncertainties actually occur, our business, financial condition or results of operations could be materially and adversely affected, which could cause our actual operating results to differ materially from those indicated or suggested by forward-looking statements made in this prospectus or our SEC filings or presented elsewhere by management from time to time. In that case, the trading price of our common stock could decline and you could lose all or part of your investment. Please also see “Cautionary Note Regarding Forward-Looking Statements” beginning on page 2.</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Certain statements made herein that look forward in time or express management’s expectations or beliefs with respect to the occurrence of future events are forward-looking statements as defined under Section 21E of the Securities Exchange Act of 1934, as amended, (the “Exchange Act”), and are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w:t>
      </w:r>
    </w:p>
    <w:p>
      <w:pPr>
        <w:spacing w:after="0" w:line="83"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180" w:right="180" w:hanging="436"/>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2018, and our subsequent SEC filings.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our annual report on Form 10-K for the year ended December 31, 2018.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Except as required by law, we undertake no obligation to publicly release the result of any revision of these forward-looking statements to reflect events or circumstances after the date of this prospectus or the respective dates of documents incorporated by reference herein or therein that include forward-looking statements.</w:t>
      </w:r>
    </w:p>
    <w:p>
      <w:pPr>
        <w:spacing w:after="0" w:line="16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This prospectus also contains estimates, projections and other information concerning our industry, the market and our business. Information that is based on estimates, forecasts, projections or similar methodologies is inherently subject to uncertainties and actual events or circumstances may differ materially from events and circumstances reflected in this information. We obtained the industry, market and competitive position data in this prospectus from our own internal estimates and research as well as from industry and general publications and research surveys and studies conducted by third parties.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would receive proceeds of up to $2,437,419 with respect the exercise of the warrants in connection with issuance of the Warrant Registrable Shares, to the extent such warrants are exercised by cash payment. We, however, will not receive any of the proceeds from any other transaction involving the Registrable Shares. We currently intend to use all proceeds received upon a cash exercise of the warrants for working capital and general corporate purposes.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cannot predict when, if ever, the warrants will be exercised.</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DESCRIPTION OF FINANCING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February 2008 – Series A 12% Convertible Preferred Stock Private Placement</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On February 4, 2008, the Company completed a private placement of 1,742,500 units to investors, with each unit consisting of one share of the Company’s Series A 12% Convertible Preferred Stock, par value $0.01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which is convertible into one share of Common Stock, (2) a five-year warrant to purchase one share of Common Stock at an exercise price of $1.50, and (3) a five-year warrant to purchase one share of Common Stock at an exercise price of $2.00. These securities were issued without registration under the Securities Act in reliance upon the exemption provided by Section 4(2) of the Securities Act for transactions not involving a public offering. Net proceeds from this transaction were approximately $1.6 million. Approximately $54,000 of the proceeds were received in 2008. The Series A Registrable Shares underlie the shares of Series A Preferred Stock that were issued pursuant to this private placement.</w:t>
      </w:r>
    </w:p>
    <w:p>
      <w:pPr>
        <w:spacing w:after="0" w:line="178"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The foregoing descriptions of the transaction pursuant to which the Series A Preferred Stock was issued is incomplete and qualified in its entirety by reference to the Company’s Current Report on Form 8-K, which was filed on February 7, 2008, and which is incorporated herein by reference.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February 2009 - 2010 – Series B-1 and B-2 Convertible Preferred Stock Private Placement</w:t>
      </w:r>
    </w:p>
    <w:p>
      <w:pPr>
        <w:spacing w:after="0" w:line="121" w:lineRule="exact"/>
        <w:rPr>
          <w:sz w:val="20"/>
          <w:szCs w:val="20"/>
          <w:color w:val="auto"/>
        </w:rPr>
      </w:pPr>
    </w:p>
    <w:p>
      <w:pPr>
        <w:ind w:left="200" w:right="60"/>
        <w:spacing w:after="0" w:line="284" w:lineRule="auto"/>
        <w:rPr>
          <w:sz w:val="20"/>
          <w:szCs w:val="20"/>
          <w:color w:val="auto"/>
        </w:rPr>
      </w:pPr>
      <w:r>
        <w:rPr>
          <w:rFonts w:ascii="Arial" w:cs="Arial" w:eastAsia="Arial" w:hAnsi="Arial"/>
          <w:sz w:val="16"/>
          <w:szCs w:val="16"/>
          <w:color w:val="auto"/>
        </w:rPr>
        <w:t>On February 12, 2009, the Company entered into definitive agreements (collectively, the “</w:t>
      </w:r>
      <w:r>
        <w:rPr>
          <w:rFonts w:ascii="Arial" w:cs="Arial" w:eastAsia="Arial" w:hAnsi="Arial"/>
          <w:sz w:val="16"/>
          <w:szCs w:val="16"/>
          <w:u w:val="single" w:color="auto"/>
          <w:color w:val="auto"/>
        </w:rPr>
        <w:t>2009 10X Agreement</w:t>
      </w:r>
      <w:r>
        <w:rPr>
          <w:rFonts w:ascii="Arial" w:cs="Arial" w:eastAsia="Arial" w:hAnsi="Arial"/>
          <w:sz w:val="16"/>
          <w:szCs w:val="16"/>
          <w:color w:val="auto"/>
        </w:rPr>
        <w:t>”) with 10X Fund, L.P., a Delaware limited partnership (“</w:t>
      </w:r>
      <w:r>
        <w:rPr>
          <w:rFonts w:ascii="Arial" w:cs="Arial" w:eastAsia="Arial" w:hAnsi="Arial"/>
          <w:sz w:val="16"/>
          <w:szCs w:val="16"/>
          <w:u w:val="single" w:color="auto"/>
          <w:color w:val="auto"/>
        </w:rPr>
        <w:t>10X Fund</w:t>
      </w:r>
      <w:r>
        <w:rPr>
          <w:rFonts w:ascii="Arial" w:cs="Arial" w:eastAsia="Arial" w:hAnsi="Arial"/>
          <w:sz w:val="16"/>
          <w:szCs w:val="16"/>
          <w:color w:val="auto"/>
        </w:rPr>
        <w:t>”), pursuant to which the Company agreed to issue to sell to 10X Fund, and 10X Fund agreed to purchase from the Company: (i) 900,000 shares of the Company’s Series B-1 Convertible Redeemable Preferred Stock (the “</w:t>
      </w:r>
      <w:r>
        <w:rPr>
          <w:rFonts w:ascii="Arial" w:cs="Arial" w:eastAsia="Arial" w:hAnsi="Arial"/>
          <w:sz w:val="16"/>
          <w:szCs w:val="16"/>
          <w:u w:val="single" w:color="auto"/>
          <w:color w:val="auto"/>
        </w:rPr>
        <w:t>Series B-1 Preferred Stock</w:t>
      </w:r>
      <w:r>
        <w:rPr>
          <w:rFonts w:ascii="Arial" w:cs="Arial" w:eastAsia="Arial" w:hAnsi="Arial"/>
          <w:sz w:val="16"/>
          <w:szCs w:val="16"/>
          <w:color w:val="auto"/>
        </w:rPr>
        <w:t>”), each share of which is convertible into four (4) shares of Common Stock for a total of 3,600,000 shares of Common Stock; (ii) 2,100,000 shares of Series B-2 Convertible Redeemable Preferred Stock (the “</w:t>
      </w:r>
      <w:r>
        <w:rPr>
          <w:rFonts w:ascii="Arial" w:cs="Arial" w:eastAsia="Arial" w:hAnsi="Arial"/>
          <w:sz w:val="16"/>
          <w:szCs w:val="16"/>
          <w:u w:val="single" w:color="auto"/>
          <w:color w:val="auto"/>
        </w:rPr>
        <w:t>Series B-2 Preferred Stock</w:t>
      </w:r>
      <w:r>
        <w:rPr>
          <w:rFonts w:ascii="Arial" w:cs="Arial" w:eastAsia="Arial" w:hAnsi="Arial"/>
          <w:sz w:val="16"/>
          <w:szCs w:val="16"/>
          <w:color w:val="auto"/>
        </w:rPr>
        <w:t>”), each share of which is convertible into four (4) shares of Common Stock, for a total of 8,400,000 shares of Common Stock; (iii) warrants exercisable to purchase 1,000,000 shares of Common Stock (the “</w:t>
      </w:r>
      <w:r>
        <w:rPr>
          <w:rFonts w:ascii="Arial" w:cs="Arial" w:eastAsia="Arial" w:hAnsi="Arial"/>
          <w:sz w:val="16"/>
          <w:szCs w:val="16"/>
          <w:u w:val="single" w:color="auto"/>
          <w:color w:val="auto"/>
        </w:rPr>
        <w:t>Class A-1 Warrants</w:t>
      </w:r>
      <w:r>
        <w:rPr>
          <w:rFonts w:ascii="Arial" w:cs="Arial" w:eastAsia="Arial" w:hAnsi="Arial"/>
          <w:sz w:val="16"/>
          <w:szCs w:val="16"/>
          <w:color w:val="auto"/>
        </w:rPr>
        <w:t>”);</w:t>
      </w:r>
    </w:p>
    <w:p>
      <w:pPr>
        <w:spacing w:after="0" w:line="5" w:lineRule="exact"/>
        <w:rPr>
          <w:sz w:val="20"/>
          <w:szCs w:val="20"/>
          <w:color w:val="auto"/>
        </w:rPr>
      </w:pPr>
    </w:p>
    <w:p>
      <w:pPr>
        <w:ind w:left="200" w:right="320" w:firstLine="4"/>
        <w:spacing w:after="0" w:line="290" w:lineRule="auto"/>
        <w:tabs>
          <w:tab w:leader="none" w:pos="505" w:val="left"/>
        </w:tabs>
        <w:numPr>
          <w:ilvl w:val="0"/>
          <w:numId w:val="5"/>
        </w:numPr>
        <w:rPr>
          <w:rFonts w:ascii="Arial" w:cs="Arial" w:eastAsia="Arial" w:hAnsi="Arial"/>
          <w:sz w:val="17"/>
          <w:szCs w:val="17"/>
          <w:color w:val="auto"/>
        </w:rPr>
      </w:pPr>
      <w:r>
        <w:rPr>
          <w:rFonts w:ascii="Arial" w:cs="Arial" w:eastAsia="Arial" w:hAnsi="Arial"/>
          <w:sz w:val="17"/>
          <w:szCs w:val="17"/>
          <w:color w:val="auto"/>
        </w:rPr>
        <w:t>warrants exercisable to purchase up to 1,000,000 shares of Common Stock (the “</w:t>
      </w:r>
      <w:r>
        <w:rPr>
          <w:rFonts w:ascii="Arial" w:cs="Arial" w:eastAsia="Arial" w:hAnsi="Arial"/>
          <w:sz w:val="17"/>
          <w:szCs w:val="17"/>
          <w:u w:val="single" w:color="auto"/>
          <w:color w:val="auto"/>
        </w:rPr>
        <w:t>Class A-2 Warrants</w:t>
      </w:r>
      <w:r>
        <w:rPr>
          <w:rFonts w:ascii="Arial" w:cs="Arial" w:eastAsia="Arial" w:hAnsi="Arial"/>
          <w:sz w:val="17"/>
          <w:szCs w:val="17"/>
          <w:color w:val="auto"/>
        </w:rPr>
        <w:t>”, together with the Class A-1 Warrants, the “</w:t>
      </w:r>
      <w:r>
        <w:rPr>
          <w:rFonts w:ascii="Arial" w:cs="Arial" w:eastAsia="Arial" w:hAnsi="Arial"/>
          <w:sz w:val="17"/>
          <w:szCs w:val="17"/>
          <w:u w:val="single" w:color="auto"/>
          <w:color w:val="auto"/>
        </w:rPr>
        <w:t>Class A Warrants</w:t>
      </w:r>
      <w:r>
        <w:rPr>
          <w:rFonts w:ascii="Arial" w:cs="Arial" w:eastAsia="Arial" w:hAnsi="Arial"/>
          <w:sz w:val="17"/>
          <w:szCs w:val="17"/>
          <w:color w:val="auto"/>
        </w:rPr>
        <w:t>”); and (v) warrants exercisable to purchase 4,000,000 shares of Common Stock (the “</w:t>
      </w:r>
      <w:r>
        <w:rPr>
          <w:rFonts w:ascii="Arial" w:cs="Arial" w:eastAsia="Arial" w:hAnsi="Arial"/>
          <w:sz w:val="17"/>
          <w:szCs w:val="17"/>
          <w:u w:val="single" w:color="auto"/>
          <w:color w:val="auto"/>
        </w:rPr>
        <w:t>Class B Warrants</w:t>
      </w:r>
      <w:r>
        <w:rPr>
          <w:rFonts w:ascii="Arial" w:cs="Arial" w:eastAsia="Arial" w:hAnsi="Arial"/>
          <w:sz w:val="17"/>
          <w:szCs w:val="17"/>
          <w:color w:val="auto"/>
        </w:rPr>
        <w:t>”).</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Class B Warrant Registrable Shares underlie a number of the Class B Warrants that were issued pursuant to the 2009 10X Agreement. In total, the sale of the Series B-1 Preferred Stock, Series B-2 Preferred Stock, Class A Warrants and the Class B Warrants to 10X Fund resulted in gross proceeds to the Company of $6,000,000 and net proceeds of $5,532,955.</w:t>
      </w:r>
    </w:p>
    <w:p>
      <w:pPr>
        <w:spacing w:after="0" w:line="18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Class B Warrants issued pursuant to the 2009 10X Agreement have been amended twice. The Class B Warrants were first amended in January of 2011 pursuant to an agreement, dated January 21, 2011, between the Company and 10X Fund. On January 11, 2019, certain Class B Warrants exercisable for 3,579,642 shares of Common Stock (including the Class B Warrant Registrable Shares) in the aggregate, and held by 10X Fund, 10X Capital Management, LLC and The Widows and Orphans Fund, were again amended (such amendments, the “</w:t>
      </w:r>
      <w:r>
        <w:rPr>
          <w:rFonts w:ascii="Arial" w:cs="Arial" w:eastAsia="Arial" w:hAnsi="Arial"/>
          <w:sz w:val="16"/>
          <w:szCs w:val="16"/>
          <w:u w:val="single" w:color="auto"/>
          <w:color w:val="auto"/>
        </w:rPr>
        <w:t>2019 Amendments</w:t>
      </w:r>
      <w:r>
        <w:rPr>
          <w:rFonts w:ascii="Arial" w:cs="Arial" w:eastAsia="Arial" w:hAnsi="Arial"/>
          <w:sz w:val="16"/>
          <w:szCs w:val="16"/>
          <w:color w:val="auto"/>
        </w:rPr>
        <w:t>”). Pursuant to the 2019 Amendments, the Company amended and restated the Class B Warrants to (i) extend the exercise period of the Class B Warrants for an additional five years and (ii) provide that all such Class B Warrants may be exercised on a cashless basis, but only by the current holders of the Class B Warrants. Prior to the extension, such warrants had various expiration dates in 2019 and 2020. Additionally, the amended Class B Warrants issued to 10X Fund grant 10X Fund the right to nominate one director to the Company’s board of directors for so long as 10X Fund holds any exercisable Class B Warrants.</w:t>
      </w:r>
    </w:p>
    <w:p>
      <w:pPr>
        <w:spacing w:after="0" w:line="166"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foregoing description of the Class B Warrants is not complete and is qualified in its entirety by reference to (i) the Company’s Current Report on Form 8-K, filed on February 18, 2009; (ii) the Company’s Current Report on Form 8-K, filed on January 27, 2011; and (iii) the Company’s Current Report on Form 8-K filed on January 15, 2019, including, the full text of the form of Class B Warrant, which is filed therewith as Exhibit 4.2. Each of the foregoing Current Reports on Form 8-K are incorporated herein by reference.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December 2010 – January 2011 – Series C Super Dividend Convertible Preferred Stock Private Placement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December 30, 2010, the Company sold and issued 212 shares of Series C Super Dividend Convertible Preferred Stock, par value $0.01 (the</w:t>
      </w:r>
    </w:p>
    <w:p>
      <w:pPr>
        <w:spacing w:after="0" w:line="35" w:lineRule="exact"/>
        <w:rPr>
          <w:sz w:val="20"/>
          <w:szCs w:val="20"/>
          <w:color w:val="auto"/>
        </w:rPr>
      </w:pPr>
    </w:p>
    <w:p>
      <w:pPr>
        <w:ind w:left="200" w:right="1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at a price of $10,000 per share for gross proceeds of $2,120,000. The Company incurred $47,000 of cash transaction costs resulting in net cash proceeds of $2,073,000. In addition, the Company issued 3,000 warrants exercisable at $1.20 to a placement agent which had a de minimis value. On January 10, 2011, the Company issued and sold an aggregate of 13 shares of Series C Preferred Stock. The Series C Preferred Stock was sold in reliance on the registration exemption set forth in Section 4(2) of the Securities Act and Rule 506 thereunder. The Series C Registrable Shares underlie the shares of Series C Preferred Stock that were issued pursuant to this private placement.</w:t>
      </w:r>
    </w:p>
    <w:p>
      <w:pPr>
        <w:spacing w:after="0" w:line="163"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The foregoing descriptions of the transactions pursuant to which the Series C Preferred Stock was issued are incomplete and qualified in their entirety by reference to the Company’s Current Reports on Form 8-K, which were filed on January 6, 2011 and January 14, 2011, respectively, and which are incorporated herein by reference.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and December 2016 – Series B-3 Convertible Preferred Stock Private Placement</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On September 22, 2016, the Company entered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10X Fund. Pursuant to the Purchase Agreement, the Company agreed to issue and sell to 10X Fund, and 10X Fund agreed to purchase from the Company (i) 375,000 shares of the Company’s Series B-3 Convertible Preferred Stock (the “</w:t>
      </w:r>
      <w:r>
        <w:rPr>
          <w:rFonts w:ascii="Arial" w:cs="Arial" w:eastAsia="Arial" w:hAnsi="Arial"/>
          <w:sz w:val="17"/>
          <w:szCs w:val="17"/>
          <w:u w:val="single" w:color="auto"/>
          <w:color w:val="auto"/>
        </w:rPr>
        <w:t>Series B-3 Preferred Stock</w:t>
      </w:r>
      <w:r>
        <w:rPr>
          <w:rFonts w:ascii="Arial" w:cs="Arial" w:eastAsia="Arial" w:hAnsi="Arial"/>
          <w:sz w:val="17"/>
          <w:szCs w:val="17"/>
          <w:color w:val="auto"/>
        </w:rPr>
        <w:t xml:space="preserve"> and (ii) warrants to purchase 0.75 shares of Common Stock for every share of Common Stock into which the Series B-3 Preferred Stock is convertible. The terms and conditions of this private placement are more fully described in the Company’s Current Report on Form 8-K, filed on September 27, 2016.</w:t>
      </w:r>
    </w:p>
    <w:p>
      <w:pPr>
        <w:spacing w:after="0" w:line="173"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Pursuant to the Purchase Agreement and a separate Lock Up Letter Agreement entered into between the Company and 10X Fund, as consideration for 10X Fund’s agreement not to sell any shares of the Company’s Series B Preferred Stock for a period of 18 months, subject to certain exceptions, the Company issued to 10X Fund the following warrants, all exercisable at $3.00 per share: In September, 2016, warrants exercisable for 875,000 shares of Common Stock, and in December, 2016 warrants exercisable for 252,033 shares of Common Stock (such warrants, the “</w:t>
      </w:r>
      <w:r>
        <w:rPr>
          <w:rFonts w:ascii="Arial" w:cs="Arial" w:eastAsia="Arial" w:hAnsi="Arial"/>
          <w:sz w:val="17"/>
          <w:szCs w:val="17"/>
          <w:u w:val="single" w:color="auto"/>
          <w:color w:val="auto"/>
        </w:rPr>
        <w:t>Lock Up Warrants</w:t>
      </w:r>
      <w:r>
        <w:rPr>
          <w:rFonts w:ascii="Arial" w:cs="Arial" w:eastAsia="Arial" w:hAnsi="Arial"/>
          <w:sz w:val="17"/>
          <w:szCs w:val="17"/>
          <w:color w:val="auto"/>
        </w:rPr>
        <w:t>”, together with the Class B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The Lock Up Warrant Registrable Shares underlie a number of the Lock Up Warrants issued pursuant to the Purchase Agreement and Lock Up Letter Agreement.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foregoing description of the Lock Up Warrants is not complete and is qualified in its entirety by reference to the full text of the form of Lock Up Warrant, a copy of which is filed as Exhibit 4.2 to the Company’s Current Report on Form 8-K filed on September 27, 2016, and is incorporated herein by reference.</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future determination to pay dividends will be at the discretion of our board of directors.</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Registrable Shares covered by this prospectus and being offered by the Selling Stockholders are those issuable to the Selling Stockholders (i) upon the exercise of the Warrants overlying the Warrant Registrable Shares, (ii) upon the conversion of shares of the Series A Preferred Stock, (iii) upon the conversion of shares of the Series C Preferred Stock, (iv) as stock dividends on outstanding shares of the Series A Preferred Stock or (v) as stock dividends on outstanding shares of the Series C Preferred Stock. We are registering the Registrable Shares in order to permit the Selling Stockholders to offer the Registrable Shares for resale from time to time.</w:t>
      </w:r>
    </w:p>
    <w:p>
      <w:pPr>
        <w:spacing w:after="0" w:line="188"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table below lists the Selling Stockholders and other information regarding the beneficial ownership of the shares of Common Stock by each of the Selling Stockholders to the knowledge of the Company. The second column lists the number of shares of Common Stock beneficially owned by each Selling Stockholder, based on its ownership of the shares of Common Stock and Warrants, as of August 9, 2019, assuming conversion exercise of the Warrants held by the Selling Stockholder on that date, without regard to any limitations on exercises and assuming dividend shares issued from September 2019 through September 2024 to the holders of Series A and Series C preferred stock.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third column lists the Registrable Shares being offered under this prospectus by the Selling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8"/>
              </w:rPr>
              <w:t>Maximum Number</w:t>
            </w:r>
          </w:p>
        </w:tc>
        <w:tc>
          <w:tcPr>
            <w:tcW w:w="5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540" w:type="dxa"/>
            <w:vAlign w:val="bottom"/>
            <w:gridSpan w:val="3"/>
            <w:vMerge w:val="restart"/>
          </w:tcPr>
          <w:p>
            <w:pPr>
              <w:jc w:val="center"/>
              <w:ind w:left="212"/>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 to</w:t>
            </w:r>
          </w:p>
        </w:tc>
        <w:tc>
          <w:tcPr>
            <w:tcW w:w="5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20" w:type="dxa"/>
            <w:vAlign w:val="bottom"/>
            <w:gridSpan w:val="2"/>
          </w:tcPr>
          <w:p>
            <w:pPr>
              <w:jc w:val="center"/>
              <w:ind w:left="85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Sold Pursuant</w:t>
            </w:r>
          </w:p>
        </w:tc>
        <w:tc>
          <w:tcPr>
            <w:tcW w:w="1480" w:type="dxa"/>
            <w:vAlign w:val="bottom"/>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Owned Prior</w:t>
            </w: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this</w:t>
            </w:r>
          </w:p>
        </w:tc>
        <w:tc>
          <w:tcPr>
            <w:tcW w:w="5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Owned After</w:t>
            </w:r>
          </w:p>
        </w:tc>
        <w:tc>
          <w:tcPr>
            <w:tcW w:w="5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58"/>
        </w:trPr>
        <w:tc>
          <w:tcPr>
            <w:tcW w:w="35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 Offering</w:t>
            </w:r>
          </w:p>
        </w:tc>
        <w:tc>
          <w:tcPr>
            <w:tcW w:w="52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Prospectus (1)</w:t>
            </w:r>
          </w:p>
        </w:tc>
        <w:tc>
          <w:tcPr>
            <w:tcW w:w="52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Offering (2)</w:t>
            </w:r>
          </w:p>
        </w:tc>
        <w:tc>
          <w:tcPr>
            <w:tcW w:w="500" w:type="dxa"/>
            <w:vAlign w:val="bottom"/>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10X Capital Management, LLC (3)</w:t>
            </w: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12,250,668</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494,912</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11,755,756</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Peter G. Traber (4)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39,524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39,524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Allen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The Widows and Orphans Fund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Elsa G. Prince Living Trust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Cynthia A. Dimmette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25,528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25,528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M. Laun Roth IRA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Rudolph and Sherri Liddell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33,351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V. Mellilo</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Thomas C. Mellilo</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6,671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M. O’Hare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20" w:type="dxa"/>
            <w:vAlign w:val="bottom"/>
            <w:gridSpan w:val="2"/>
          </w:tcPr>
          <w:p>
            <w:pPr>
              <w:jc w:val="right"/>
              <w:ind w:right="224"/>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vMerge w:val="restart"/>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O’Hare Investments, LLC</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6,671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6,671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Lodie and Phyllis Rogers</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16,676</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16,676</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and Margaret Smith</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83,376</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83,376</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Jeffrey Strand</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10,005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10,005</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Werth</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166,752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166,752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Roy A. Brown</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 G. Capraro</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3,541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Alan Hoberman</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3,541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Howard M. Crosby</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17,703</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17,703</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 (5)</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35,407</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35,407</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Early Equities, LLC</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35,407</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35,407</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A. Fox</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Harvey A. Gertsch and Sandra L. Gertsch, JTWROS</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Irwin J. Goldstein</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3,541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Richard J. Gumaer and Mary V. Gumaer, JTWROS</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4,425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4,425</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HERBERT P HAWKINS AND CARRIE HAWKINS TTEES, UA</w:t>
            </w:r>
          </w:p>
        </w:tc>
        <w:tc>
          <w:tcPr>
            <w:tcW w:w="17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09-02-2003 THE HAWKINS FAMILY TRUST</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26,555</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26,555</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Robert B. Jacobs Amended and Restated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19,474</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19,474</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 Capital Assoc. LLC (Leonard D. Pearlman)</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7,081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7,081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Kendler Family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Darby &amp; Terri Kruger</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14,430</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14,430</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Amy Korengut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1,770</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1,770</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M. Laun</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17,702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17,702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Steven G. Lazar Revocable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10,622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10,622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McNulty and Margaret M. McNulty, JTWROS</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Judith A. Melillo</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Trust (6)</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17,705</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17,705</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Bertram Pitt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17,705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17,705</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Prendergast and Paige F. Prendergast, JTWROS</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Robert G. Rettig, Sr.,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Russo Family Revocable Trust</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Robert Salanski and Claudine Salanski, JTWROS</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G&amp;L Sanford Revocable Living Trust</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Earl and Beverly Schalin Estate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Shafer</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James A. Shaw</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 Sheikh</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15,047</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15,047</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David H. Smith</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61,962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61,962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Bjarn Sorensen and Glafira Sorensen, JTWROS</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3,541</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Charles L. Stafford</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Tailwind VC, LLC</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8,852</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8,852</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Linda L. Upton Living Trust</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3,541</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3,541</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Percentage calculations are based on 56,631,304 shares of our Common Stock issued and outstanding as of August 6, 2019.</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240" w:top="446" w:right="8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exercise or conversion, as applicable, of all securities overlying the Registrable Shares that are held by the Selling Stockholders.</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all offered shares are sold.</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of securities beneficially owned by 10X Capital Management, LLC includes (i) 494,912 shares issuable upon exercise of warrants held by 10X Capital Management, LLC; (ii) 6,519,549 common shares held by 10X Fund; and (iii) 5,236,207 shares issuable upon exercise of warrants held by 10X Fund. 10X Capital Management, LLC is the general partner of 10X Fund, and controls the decision to vote or dispose of any shares held by 10X Fund.</w:t>
      </w:r>
    </w:p>
    <w:p>
      <w:pPr>
        <w:spacing w:after="0" w:line="1"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Peter G. Traber, M.D., formerly served as the Company’s President and Chief Executive Officer. Dr. Traber resigned from his position with the Company on July 6, 2018.</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C. Czirr is the trustee of the James C. Czirr Trust. Mr. Czirr is a member of the Company’s Board of Directors.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Gilbert S. Omenn, M.D. is the trustee of the Gilbert S. Omenn Trust. Dr. Omenn is a member of the Company’s Board of Directors.</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Each Selling Stockholder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92"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Selling Stockholders may also sell securities under Rule 144 under the Securities Act or any other exemptions from registration, if available, rather than under this prospectus.</w:t>
      </w:r>
    </w:p>
    <w:p>
      <w:pPr>
        <w:spacing w:after="0" w:line="170" w:lineRule="exact"/>
        <w:rPr>
          <w:sz w:val="20"/>
          <w:szCs w:val="20"/>
          <w:color w:val="auto"/>
        </w:rPr>
      </w:pPr>
    </w:p>
    <w:p>
      <w:pPr>
        <w:ind w:left="200" w:right="260"/>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Certain legal matters relating to the issuance of the Common Stock offered by this prospectus will be passed upon for us by Dentons US LLP, Atlanta, Georgia.</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00" w:right="40"/>
        <w:spacing w:after="0" w:line="259" w:lineRule="auto"/>
        <w:rPr>
          <w:sz w:val="20"/>
          <w:szCs w:val="20"/>
          <w:color w:val="auto"/>
        </w:rPr>
      </w:pPr>
      <w:r>
        <w:rPr>
          <w:rFonts w:ascii="Arial" w:cs="Arial" w:eastAsia="Arial" w:hAnsi="Arial"/>
          <w:sz w:val="18"/>
          <w:szCs w:val="18"/>
          <w:color w:val="auto"/>
        </w:rPr>
        <w:t>Cherry Bekaert LLP, independent registered public accounting firm, has audited our consolidated financial statements included in our Annual Report on Form 10-K for the year ended December 31, 2018, as set forth in their report, which is incorporated by reference in this prospectus and elsewhere in the registration statement. Our financial statements are incorporated by reference in reliance on Cherry Bekaert’s reports, given on their authority as experts in accounting and auditing.</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78"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on March 6, 2019;</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March 31, 2019, filed on </w:t>
      </w:r>
      <w:hyperlink r:id="rId35">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quarter ended June 30, 2019, filed on </w:t>
      </w:r>
      <w:hyperlink r:id="rId36">
        <w:r>
          <w:rPr>
            <w:rFonts w:ascii="Arial" w:cs="Arial" w:eastAsia="Arial" w:hAnsi="Arial"/>
            <w:sz w:val="18"/>
            <w:szCs w:val="18"/>
            <w:u w:val="single" w:color="auto"/>
            <w:color w:val="0000EE"/>
          </w:rPr>
          <w:t>August 9, 2019</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each of </w:t>
      </w:r>
      <w:hyperlink r:id="rId37">
        <w:r>
          <w:rPr>
            <w:rFonts w:ascii="Arial" w:cs="Arial" w:eastAsia="Arial" w:hAnsi="Arial"/>
            <w:sz w:val="18"/>
            <w:szCs w:val="18"/>
            <w:u w:val="single" w:color="auto"/>
            <w:color w:val="0000EE"/>
          </w:rPr>
          <w:t>January 15,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January 23,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6,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15,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2">
        <w:r>
          <w:rPr>
            <w:rFonts w:ascii="Arial" w:cs="Arial" w:eastAsia="Arial" w:hAnsi="Arial"/>
            <w:sz w:val="18"/>
            <w:szCs w:val="18"/>
            <w:u w:val="single" w:color="auto"/>
            <w:color w:val="0000EE"/>
          </w:rPr>
          <w:t>May 28, 2019</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EE"/>
        </w:rPr>
      </w:pPr>
    </w:p>
    <w:p>
      <w:pPr>
        <w:ind w:left="1180" w:right="4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9, 2003, including any amendments or reports filed for the purpose of updating such description.</w:t>
      </w:r>
    </w:p>
    <w:p>
      <w:pPr>
        <w:spacing w:after="0" w:line="170" w:lineRule="exact"/>
        <w:rPr>
          <w:rFonts w:ascii="Arial" w:cs="Arial" w:eastAsia="Arial" w:hAnsi="Arial"/>
          <w:sz w:val="18"/>
          <w:szCs w:val="18"/>
          <w:color w:val="auto"/>
        </w:rPr>
      </w:pPr>
    </w:p>
    <w:p>
      <w:pPr>
        <w:ind w:left="200" w:right="20"/>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after the date of this prospectus and prior to the sale of all shares of Common Stock registered hereunder or the termination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58" w:lineRule="exact"/>
        <w:rPr>
          <w:rFonts w:ascii="Arial" w:cs="Arial" w:eastAsia="Arial" w:hAnsi="Arial"/>
          <w:sz w:val="18"/>
          <w:szCs w:val="18"/>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7" w:lineRule="exact"/>
        <w:rPr>
          <w:rFonts w:ascii="Arial" w:cs="Arial" w:eastAsia="Arial" w:hAnsi="Arial"/>
          <w:sz w:val="18"/>
          <w:szCs w:val="18"/>
          <w:color w:val="auto"/>
        </w:rPr>
      </w:pPr>
    </w:p>
    <w:p>
      <w:pPr>
        <w:ind w:left="200" w:right="42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70"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Requests for such documents should be directed to:</w:t>
      </w:r>
    </w:p>
    <w:p>
      <w:pPr>
        <w:spacing w:after="0" w:line="117"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Galectin Therapeutics, Inc.</w:t>
      </w:r>
    </w:p>
    <w:p>
      <w:pPr>
        <w:spacing w:after="0" w:line="2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4960 Peachtree Industrial Blvd., Suite 240</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Norcross, Georgia 30071</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Attention: Jack W. Callicutt, Chief Financial Officer</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Tel.: (678) 620-3186</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E-mail: ir@galectintherapeutics.com</w:t>
      </w:r>
    </w:p>
    <w:p>
      <w:pPr>
        <w:spacing w:after="0" w:line="14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200" w:right="840"/>
        <w:spacing w:after="0" w:line="342" w:lineRule="auto"/>
        <w:rPr>
          <w:sz w:val="20"/>
          <w:szCs w:val="20"/>
          <w:color w:val="auto"/>
        </w:rPr>
      </w:pPr>
      <w:r>
        <w:rPr>
          <w:rFonts w:ascii="Arial" w:cs="Arial" w:eastAsia="Arial" w:hAnsi="Arial"/>
          <w:sz w:val="16"/>
          <w:szCs w:val="16"/>
          <w:color w:val="auto"/>
        </w:rPr>
        <w:t>This prospectus is part of a registration statement on Form S-3 we have filed with the SEC. We have not included in this prospectus all of the information contained in the registration statement and you should refer to our registration statement and its exhibits for further information.</w:t>
      </w:r>
    </w:p>
    <w:p>
      <w:pPr>
        <w:spacing w:after="0" w:line="124"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filings are available to the public from commercial document retrieval services and at the website maintained by the SEC at www.sec.gov.</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website address is www.galectintherapeutics.com.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The information on our website is not incorporated into this prospectus.</w:t>
      </w: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following table sets forth the estimated costs and expenses that are payable by us in connection with the offering described in the prospectus that is part of this registration statement. All amounts, other than the SEC Registration Fee, are estimates. Although we will not receive any of the proceeds from the sale of the shares of our Common Stock being registered in this registration statement, we agreed to bear the costs and expenses of the registration of such shares.</w:t>
      </w:r>
    </w:p>
    <w:p>
      <w:pPr>
        <w:spacing w:after="0" w:line="22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724.36</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13,724.36</w:t>
            </w:r>
          </w:p>
        </w:tc>
        <w:tc>
          <w:tcPr>
            <w:tcW w:w="80" w:type="dxa"/>
            <w:vAlign w:val="bottom"/>
          </w:tcPr>
          <w:p>
            <w:pPr>
              <w:spacing w:after="0"/>
              <w:rPr>
                <w:sz w:val="19"/>
                <w:szCs w:val="19"/>
                <w:color w:val="auto"/>
              </w:rPr>
            </w:pPr>
          </w:p>
        </w:tc>
      </w:tr>
    </w:tbl>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Registrant’s By-laws, as amended to date, provide for indemnification of officers and directors to the fullest extent permitted by Section 7502 of Chapter 78 of the 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(as from time to time amended), provided such officer or director acts in good faith and in a manner which such person reasonably believes to be in or not opposed to the best interests of the Registrant, and with respect to any criminal matter, had no reasonable cause to believe such person’s conduct was unlawful.</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NRS 78.7502 states:</w:t>
      </w:r>
    </w:p>
    <w:p>
      <w:pPr>
        <w:spacing w:after="0" w:line="117"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“1.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w:t>
      </w:r>
    </w:p>
    <w:p>
      <w:pPr>
        <w:spacing w:after="0" w:line="99" w:lineRule="exact"/>
        <w:rPr>
          <w:sz w:val="20"/>
          <w:szCs w:val="20"/>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liable pursuant to NRS 78.138; or</w:t>
      </w:r>
    </w:p>
    <w:p>
      <w:pPr>
        <w:spacing w:after="0" w:line="130" w:lineRule="exact"/>
        <w:rPr>
          <w:rFonts w:ascii="Arial" w:cs="Arial" w:eastAsia="Arial" w:hAnsi="Arial"/>
          <w:sz w:val="18"/>
          <w:szCs w:val="18"/>
          <w:color w:val="auto"/>
        </w:rPr>
      </w:pPr>
    </w:p>
    <w:p>
      <w:pPr>
        <w:ind w:left="1180" w:right="260" w:hanging="544"/>
        <w:spacing w:after="0" w:line="308"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3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
        <w:spacing w:after="0" w:line="276"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w:t>
      </w:r>
    </w:p>
    <w:p>
      <w:pPr>
        <w:spacing w:after="0" w:line="77" w:lineRule="exact"/>
        <w:rPr>
          <w:rFonts w:ascii="Arial" w:cs="Arial" w:eastAsia="Arial" w:hAnsi="Arial"/>
          <w:sz w:val="17"/>
          <w:szCs w:val="17"/>
          <w:color w:val="auto"/>
        </w:rPr>
      </w:pPr>
    </w:p>
    <w:p>
      <w:pPr>
        <w:ind w:left="1180" w:hanging="544"/>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 not liable pursuant to NRS 78.138;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Acted in good faith and in a manner which he or she reasonably believed to be in or not opposed to the best interests of the corporation.</w:t>
      </w:r>
    </w:p>
    <w:p>
      <w:pPr>
        <w:spacing w:after="0" w:line="24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71" w:lineRule="exact"/>
        <w:rPr>
          <w:sz w:val="20"/>
          <w:szCs w:val="20"/>
          <w:color w:val="auto"/>
        </w:rPr>
      </w:pPr>
    </w:p>
    <w:p>
      <w:pPr>
        <w:ind w:left="200" w:firstLine="4"/>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a corporation has been successful on the merits or otherwise in defense of any action, suit or proceeding referred to in subsections 1 and 2, or in defense of any claim, issue or matter therein, the corporation shall indemnify him or her against expenses, including attorneys’ fees, actually and reasonably incurred by him or her in connection with the defense.”</w:t>
      </w:r>
    </w:p>
    <w:p>
      <w:pPr>
        <w:spacing w:after="0" w:line="166"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The Registrant’s By-laws also provide that to the fullest extent permitted by NRS 78.751 (as from time to time amended), the Registrant shall pay the expenses of officers and directors of the Corporation incurred in defending a civil or criminal action, suit or proceeding, as they are incurred and in advance of the final disposition of such matter, upon receipt of an undertaking in form and substance acceptable to the board of directors for the repayment of such advances if it is ultimately determined by a court of competent jurisdiction that the officer or director is not entitled to be indemnified.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NRS 78.751 states:</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“1. Any discretionary indemnification pursuant to NRS 78.7502, unless ordered by a court or advanced pursuant to subsection 2, may be made by the corporation only as authorized in the specific case upon a determination that indemnification of the director, officer, employee or agent is proper in the circumstances. The determination must be made:</w:t>
      </w:r>
    </w:p>
    <w:p>
      <w:pPr>
        <w:spacing w:after="0" w:line="87" w:lineRule="exact"/>
        <w:rPr>
          <w:sz w:val="20"/>
          <w:szCs w:val="20"/>
          <w:color w:val="auto"/>
        </w:rPr>
      </w:pPr>
    </w:p>
    <w:p>
      <w:pPr>
        <w:ind w:left="1180" w:hanging="544"/>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By the board of directors by majority vote of a quorum consisting of directors who were not parties to the action, suit or proceeding;</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a majority vote of a quorum consisting of directors who were not parties to the action, suit or proceeding so orders, by independent legal counsel in a written opinion; or</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a quorum consisting of directors who were not parties to the action, suit or proceeding cannot be obtained, by independent legal counsel in a written opinion.</w:t>
      </w:r>
    </w:p>
    <w:p>
      <w:pPr>
        <w:spacing w:after="0" w:line="170" w:lineRule="exact"/>
        <w:rPr>
          <w:rFonts w:ascii="Arial" w:cs="Arial" w:eastAsia="Arial" w:hAnsi="Arial"/>
          <w:sz w:val="18"/>
          <w:szCs w:val="18"/>
          <w:color w:val="auto"/>
        </w:rPr>
      </w:pPr>
    </w:p>
    <w:p>
      <w:pPr>
        <w:ind w:left="200" w:right="40" w:firstLine="4"/>
        <w:spacing w:after="0" w:line="255"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articles of incorporation, the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 The provisions of this subsection do not affect any rights to advancement of expenses to which corporate personnel other than directors or officers may be entitled under any contract or otherwise by law.</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176"/>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indemnification pursuant to NRS 78.7502 and advancement of expenses authorized in or ordered by a court pursuant to this section:</w:t>
      </w:r>
    </w:p>
    <w:p>
      <w:pPr>
        <w:spacing w:after="0" w:line="142" w:lineRule="exact"/>
        <w:rPr>
          <w:rFonts w:ascii="Arial" w:cs="Arial" w:eastAsia="Arial" w:hAnsi="Arial"/>
          <w:sz w:val="17"/>
          <w:szCs w:val="17"/>
          <w:color w:val="auto"/>
        </w:rPr>
      </w:pPr>
    </w:p>
    <w:p>
      <w:pPr>
        <w:ind w:left="1180" w:hanging="544"/>
        <w:spacing w:after="0" w:line="270" w:lineRule="auto"/>
        <w:tabs>
          <w:tab w:leader="none" w:pos="11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subsection 2, may not be made to or on behalf of any director or officer if a final adjudication establishes that the director’s or officer’s acts or omissions involved intentional misconduct, fraud or a knowing violation of the law and was material to the cause of action. A right to indemnification or to advancement of expenses arising under a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83" w:lineRule="exact"/>
        <w:rPr>
          <w:rFonts w:ascii="Arial" w:cs="Arial" w:eastAsia="Arial" w:hAnsi="Arial"/>
          <w:sz w:val="17"/>
          <w:szCs w:val="17"/>
          <w:color w:val="auto"/>
        </w:rPr>
      </w:pPr>
    </w:p>
    <w:p>
      <w:pPr>
        <w:ind w:left="1180" w:right="420" w:hanging="544"/>
        <w:spacing w:after="0" w:line="277"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Continues for a person who has ceased to be a director, officer, employee or agent and inures to the benefit of the heirs, executors and administrators of such a person.”</w:t>
      </w:r>
    </w:p>
    <w:p>
      <w:pPr>
        <w:spacing w:after="0" w:line="6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liabilities that its directors and officers may incur in such capacities.</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Reference is made to “Undertakings,” below, for the Registrant’s undertakings in this registration statement with respect to indemnification of liabilities arising under the Securities Act of 1933, as amended (the “Securities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the Exhibit Index attached to this registration statement and incorporated herein by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180" w:hanging="54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sz w:val="20"/>
          <w:szCs w:val="20"/>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620" w:right="100" w:hanging="430"/>
        <w:spacing w:after="0" w:line="264"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6"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provided, however that paragraphs (1)(i), (1)(ii) and (1)(iii) do not apply if the information required to be included in a post-effective amendment by those paragraphs is contained periodic reports filed with or furnished to SEC by the Registrant pursuant to Section 13 or Section 15(d) of the Exchange Act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1620" w:right="300" w:hanging="430"/>
        <w:spacing w:after="0" w:line="264"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80" w:hanging="43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620" w:hanging="430"/>
        <w:spacing w:after="0" w:line="271"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1180" w:right="160" w:hanging="544"/>
        <w:spacing w:after="0" w:line="25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180" w:hanging="544"/>
        <w:spacing w:after="0" w:line="253"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informed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gridSpan w:val="14"/>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60" w:type="dxa"/>
            <w:vAlign w:val="bottom"/>
            <w:gridSpan w:val="2"/>
          </w:tcPr>
          <w:p>
            <w:pPr>
              <w:jc w:val="right"/>
              <w:spacing w:after="0"/>
              <w:rPr>
                <w:sz w:val="20"/>
                <w:szCs w:val="20"/>
                <w:color w:val="auto"/>
              </w:rPr>
            </w:pPr>
            <w:r>
              <w:rPr>
                <w:rFonts w:ascii="Arial" w:cs="Arial" w:eastAsia="Arial" w:hAnsi="Arial"/>
                <w:sz w:val="14"/>
                <w:szCs w:val="14"/>
                <w:color w:val="auto"/>
                <w:w w:val="99"/>
              </w:rPr>
              <w:t>Exhibit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10040" w:type="dxa"/>
            <w:vAlign w:val="bottom"/>
            <w:gridSpan w:val="21"/>
          </w:tcPr>
          <w:p>
            <w:pPr>
              <w:spacing w:after="0"/>
              <w:rPr>
                <w:sz w:val="20"/>
                <w:szCs w:val="20"/>
                <w:color w:val="auto"/>
              </w:rPr>
            </w:pPr>
            <w:r>
              <w:rPr>
                <w:rFonts w:ascii="Arial" w:cs="Arial" w:eastAsia="Arial" w:hAnsi="Arial"/>
                <w:sz w:val="14"/>
                <w:szCs w:val="14"/>
                <w:color w:val="auto"/>
              </w:rPr>
              <w:t>Exhibit</w:t>
            </w:r>
          </w:p>
        </w:tc>
      </w:tr>
      <w:tr>
        <w:trPr>
          <w:trHeight w:val="27"/>
        </w:trPr>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r>
      <w:tr>
        <w:trPr>
          <w:trHeight w:val="297"/>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Certificate of Designation of Preferences, Rights and Limitations of Series A 12% Convertible Preferred Stock (Incorporated by reference</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to the Company’s Current Report on Form 8-K filed with the Commission on October 9, 2007.)</w:t>
              </w:r>
            </w:hyperlink>
          </w:p>
        </w:tc>
        <w:tc>
          <w:tcPr>
            <w:tcW w:w="60" w:type="dxa"/>
            <w:vAlign w:val="bottom"/>
            <w:gridSpan w:val="2"/>
          </w:tcPr>
          <w:p>
            <w:pPr>
              <w:spacing w:after="0"/>
              <w:rPr>
                <w:sz w:val="17"/>
                <w:szCs w:val="17"/>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First Amendment to Certificate of Designation of Preferences Rights and Limitations of Series A 12% Convertible Preferred Stock</w:t>
              </w:r>
            </w:hyperlink>
          </w:p>
        </w:tc>
        <w:tc>
          <w:tcPr>
            <w:tcW w:w="56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(Incorporated by reference to the Company’s Current Report on Form 8-K filed with the Commission on May 19, 2017.)</w:t>
              </w:r>
            </w:hyperlink>
          </w:p>
        </w:tc>
        <w:tc>
          <w:tcPr>
            <w:tcW w:w="1340" w:type="dxa"/>
            <w:vAlign w:val="bottom"/>
            <w:gridSpan w:val="9"/>
          </w:tcPr>
          <w:p>
            <w:pPr>
              <w:spacing w:after="0"/>
              <w:rPr>
                <w:sz w:val="17"/>
                <w:szCs w:val="17"/>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Certificate of Designation of Preferences, Rights and Limitations of Series C Super Dividend Convertible Preferred Stock (Variable</w:t>
              </w:r>
            </w:hyperlink>
          </w:p>
        </w:tc>
        <w:tc>
          <w:tcPr>
            <w:tcW w:w="50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Cumulative Convertible) (Incorporated by reference to the Company’s Current Report on Form 8-K filed with the Commission on</w:t>
              </w:r>
            </w:hyperlink>
          </w:p>
        </w:tc>
        <w:tc>
          <w:tcPr>
            <w:tcW w:w="6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January 6, 2011.)</w:t>
              </w:r>
            </w:hyperlink>
          </w:p>
        </w:tc>
        <w:tc>
          <w:tcPr>
            <w:tcW w:w="8740" w:type="dxa"/>
            <w:vAlign w:val="bottom"/>
            <w:gridSpan w:val="19"/>
          </w:tcPr>
          <w:p>
            <w:pPr>
              <w:spacing w:after="0"/>
              <w:rPr>
                <w:sz w:val="17"/>
                <w:szCs w:val="17"/>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Form of Class B Common Stock Purchase Warrant (Incorporated by reference to the Company’s Current Report on Form 8-K filed with</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 Commission on February 18, 2009.)</w:t>
              </w:r>
            </w:hyperlink>
          </w:p>
        </w:tc>
        <w:tc>
          <w:tcPr>
            <w:tcW w:w="6920" w:type="dxa"/>
            <w:vAlign w:val="bottom"/>
            <w:tcBorders>
              <w:top w:val="single" w:sz="8" w:color="0000EE"/>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Amended Form of Class B Common Stock Purchase Warrant (Incorporated by reference to the Company’s Current Report on Form 8-K as</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filed with the Commission on January 27, 2011.)</w:t>
              </w:r>
            </w:hyperlink>
          </w:p>
        </w:tc>
        <w:tc>
          <w:tcPr>
            <w:tcW w:w="40" w:type="dxa"/>
            <w:vAlign w:val="bottom"/>
          </w:tcPr>
          <w:p>
            <w:pPr>
              <w:spacing w:after="0"/>
              <w:rPr>
                <w:sz w:val="17"/>
                <w:szCs w:val="17"/>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Form of Amended and Restated Class B Common Stock Purchase Warrant (Incorporated By reference to the Company’s Current Report</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on Form 8-K as filed with the Commission on January 15, 2019.)</w:t>
              </w:r>
            </w:hyperlink>
          </w:p>
        </w:tc>
        <w:tc>
          <w:tcPr>
            <w:tcW w:w="220" w:type="dxa"/>
            <w:vAlign w:val="bottom"/>
            <w:gridSpan w:val="4"/>
          </w:tcPr>
          <w:p>
            <w:pPr>
              <w:spacing w:after="0"/>
              <w:rPr>
                <w:sz w:val="17"/>
                <w:szCs w:val="17"/>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5"/>
              </w:rPr>
            </w:pPr>
            <w:hyperlink r:id="rId56">
              <w:r>
                <w:rPr>
                  <w:rFonts w:ascii="Arial" w:cs="Arial" w:eastAsia="Arial" w:hAnsi="Arial"/>
                  <w:sz w:val="18"/>
                  <w:szCs w:val="18"/>
                  <w:color w:val="0000EE"/>
                  <w:w w:val="95"/>
                </w:rPr>
                <w:t>Form of Amended and Restated 10X Fund Class B Common Stock Purchase Warrant (Incorporated by reference to the Company’s</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Current Report on Form 8-K as filed with the Commission on January 15, 2019.)</w:t>
              </w:r>
            </w:hyperlink>
          </w:p>
        </w:tc>
        <w:tc>
          <w:tcPr>
            <w:tcW w:w="3640" w:type="dxa"/>
            <w:vAlign w:val="bottom"/>
            <w:tcBorders>
              <w:top w:val="single" w:sz="8" w:color="0000EE"/>
            </w:tcBorders>
            <w:gridSpan w:val="4"/>
          </w:tcPr>
          <w:p>
            <w:pPr>
              <w:spacing w:after="0"/>
              <w:rPr>
                <w:sz w:val="17"/>
                <w:szCs w:val="17"/>
                <w:color w:val="auto"/>
              </w:rPr>
            </w:pPr>
          </w:p>
        </w:tc>
        <w:tc>
          <w:tcPr>
            <w:tcW w:w="560" w:type="dxa"/>
            <w:vAlign w:val="bottom"/>
            <w:gridSpan w:val="7"/>
          </w:tcPr>
          <w:p>
            <w:pPr>
              <w:spacing w:after="0"/>
              <w:rPr>
                <w:sz w:val="17"/>
                <w:szCs w:val="17"/>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Lock-Up Common Stock Purchase Warrant (Incorporated by reference to the Company’s Current Report on Form 8-K filed with</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the Commission on September 27, 2016.)</w:t>
              </w:r>
            </w:hyperlink>
          </w:p>
        </w:tc>
        <w:tc>
          <w:tcPr>
            <w:tcW w:w="6900" w:type="dxa"/>
            <w:vAlign w:val="bottom"/>
            <w:tcBorders>
              <w:top w:val="single" w:sz="8" w:color="0000EE"/>
            </w:tcBorders>
            <w:gridSpan w:val="1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34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Opinion of Dentons US LLP regarding legality</w:t>
            </w:r>
          </w:p>
        </w:tc>
        <w:tc>
          <w:tcPr>
            <w:tcW w:w="6640" w:type="dxa"/>
            <w:vAlign w:val="bottom"/>
            <w:gridSpan w:val="15"/>
          </w:tcPr>
          <w:p>
            <w:pPr>
              <w:spacing w:after="0"/>
              <w:rPr>
                <w:sz w:val="24"/>
                <w:szCs w:val="24"/>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Consent of Dentons US LLP (included as part of Exhibit 5.1 hereto)</w:t>
            </w:r>
          </w:p>
        </w:tc>
        <w:tc>
          <w:tcPr>
            <w:tcW w:w="5120" w:type="dxa"/>
            <w:vAlign w:val="bottom"/>
            <w:gridSpan w:val="12"/>
          </w:tcPr>
          <w:p>
            <w:pPr>
              <w:spacing w:after="0"/>
              <w:rPr>
                <w:sz w:val="24"/>
                <w:szCs w:val="24"/>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10040" w:type="dxa"/>
            <w:vAlign w:val="bottom"/>
            <w:gridSpan w:val="21"/>
          </w:tcPr>
          <w:p>
            <w:pPr>
              <w:spacing w:after="0"/>
              <w:rPr>
                <w:sz w:val="20"/>
                <w:szCs w:val="20"/>
                <w:color w:val="auto"/>
              </w:rPr>
            </w:pPr>
            <w:r>
              <w:rPr>
                <w:rFonts w:ascii="Arial" w:cs="Arial" w:eastAsia="Arial" w:hAnsi="Arial"/>
                <w:sz w:val="18"/>
                <w:szCs w:val="18"/>
                <w:color w:val="0000EE"/>
              </w:rPr>
              <w:t>Consent of Cherry Bekaert LLP</w:t>
            </w:r>
          </w:p>
        </w:tc>
      </w:tr>
      <w:tr>
        <w:trPr>
          <w:trHeight w:val="20"/>
        </w:trPr>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4200" w:type="dxa"/>
            <w:vAlign w:val="bottom"/>
            <w:gridSpan w:val="11"/>
          </w:tcPr>
          <w:p>
            <w:pPr>
              <w:spacing w:after="0" w:line="20" w:lineRule="exact"/>
              <w:rPr>
                <w:sz w:val="1"/>
                <w:szCs w:val="1"/>
                <w:color w:val="auto"/>
              </w:rPr>
            </w:pPr>
          </w:p>
        </w:tc>
      </w:tr>
      <w:tr>
        <w:trPr>
          <w:trHeight w:val="304"/>
        </w:trPr>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w w:val="96"/>
              </w:rPr>
              <w:t>24*</w:t>
            </w:r>
          </w:p>
        </w:tc>
        <w:tc>
          <w:tcPr>
            <w:tcW w:w="540" w:type="dxa"/>
            <w:vAlign w:val="bottom"/>
          </w:tcPr>
          <w:p>
            <w:pPr>
              <w:spacing w:after="0"/>
              <w:rPr>
                <w:sz w:val="24"/>
                <w:szCs w:val="24"/>
                <w:color w:val="auto"/>
              </w:rPr>
            </w:pPr>
          </w:p>
        </w:tc>
        <w:tc>
          <w:tcPr>
            <w:tcW w:w="58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Power of Attorney (included in the signature pages of this registration statement)</w:t>
              </w:r>
            </w:hyperlink>
          </w:p>
        </w:tc>
        <w:tc>
          <w:tcPr>
            <w:tcW w:w="4200" w:type="dxa"/>
            <w:vAlign w:val="bottom"/>
            <w:gridSpan w:val="11"/>
          </w:tcPr>
          <w:p>
            <w:pPr>
              <w:spacing w:after="0"/>
              <w:rPr>
                <w:sz w:val="24"/>
                <w:szCs w:val="24"/>
                <w:color w:val="auto"/>
              </w:rPr>
            </w:pPr>
          </w:p>
        </w:tc>
      </w:tr>
    </w:tbl>
    <w:p>
      <w:pPr>
        <w:spacing w:after="0" w:line="256"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Norcross, State of Georgia, on the date indicated below.</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GALECTIN THERAPEUTICS INC.</w:t>
            </w:r>
          </w:p>
        </w:tc>
      </w:tr>
      <w:tr>
        <w:trPr>
          <w:trHeight w:val="224"/>
        </w:trPr>
        <w:tc>
          <w:tcPr>
            <w:tcW w:w="56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(Registrant)</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Date: August 9, 2019</w:t>
            </w:r>
          </w:p>
        </w:tc>
        <w:tc>
          <w:tcPr>
            <w:tcW w:w="5420" w:type="dxa"/>
            <w:vAlign w:val="bottom"/>
          </w:tcPr>
          <w:p>
            <w:pPr>
              <w:ind w:left="120"/>
              <w:spacing w:after="0"/>
              <w:rPr>
                <w:sz w:val="20"/>
                <w:szCs w:val="20"/>
                <w:color w:val="auto"/>
              </w:rPr>
            </w:pPr>
            <w:r>
              <w:rPr>
                <w:rFonts w:ascii="Arial" w:cs="Arial" w:eastAsia="Arial" w:hAnsi="Arial"/>
                <w:sz w:val="18"/>
                <w:szCs w:val="18"/>
                <w:color w:val="auto"/>
              </w:rPr>
              <w:t>By:  /s/ Harold Shlevin, Ph.D.</w:t>
            </w:r>
          </w:p>
        </w:tc>
      </w:tr>
    </w:tbl>
    <w:p>
      <w:pPr>
        <w:ind w:left="6380"/>
        <w:spacing w:after="0"/>
        <w:rPr>
          <w:sz w:val="20"/>
          <w:szCs w:val="20"/>
          <w:color w:val="auto"/>
        </w:rPr>
      </w:pPr>
      <w:r>
        <w:rPr>
          <w:rFonts w:ascii="Arial" w:cs="Arial" w:eastAsia="Arial" w:hAnsi="Arial"/>
          <w:sz w:val="18"/>
          <w:szCs w:val="18"/>
          <w:color w:val="auto"/>
        </w:rPr>
        <w:t>Harold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147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KNOW ALL PERSONS BY THESE PRESENT that each person whose signature appears below constitutes and appoints each of Harold Shlevin, Ph.D. and Jack W. Callicutt as his true and lawful attorney-in-fact and agent, with full power of substitution and resubstitution, for him and in his name, place and stead, in any and all capacities, to sign any or all amendments (including pre-effective and post-effective amendments, exhibits thereto and other documents in connection therewith) to this registration statement on Form S-3, and any registration statement (including exhibits thereto and other documents in connection therewith) filed by the Registrant under Securities and Exchange Commission Rule 462(b) of the Securities Act of 1933 which relates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proxies and agents or any of them, or their, his or her substitute or substitutes, may lawfully do or cause to be done by virtue hereof.</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8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 Shlevin, Ph.D.</w:t>
            </w:r>
          </w:p>
        </w:tc>
        <w:tc>
          <w:tcPr>
            <w:tcW w:w="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President (Principal</w:t>
            </w:r>
          </w:p>
        </w:tc>
        <w:tc>
          <w:tcPr>
            <w:tcW w:w="1580" w:type="dxa"/>
            <w:vAlign w:val="bottom"/>
            <w:gridSpan w:val="3"/>
          </w:tcPr>
          <w:p>
            <w:pPr>
              <w:jc w:val="center"/>
              <w:ind w:left="394"/>
              <w:spacing w:after="0"/>
              <w:rPr>
                <w:sz w:val="20"/>
                <w:szCs w:val="20"/>
                <w:color w:val="auto"/>
              </w:rPr>
            </w:pPr>
            <w:r>
              <w:rPr>
                <w:rFonts w:ascii="Arial" w:cs="Arial" w:eastAsia="Arial" w:hAnsi="Arial"/>
                <w:sz w:val="18"/>
                <w:szCs w:val="18"/>
                <w:color w:val="auto"/>
                <w:w w:val="90"/>
              </w:rPr>
              <w:t>August 9, 2019</w:t>
            </w:r>
          </w:p>
        </w:tc>
      </w:tr>
      <w:tr>
        <w:trPr>
          <w:trHeight w:val="224"/>
        </w:trPr>
        <w:tc>
          <w:tcPr>
            <w:tcW w:w="26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300" w:type="dxa"/>
            <w:vAlign w:val="bottom"/>
          </w:tcPr>
          <w:p>
            <w:pPr>
              <w:spacing w:after="0"/>
              <w:rPr>
                <w:sz w:val="19"/>
                <w:szCs w:val="19"/>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Executive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W. Callicutt</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1580" w:type="dxa"/>
            <w:vAlign w:val="bottom"/>
            <w:gridSpan w:val="3"/>
          </w:tcPr>
          <w:p>
            <w:pPr>
              <w:jc w:val="center"/>
              <w:ind w:left="394"/>
              <w:spacing w:after="0"/>
              <w:rPr>
                <w:sz w:val="20"/>
                <w:szCs w:val="20"/>
                <w:color w:val="auto"/>
              </w:rPr>
            </w:pPr>
            <w:r>
              <w:rPr>
                <w:rFonts w:ascii="Arial" w:cs="Arial" w:eastAsia="Arial" w:hAnsi="Arial"/>
                <w:sz w:val="18"/>
                <w:szCs w:val="18"/>
                <w:color w:val="auto"/>
                <w:w w:val="90"/>
              </w:rPr>
              <w:t>August 9, 2019</w:t>
            </w:r>
          </w:p>
        </w:tc>
      </w:tr>
      <w:tr>
        <w:trPr>
          <w:trHeight w:val="224"/>
        </w:trPr>
        <w:tc>
          <w:tcPr>
            <w:tcW w:w="268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300" w:type="dxa"/>
            <w:vAlign w:val="bottom"/>
          </w:tcPr>
          <w:p>
            <w:pPr>
              <w:spacing w:after="0"/>
              <w:rPr>
                <w:sz w:val="19"/>
                <w:szCs w:val="19"/>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E. Uihlein</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gridSpan w:val="3"/>
          </w:tcPr>
          <w:p>
            <w:pPr>
              <w:jc w:val="center"/>
              <w:ind w:left="394"/>
              <w:spacing w:after="0"/>
              <w:rPr>
                <w:sz w:val="20"/>
                <w:szCs w:val="20"/>
                <w:color w:val="auto"/>
              </w:rPr>
            </w:pPr>
            <w:r>
              <w:rPr>
                <w:rFonts w:ascii="Arial" w:cs="Arial" w:eastAsia="Arial" w:hAnsi="Arial"/>
                <w:sz w:val="18"/>
                <w:szCs w:val="18"/>
                <w:color w:val="auto"/>
                <w:w w:val="90"/>
              </w:rPr>
              <w:t>August 9, 2019</w:t>
            </w:r>
          </w:p>
        </w:tc>
      </w:tr>
      <w:tr>
        <w:trPr>
          <w:trHeight w:val="224"/>
        </w:trPr>
        <w:tc>
          <w:tcPr>
            <w:tcW w:w="268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2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Kary Eldred</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94"/>
              <w:spacing w:after="0"/>
              <w:rPr>
                <w:sz w:val="20"/>
                <w:szCs w:val="20"/>
                <w:color w:val="auto"/>
              </w:rPr>
            </w:pPr>
            <w:r>
              <w:rPr>
                <w:rFonts w:ascii="Arial" w:cs="Arial" w:eastAsia="Arial" w:hAnsi="Arial"/>
                <w:sz w:val="18"/>
                <w:szCs w:val="18"/>
                <w:color w:val="auto"/>
                <w:w w:val="90"/>
              </w:rPr>
              <w:t>August 9, 2019</w:t>
            </w:r>
          </w:p>
        </w:tc>
      </w:tr>
      <w:tr>
        <w:trPr>
          <w:trHeight w:val="224"/>
        </w:trPr>
        <w:tc>
          <w:tcPr>
            <w:tcW w:w="268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2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4"/>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gridSpan w:val="3"/>
          </w:tcPr>
          <w:p>
            <w:pPr>
              <w:ind w:left="400"/>
              <w:spacing w:after="0"/>
              <w:rPr>
                <w:sz w:val="20"/>
                <w:szCs w:val="20"/>
                <w:color w:val="auto"/>
              </w:rPr>
            </w:pPr>
            <w:r>
              <w:rPr>
                <w:rFonts w:ascii="Arial" w:cs="Arial" w:eastAsia="Arial" w:hAnsi="Arial"/>
                <w:sz w:val="18"/>
                <w:szCs w:val="18"/>
                <w:color w:val="auto"/>
              </w:rPr>
              <w:t>II-6</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Freeman</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Kevin D. Freeman, CFA</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Joel Lewis</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Gilbert S. Omenn</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Gilbert S. Omenn, M.D., Ph.D.</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Rubin</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Marc Rubin, M.D.</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Shulman</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Stephen Shulman</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Gilbert F. Amelio</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Gilbert F. Amelio</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Czirr</w:t>
            </w:r>
          </w:p>
        </w:tc>
        <w:tc>
          <w:tcPr>
            <w:tcW w:w="2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920"/>
              <w:spacing w:after="0"/>
              <w:rPr>
                <w:sz w:val="20"/>
                <w:szCs w:val="20"/>
                <w:color w:val="auto"/>
              </w:rPr>
            </w:pPr>
            <w:r>
              <w:rPr>
                <w:rFonts w:ascii="Arial" w:cs="Arial" w:eastAsia="Arial" w:hAnsi="Arial"/>
                <w:sz w:val="18"/>
                <w:szCs w:val="18"/>
                <w:color w:val="auto"/>
                <w:w w:val="89"/>
              </w:rPr>
              <w:t>August 9, 2019</w:t>
            </w: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James C. Czirr</w:t>
            </w:r>
          </w:p>
        </w:tc>
        <w:tc>
          <w:tcPr>
            <w:tcW w:w="26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607"/>
        </w:trPr>
        <w:tc>
          <w:tcPr>
            <w:tcW w:w="498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II-7</w:t>
            </w:r>
          </w:p>
        </w:tc>
        <w:tc>
          <w:tcPr>
            <w:tcW w:w="302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Galectin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4960 Peachtree Industrial Blvd., Suite 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Norcross, Georgia 30071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Resale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have acted as counsel to Galectin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Resale Registration Statement on Form S-3 (including the prospectus that is a part thereof,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today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with respect to the resale, from time to time, of up to 1,702,725 shares (the “</w:t>
      </w:r>
      <w:r>
        <w:rPr>
          <w:rFonts w:ascii="Arial" w:cs="Arial" w:eastAsia="Arial" w:hAnsi="Arial"/>
          <w:sz w:val="17"/>
          <w:szCs w:val="17"/>
          <w:u w:val="single" w:color="auto"/>
          <w:color w:val="auto"/>
        </w:rPr>
        <w:t>Registrable Shares</w:t>
      </w:r>
      <w:r>
        <w:rPr>
          <w:rFonts w:ascii="Arial" w:cs="Arial" w:eastAsia="Arial" w:hAnsi="Arial"/>
          <w:sz w:val="17"/>
          <w:szCs w:val="17"/>
          <w:color w:val="auto"/>
        </w:rPr>
        <w:t>”)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by those certain selling stockholders named in the Registration Statement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pursuant to Rule 415 under the Securities Act. This opinion letter is being rendered pursuant to Item 16 of Form S-3 and Item 601(b)(5) of Regulation S-K.</w:t>
      </w:r>
    </w:p>
    <w:p>
      <w:pPr>
        <w:spacing w:after="0" w:line="178"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color w:val="auto"/>
        </w:rPr>
        <w:t>The Registrable Shares consist of the following shares of Common Stock (i) 785,808 shares of Common Stock that are issuable upon the exercise of certain Common Stock purchase warrants, exercise price $3.00, which were originally issued in a series of private placements during a period commencing on February 12, 2009 and concluding on May 10, 2010 (such warrants, the “</w:t>
      </w:r>
      <w:r>
        <w:rPr>
          <w:rFonts w:ascii="Arial" w:cs="Arial" w:eastAsia="Arial" w:hAnsi="Arial"/>
          <w:sz w:val="16"/>
          <w:szCs w:val="16"/>
          <w:u w:val="single" w:color="auto"/>
          <w:color w:val="auto"/>
        </w:rPr>
        <w:t>Class B Warrants</w:t>
      </w:r>
      <w:r>
        <w:rPr>
          <w:rFonts w:ascii="Arial" w:cs="Arial" w:eastAsia="Arial" w:hAnsi="Arial"/>
          <w:sz w:val="16"/>
          <w:szCs w:val="16"/>
          <w:color w:val="auto"/>
        </w:rPr>
        <w:t>”) (ii) 26,665 shares of Common Stock that are issuable upon the exercise of certain Common Stock purchase warrants, exercise price $3.00, which were originally issued on September 22, 2016, September 29, 2016 and December 23, 2016 (such warrants, the “</w:t>
      </w:r>
      <w:r>
        <w:rPr>
          <w:rFonts w:ascii="Arial" w:cs="Arial" w:eastAsia="Arial" w:hAnsi="Arial"/>
          <w:sz w:val="16"/>
          <w:szCs w:val="16"/>
          <w:u w:val="single" w:color="auto"/>
          <w:color w:val="auto"/>
        </w:rPr>
        <w:t>Lock Up Warrants</w:t>
      </w:r>
      <w:r>
        <w:rPr>
          <w:rFonts w:ascii="Arial" w:cs="Arial" w:eastAsia="Arial" w:hAnsi="Arial"/>
          <w:sz w:val="16"/>
          <w:szCs w:val="16"/>
          <w:color w:val="auto"/>
        </w:rPr>
        <w:t>”, together with the Class B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w:t>
      </w:r>
    </w:p>
    <w:p>
      <w:pPr>
        <w:spacing w:after="0" w:line="2" w:lineRule="exact"/>
        <w:rPr>
          <w:sz w:val="20"/>
          <w:szCs w:val="20"/>
          <w:color w:val="auto"/>
        </w:rPr>
      </w:pPr>
    </w:p>
    <w:p>
      <w:pPr>
        <w:ind w:right="320" w:firstLine="4"/>
        <w:spacing w:after="0" w:line="253"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221,757 shares of Common Stock that are issuable upon the conversion of the Company’s Series A 12% Convertible Preferred Stock, par value $0.01 (the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(iv) 248,773 shares of Common Stock that may be issued as stock dividends on outstanding shares of the Series A Preferred Stock, (v) 210,006 shares of Common Stock that may be issued upon the conversion of the Company’s Series C Super Dividend Convertible Preferred Stock, par value $0.01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and (vi) 210,216 shares of Common Stock that may be issued as stock dividends on outstanding shares of the Series C Preferred Stock.</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this opinion, we have examined such documents and considered such legal matters deemed by us to be relevant to this opinion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letter and the Registration Statement, including (i) the applicable statutory provisions and related rules and regulations of Chapter 78 of the Nevada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Revised Statutes and the reported judicial decisions interpreting those laws, (ii) the applicable statutory provisions and related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State of Delaware governing the Warrants, (iii) the Amended and Restated Articles of Incorporation of the Company, as amended, (iv) the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Designation of Preferences, Rights and Limitations of Series A-12% Convertible Preferred Stock of Galectin Therapeutics, Inc., as amended by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First Amendment to Certificate of Designation of Preferences, Rights and Limitations of Series A-12% Convertible Preferred Stock of Galectin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(collectively, the “</w:t>
      </w:r>
      <w:r>
        <w:rPr>
          <w:rFonts w:ascii="Arial" w:cs="Arial" w:eastAsia="Arial" w:hAnsi="Arial"/>
          <w:sz w:val="16"/>
          <w:szCs w:val="16"/>
          <w:u w:val="single" w:color="auto"/>
          <w:color w:val="auto"/>
        </w:rPr>
        <w:t>Series A Designation</w:t>
      </w:r>
      <w:r>
        <w:rPr>
          <w:rFonts w:ascii="Arial" w:cs="Arial" w:eastAsia="Arial" w:hAnsi="Arial"/>
          <w:sz w:val="16"/>
          <w:szCs w:val="16"/>
          <w:color w:val="auto"/>
        </w:rPr>
        <w:t>”), (v) the Certificate of Designation of Preferences, Rights and Limitations of Series C Super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Dividend Convertible Preferred Stock of Galectin Therapeutics, Inc. (the “</w:t>
      </w:r>
      <w:r>
        <w:rPr>
          <w:rFonts w:ascii="Arial" w:cs="Arial" w:eastAsia="Arial" w:hAnsi="Arial"/>
          <w:sz w:val="17"/>
          <w:szCs w:val="17"/>
          <w:u w:val="single" w:color="auto"/>
          <w:color w:val="auto"/>
        </w:rPr>
        <w:t>Series C Designation</w:t>
      </w:r>
      <w:r>
        <w:rPr>
          <w:rFonts w:ascii="Arial" w:cs="Arial" w:eastAsia="Arial" w:hAnsi="Arial"/>
          <w:sz w:val="17"/>
          <w:szCs w:val="17"/>
          <w:color w:val="auto"/>
        </w:rPr>
        <w:t>”; together with the Series A Designation,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Designations</w:t>
      </w:r>
      <w:r>
        <w:rPr>
          <w:rFonts w:ascii="Arial" w:cs="Arial" w:eastAsia="Arial" w:hAnsi="Arial"/>
          <w:sz w:val="16"/>
          <w:szCs w:val="16"/>
          <w:color w:val="auto"/>
        </w:rPr>
        <w:t>”), (vi) the Amended and Restated Bylaws of the Company, as amended, (vii) the corporate proceedings of the Company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the Registrable Shares and (viii) the certificates evidencing the Warrants.</w:t>
      </w:r>
    </w:p>
    <w:p>
      <w:pPr>
        <w:spacing w:after="0" w:line="21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have also made such further legal and factual examinations and investigations as we deemed necessary for the purposes of expressing the opinion set forth herein. With respect to these examinations and investigations,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information provided by officers of the Company and the Selling Stockholders. We have not independently verified or investigated, nor do we assume any responsibility for, the factual accuracy or competency of such factual statements.</w:t>
      </w:r>
    </w:p>
    <w:p>
      <w:pPr>
        <w:sectPr>
          <w:pgSz w:w="11900" w:h="16838" w:orient="portrait"/>
          <w:cols w:equalWidth="0" w:num="1">
            <w:col w:w="11020"/>
          </w:cols>
          <w:pgMar w:left="440" w:top="121" w:right="439" w:bottom="1440" w:gutter="0" w:footer="0" w:header="0"/>
        </w:sectPr>
      </w:pPr>
    </w:p>
    <w:bookmarkStart w:id="23" w:name="page24"/>
    <w:bookmarkEnd w:id="23"/>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opinion is limited to the laws of the State of Delaware, Nevada corporate law (which includes the applicable provisions of Chapter 78 of the Nevada Revised Statutes and the reported judicial decisions interpreting those laws) and the federal laws of the United States of America, to the extent referred to specifically herein. We do not express any opinion herein concerning any other laws. We are generally familiar with Chapter 78 of the Nevada Revised Statutes as currently in effect and the judicial decisions thereunder and have made such inquiries and review of matters of fact and law as we determined necessary to render the opinion contained herein. We assume no obligation to revise or supplement this opinion in the event of future changes in such laws or the interpretations thereof or such facts. We express no opinion regarding the Securities Act, or any other federal or state laws or regulations.</w:t>
      </w:r>
    </w:p>
    <w:p>
      <w:pPr>
        <w:spacing w:after="0" w:line="18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Based upon the foregoing, and in reliance thereon, it is our opinion that, as of the date hereof, the Registrable Shares have been duly authorized by the Company, and when issued in accordance with the terms of the Designations or the Warrants, as applicable, will be validly issued, fully paid and nonassessable.</w:t>
      </w:r>
    </w:p>
    <w:p>
      <w:pPr>
        <w:spacing w:after="0" w:line="18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This opinion letter is provided for use solely in connection with the resale of the Common Stock covered by the Registration Statement, and except for its use in connection with such resale, may not be furnished to, quoted from or relied upon by any other person, firm, or corporation without our express written consent. No opinion may be implied or inferred beyond the opinion expressly stated in the paragraph immediately above. Our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173"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consent to the filing of this opinion letter as an exhibit to the Registration Statement and to the use of our name under the heading “Legal Matters” in the prospectus constituting a part thereof. In giving such consent, we do not thereby admit that we are within the category of persons whose consent is required under Section 7 of the Securities Act or the rules and regulations of the Commission thereunder.</w:t>
      </w:r>
    </w:p>
    <w:p>
      <w:pPr>
        <w:spacing w:after="0" w:line="3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Galectin Therapeutics Inc. (the “Company”) of our report dated March 6, 2019, relating to our audits of the consolidated financial statements as of and for the years ended December 31, 2018 and December 31, 2017 and the effectiveness of internal control over financial reporting for the Company as of December 31, 2018 , which appears in the Annual Report on Form 10-K of the Company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the Prospectus, which is part of this Registration 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Cherry Bekaert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1)"/>
      <w:numFmt w:val="lowerRoman"/>
      <w:start w:val="5"/>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2"/>
    </w:lvl>
    <w:lvl w:ilvl="1">
      <w:lvlJc w:val="left"/>
      <w:lvlText w:val="(%2)"/>
      <w:numFmt w:val="lowerLetter"/>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lvl w:ilvl="1">
      <w:lvlJc w:val="left"/>
      <w:lvlText w:val="(%2)"/>
      <w:numFmt w:val="lowerLetter"/>
      <w:start w:val="1"/>
    </w:lvl>
  </w:abstractNum>
  <w:abstractNum w:abstractNumId="13">
    <w:nsid w:val="431BD7B7"/>
    <w:multiLevelType w:val="hybridMultilevel"/>
    <w:lvl w:ilvl="0">
      <w:lvlJc w:val="left"/>
      <w:lvlText w:val="%1."/>
      <w:numFmt w:val="decimal"/>
      <w:start w:val="2"/>
    </w:lvl>
    <w:lvl w:ilvl="1">
      <w:lvlJc w:val="left"/>
      <w:lvlText w:val="%2"/>
      <w:numFmt w:val="lowerLetter"/>
      <w:start w:val="1"/>
    </w:lvl>
  </w:abstractNum>
  <w:abstractNum w:abstractNumId="14">
    <w:nsid w:val="3F2DBA31"/>
    <w:multiLevelType w:val="hybridMultilevel"/>
    <w:lvl w:ilvl="0">
      <w:lvlJc w:val="left"/>
      <w:lvlText w:val="%1."/>
      <w:numFmt w:val="decimal"/>
      <w:start w:val="3"/>
    </w:lvl>
    <w:lvl w:ilvl="1">
      <w:lvlJc w:val="left"/>
      <w:lvlText w:val="(%2)"/>
      <w:numFmt w:val="lowerLetter"/>
      <w:start w:val="1"/>
    </w:lvl>
  </w:abstractNum>
  <w:abstractNum w:abstractNumId="15">
    <w:nsid w:val="7C83E458"/>
    <w:multiLevelType w:val="hybridMultilevel"/>
    <w:lvl w:ilvl="0">
      <w:lvlJc w:val="left"/>
      <w:lvlText w:val="(%1)"/>
      <w:numFmt w:val="lowerLetter"/>
      <w:start w:val="1"/>
    </w:lvl>
    <w:lvl w:ilvl="1">
      <w:lvlJc w:val="left"/>
      <w:lvlText w:val="(%2)"/>
      <w:numFmt w:val="decimal"/>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lowerLetter"/>
      <w:start w:val="1"/>
    </w:lvl>
    <w:lvl w:ilvl="1">
      <w:lvlJc w:val="left"/>
      <w:lvlText w:val="(%2)"/>
      <w:numFmt w:val="decimal"/>
      <w:start w:val="3"/>
    </w:lvl>
  </w:abstractNum>
  <w:abstractNum w:abstractNumId="19">
    <w:nsid w:val="628C895D"/>
    <w:multiLevelType w:val="hybridMultilevel"/>
    <w:lvl w:ilvl="0">
      <w:lvlJc w:val="left"/>
      <w:lvlText w:val="(%1)"/>
      <w:numFmt w:val="lowerLetter"/>
      <w:start w:val="2"/>
    </w:lvl>
    <w:lvl w:ilvl="1">
      <w:lvlJc w:val="left"/>
      <w:lvlText w:val="%2"/>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34" Type="http://schemas.openxmlformats.org/officeDocument/2006/relationships/hyperlink" Target="http://www.sec.gov/Archives/edgar/data/1133416/000119312519064705/d675303d10k.htm" TargetMode="External"/><Relationship Id="rId35" Type="http://schemas.openxmlformats.org/officeDocument/2006/relationships/hyperlink" Target="http://www.sec.gov/Archives/edgar/data/1133416/000119312519143642/d738207d10q.htm" TargetMode="External"/><Relationship Id="rId36" Type="http://schemas.openxmlformats.org/officeDocument/2006/relationships/hyperlink" Target="http://www.sec.gov/Archives/edgar/data/1133416/000119312519217477/d703298d10q.htm" TargetMode="External"/><Relationship Id="rId37" Type="http://schemas.openxmlformats.org/officeDocument/2006/relationships/hyperlink" Target="http://www.sec.gov/Archives/edgar/data/1133416/000119312519009410/d684051d8k.htm" TargetMode="External"/><Relationship Id="rId38" Type="http://schemas.openxmlformats.org/officeDocument/2006/relationships/hyperlink" Target="http://www.sec.gov/Archives/edgar/data/1133416/000119312519014852/d691385d8k.htm" TargetMode="External"/><Relationship Id="rId39" Type="http://schemas.openxmlformats.org/officeDocument/2006/relationships/hyperlink" Target="http://www.sec.gov/Archives/edgar/data/1133416/000119312519064710/d709852d8k.htm" TargetMode="External"/><Relationship Id="rId40" Type="http://schemas.openxmlformats.org/officeDocument/2006/relationships/hyperlink" Target="http://www.sec.gov/Archives/edgar/data/1133416/000119312519105791/d735149d8k.htm" TargetMode="External"/><Relationship Id="rId41" Type="http://schemas.openxmlformats.org/officeDocument/2006/relationships/hyperlink" Target="http://www.sec.gov/Archives/edgar/data/1133416/000119312519143648/d744597d8k.htm" TargetMode="External"/><Relationship Id="rId42" Type="http://schemas.openxmlformats.org/officeDocument/2006/relationships/hyperlink" Target="http://www.sec.gov/Archives/edgar/data/1133416/000119312519157698/d737796d8k.htm" TargetMode="External"/><Relationship Id="rId43" Type="http://schemas.openxmlformats.org/officeDocument/2006/relationships/hyperlink" Target="http://www.sec.gov/Archives/edgar/data/1133416/000119312503047012/d8a12b.htm" TargetMode="External"/><Relationship Id="rId50" Type="http://schemas.openxmlformats.org/officeDocument/2006/relationships/hyperlink" Target="http://www.sec.gov/Archives/edgar/data/1133416/000119312507214815/dex32.htm" TargetMode="External"/><Relationship Id="rId51" Type="http://schemas.openxmlformats.org/officeDocument/2006/relationships/hyperlink" Target="http://www.sec.gov/Archives/edgar/data/1133416/000119312517176606/d590602dex31.htm" TargetMode="External"/><Relationship Id="rId52" Type="http://schemas.openxmlformats.org/officeDocument/2006/relationships/hyperlink" Target="http://www.sec.gov/Archives/edgar/data/1133416/000119312511002455/dex31.htm" TargetMode="External"/><Relationship Id="rId53" Type="http://schemas.openxmlformats.org/officeDocument/2006/relationships/hyperlink" Target="http://www.sec.gov/Archives/edgar/data/1133416/000119312509032224/dex43.htm" TargetMode="External"/><Relationship Id="rId54" Type="http://schemas.openxmlformats.org/officeDocument/2006/relationships/hyperlink" Target="http://www.sec.gov/Archives/edgar/data/1133416/000119312511016023/dex43.htm" TargetMode="External"/><Relationship Id="rId55" Type="http://schemas.openxmlformats.org/officeDocument/2006/relationships/hyperlink" Target="http://www.sec.gov/Archives/edgar/data/1133416/000119312519009410/d684051dex42.htm" TargetMode="External"/><Relationship Id="rId56" Type="http://schemas.openxmlformats.org/officeDocument/2006/relationships/hyperlink" Target="http://www.sec.gov/Archives/edgar/data/1133416/000119312519009410/d684051dex43.htm" TargetMode="External"/><Relationship Id="rId57" Type="http://schemas.openxmlformats.org/officeDocument/2006/relationships/hyperlink" Target="http://www.sec.gov/Archives/edgar/data/1133416/000119312516721558/d26955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2019-12-21T00:03:10Z</dcterms:created>
  <dcterms:modified xsi:type="dcterms:W3CDTF">2019-12-21T00:03:10Z</dcterms:modified>
</cp:coreProperties>
</file>