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28"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1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317" w:lineRule="exact"/>
        <w:rPr>
          <w:sz w:val="24"/>
          <w:szCs w:val="24"/>
          <w:color w:val="auto"/>
        </w:rPr>
      </w:pPr>
    </w:p>
    <w:p>
      <w:pPr>
        <w:spacing w:after="0" w:line="207" w:lineRule="exact"/>
        <w:tabs>
          <w:tab w:leader="none" w:pos="30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5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-4310380</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-3847465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-2792730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-2329180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-614045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-151130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320"/>
          </w:cols>
          <w:pgMar w:left="240" w:top="219" w:right="339" w:bottom="26"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448945</wp:posOffset>
            </wp:positionH>
            <wp:positionV relativeFrom="page">
              <wp:posOffset>243205</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 WELLS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NEWTON, MASSACHUSETTS 02459</w:t>
      </w:r>
    </w:p>
    <w:p>
      <w:pPr>
        <w:spacing w:after="0" w:line="9" w:lineRule="exact"/>
        <w:rPr>
          <w:sz w:val="20"/>
          <w:szCs w:val="20"/>
          <w:color w:val="auto"/>
        </w:rPr>
      </w:pPr>
    </w:p>
    <w:p>
      <w:pPr>
        <w:jc w:val="both"/>
        <w:ind w:left="10400"/>
        <w:spacing w:after="0"/>
        <w:tabs>
          <w:tab w:leader="none" w:pos="10960" w:val="left"/>
        </w:tabs>
        <w:rPr>
          <w:sz w:val="20"/>
          <w:szCs w:val="20"/>
          <w:color w:val="auto"/>
        </w:rPr>
      </w:pPr>
      <w:r>
        <w:rPr>
          <w:rFonts w:ascii="Arial" w:cs="Arial" w:eastAsia="Arial" w:hAnsi="Arial"/>
          <w:sz w:val="18"/>
          <w:szCs w:val="18"/>
          <w:color w:val="auto"/>
        </w:rPr>
        <w:t>April</w:t>
        <w:tab/>
        <w:t>,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 invite you to attend the 2011 Annual Meeting of Stockholders of Pro-Pharmaceuticals, Inc. The Annual Meeting will be held at 9:00 a.m. on Thursday, May 26, 2011, at the Company’s office, 7 Wells Avenue, Suite 34, Newton, Massachusetts 02459.</w:t>
      </w:r>
    </w:p>
    <w:p>
      <w:pPr>
        <w:spacing w:after="0" w:line="132"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Under the Securities and Exchange Commission rules that allow companies to furnish Proxy Materials to shareholders over the Internet, Pro-Pharmaceuticals, Inc. has elected to deliver our Proxy Materials to the majority of our shareholders over the Internet. This delivery process allows us to provide shareholders with the information they need, while at the same time conserving natural resources and lowering the cost of delivery. On or about April , 2011, we expect to mail to our shareholders a Notice of Internet Availability of Proxy Materials (the “Notice”) containing instructions on how to access our 2011 Proxy Statement and 2010 Annual Report to shareholders. The Notice also provides instructions on how to vote online and includes instructions on how to receive a paper copy of the Proxy Materials by mail. On or about April 15, 2011, we expect to mail this Proxy Statement and the enclosed Proxy Card to certain shareholders.</w:t>
      </w:r>
    </w:p>
    <w:p>
      <w:pPr>
        <w:spacing w:after="0" w:line="14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On the following pages, you will find the Notice of our 2011 Annual Meeting of Stockholders and the Proxy Statement that describes the matters to be considered at the Annual Meeting. We also have enclosed your Proxy Card and our Annual Report for the year ended December 31, 2010. You will find voting instructions on the enclosed Proxy Card. If your shares are held in “street name” (that is, held for your account by a broker or other nominee), you will receive instructions from the holder of record that you must follow for your shares to be voted.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Meeting is an excellent opportunity to learn more about Pro-Pharmaceuticals’ business and operations. We hope you will be able to attend.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ongoing support and continued interest in Pro-Pharmaceuticals.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1303655"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G. Traber, M.D.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President</w:t>
      </w:r>
    </w:p>
    <w:p>
      <w:pPr>
        <w:spacing w:after="0" w:line="15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YOUR VOTE IS IMPORTANT. PLEASE COMPLETE, DATE, SIGN AND RETURN THE ENCLOSED PROXY PROMPTLY IN ORDER TO ENSURE YOUR REPRESENTATION AT THE ANNUAL MEETING. A RETURN ENVELOPE IS ENCLOSED FOR THAT PURPOSE. EVEN IF YOU HAVE GIVEN YOUR PROXY, YOU MAY STILL VOTE IN PERSON IF YOU ATTEND THE ANNUAL MEETING.</w:t>
      </w:r>
    </w:p>
    <w:p>
      <w:pPr>
        <w:spacing w:after="0" w:line="132"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2011 ANNUAL MEETING OF STOCKHOLDERS TO BE HELD ON MAY 26,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96"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color w:val="auto"/>
        </w:rPr>
        <w:t xml:space="preserve">Under rules recently approved by the Securities Exchange Commission (“SEC”), the Company is now furnishing proxy materials on the Internet in addition to mailing paper copies of the materials to each stockholder of record. Instructions on how to access and review the proxy materials on the Internet can be found on the proxy card sent to shareholders of record and on the Notice of Internet Availability of Proxy Materials (the “Notice”) sent to shareholders who hold their shares in “street name” (i.e. in the name of a broker, bank or other record holder). The Notice will also include instructions for shareholders who hold their shares in street name on how to access the proxy card to vote over the internet. Voting over the internet will not affect your right to vote in person if you decide to attend the Annual Meeting; however, if you wish to revoke your proxy, you must first notify the Corporate Secretary of your intent to vote in person, and vote your shares at the Annual Meeting. The Proxy Statement and our 2010 Annual Report to Stockholders will be available at: </w:t>
      </w:r>
      <w:r>
        <w:rPr>
          <w:rFonts w:ascii="Arial" w:cs="Arial" w:eastAsia="Arial" w:hAnsi="Arial"/>
          <w:sz w:val="16"/>
          <w:szCs w:val="16"/>
          <w:u w:val="single" w:color="auto"/>
          <w:color w:val="auto"/>
        </w:rPr>
        <w:t>http://www.rrdezproxy.com/2011/propharmaceuticals</w:t>
      </w:r>
      <w:r>
        <w:rPr>
          <w:rFonts w:ascii="Arial" w:cs="Arial" w:eastAsia="Arial" w:hAnsi="Arial"/>
          <w:sz w:val="16"/>
          <w:szCs w:val="16"/>
          <w:color w:val="auto"/>
        </w:rPr>
        <w:t>.</w:t>
      </w:r>
    </w:p>
    <w:p>
      <w:pPr>
        <w:sectPr>
          <w:pgSz w:w="11900" w:h="16838" w:orient="portrait"/>
          <w:cols w:equalWidth="0" w:num="1">
            <w:col w:w="11420"/>
          </w:cols>
          <w:pgMar w:left="240" w:top="261"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PRO-PHARMACEUTICALS,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7 WELLS AVENUE</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NEWTON, MASSACHUSETTS 02459</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NOTICE OF 2011 ANNUAL MEETING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 AND</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Thursday, May 26, 2011 at 9:00 a.m., Eastern Daylight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LACE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Pro-Pharmaceuticals,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Wells Avenue, Suite 34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Newton, Massachusetts 02459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TEMS OF</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To consider and act upon a proposal to elect seven members of the Board of Directors to one-year terms.</w:t>
      </w:r>
    </w:p>
    <w:p>
      <w:pPr>
        <w:spacing w:after="0" w:line="90" w:lineRule="exact"/>
        <w:rPr>
          <w:sz w:val="20"/>
          <w:szCs w:val="20"/>
          <w:color w:val="auto"/>
        </w:rPr>
      </w:pPr>
    </w:p>
    <w:p>
      <w:pPr>
        <w:ind w:left="900" w:hanging="324"/>
        <w:spacing w:after="0" w:line="268" w:lineRule="auto"/>
        <w:rPr>
          <w:sz w:val="20"/>
          <w:szCs w:val="20"/>
          <w:color w:val="auto"/>
        </w:rPr>
      </w:pPr>
      <w:r>
        <w:rPr>
          <w:rFonts w:ascii="Arial" w:cs="Arial" w:eastAsia="Arial" w:hAnsi="Arial"/>
          <w:sz w:val="18"/>
          <w:szCs w:val="18"/>
          <w:color w:val="auto"/>
        </w:rPr>
        <w:t>— To consider and act upon a proposal to amend our 2009 Incentive Compensation Plan to increase the number of shares of common stock that may be awarded under this Plan to 20,000,000.</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To consider and act upon a proposal to amend our Articles of Incorporation to permit our Board of Directors to have up to eleven members.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To consider and act upon a proposal to amend our Articles of Incorporation to authorize our Board of Directors to change the name of the Company.</w:t>
      </w:r>
    </w:p>
    <w:p>
      <w:pPr>
        <w:spacing w:after="0" w:line="113" w:lineRule="exact"/>
        <w:rPr>
          <w:sz w:val="20"/>
          <w:szCs w:val="20"/>
          <w:color w:val="auto"/>
        </w:rPr>
      </w:pPr>
    </w:p>
    <w:p>
      <w:pPr>
        <w:ind w:left="900" w:right="60" w:hanging="324"/>
        <w:spacing w:after="0" w:line="268" w:lineRule="auto"/>
        <w:rPr>
          <w:sz w:val="20"/>
          <w:szCs w:val="20"/>
          <w:color w:val="auto"/>
        </w:rPr>
      </w:pPr>
      <w:r>
        <w:rPr>
          <w:rFonts w:ascii="Arial" w:cs="Arial" w:eastAsia="Arial" w:hAnsi="Arial"/>
          <w:sz w:val="18"/>
          <w:szCs w:val="18"/>
          <w:color w:val="auto"/>
        </w:rPr>
        <w:t>— To consider and act upon a proposal to ratify the appointment of McGladrey &amp; Pullen, LLP, as our independent registered public accounting firm to audit the financial statements for our 2011 fiscal year.</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To transact such other business as may properly come before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ECORD</w:t>
      </w:r>
      <w:r>
        <w:rPr>
          <w:rFonts w:ascii="Arial" w:cs="Arial" w:eastAsia="Arial" w:hAnsi="Arial"/>
          <w:sz w:val="18"/>
          <w:szCs w:val="18"/>
          <w:color w:val="auto"/>
        </w:rPr>
        <w:t xml:space="preserve"> D</w:t>
      </w:r>
      <w:r>
        <w:rPr>
          <w:rFonts w:ascii="Arial" w:cs="Arial" w:eastAsia="Arial" w:hAnsi="Arial"/>
          <w:sz w:val="14"/>
          <w:szCs w:val="14"/>
          <w:color w:val="auto"/>
        </w:rPr>
        <w:t>ATE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vote if you were a stockholder of record at the close of business on March 31, 2011.</w:t>
      </w:r>
    </w:p>
    <w:p>
      <w:pPr>
        <w:spacing w:after="0" w:line="90" w:lineRule="exact"/>
        <w:rPr>
          <w:sz w:val="20"/>
          <w:szCs w:val="20"/>
          <w:color w:val="auto"/>
        </w:rPr>
      </w:pPr>
    </w:p>
    <w:p>
      <w:pPr>
        <w:ind w:left="900" w:right="20" w:hanging="446"/>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Important Notice Regarding the Availability of Proxy Materials for the Annual Meeting of Shareholders to be held on May 26, 2011. Our Proxy Statement is attached. Financial and other information concerning Pro-Pharmaceuticals, Inc. is contained in our annual report to shareholders for the fiscal year ended December 31, 2010. The Proxy Statement and our fiscal 2010 Annual Report to shareholders will be available on the Internet at: </w:t>
      </w:r>
      <w:r>
        <w:rPr>
          <w:rFonts w:ascii="Arial" w:cs="Arial" w:eastAsia="Arial" w:hAnsi="Arial"/>
          <w:sz w:val="18"/>
          <w:szCs w:val="18"/>
          <w:u w:val="single" w:color="auto"/>
          <w:color w:val="auto"/>
        </w:rPr>
        <w:t>http://www.rrdezproxy.com/2011/propharmaceuticals</w:t>
      </w:r>
      <w:r>
        <w:rPr>
          <w:rFonts w:ascii="Arial" w:cs="Arial" w:eastAsia="Arial" w:hAnsi="Arial"/>
          <w:sz w:val="18"/>
          <w:szCs w:val="18"/>
          <w:color w:val="auto"/>
        </w:rPr>
        <w:t>.</w:t>
      </w:r>
    </w:p>
    <w:p>
      <w:pPr>
        <w:spacing w:after="0" w:line="13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8"/>
          <w:szCs w:val="18"/>
          <w:color w:val="auto"/>
        </w:rPr>
        <w:t>Whether or not you plan to attend the Annual Meeting of Stockholders, we urge you to vote and submit your proxy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ensure the presence of a quorum.</w:t>
      </w:r>
    </w:p>
    <w:p>
      <w:pPr>
        <w:spacing w:after="0" w:line="12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Registered holders may vote </w:t>
      </w:r>
      <w:r>
        <w:rPr>
          <w:rFonts w:ascii="Arial" w:cs="Arial" w:eastAsia="Arial" w:hAnsi="Arial"/>
          <w:sz w:val="18"/>
          <w:szCs w:val="18"/>
          <w:color w:val="auto"/>
        </w:rPr>
        <w:t>by mail (if you received a paper copy of the Proxy Materials by mail): mark, sign, date and promptly mail the enclosed Proxy Card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postage-paid envelope.</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Beneficial Stockholders may vote </w:t>
      </w:r>
      <w:r>
        <w:rPr>
          <w:rFonts w:ascii="Arial" w:cs="Arial" w:eastAsia="Arial" w:hAnsi="Arial"/>
          <w:sz w:val="18"/>
          <w:szCs w:val="18"/>
          <w:color w:val="auto"/>
        </w:rPr>
        <w:t>if your shares are held in the name of a broker, bank or other holder of record, follow the voting instructions you receive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 of record to vote your shares.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Any Proxy may be revoked at any time prior to its exercise at the Annual Meeting of Stockholders.</w:t>
      </w:r>
    </w:p>
    <w:p>
      <w:pPr>
        <w:spacing w:after="0" w:line="21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1303655"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617220"/>
                    </a:xfrm>
                    <a:prstGeom prst="rect">
                      <a:avLst/>
                    </a:prstGeom>
                    <a:noFill/>
                  </pic:spPr>
                </pic:pic>
              </a:graphicData>
            </a:graphic>
          </wp:anchor>
        </w:drawing>
      </w:r>
    </w:p>
    <w:p>
      <w:pPr>
        <w:sectPr>
          <w:pgSz w:w="11900" w:h="16838" w:orient="portrait"/>
          <w:cols w:equalWidth="0" w:num="1">
            <w:col w:w="11340"/>
          </w:cols>
          <w:pgMar w:left="240" w:top="26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April</w:t>
        <w:tab/>
        <w:t>, 2011</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Newton, Massachusetts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Peter G. Traber, M.D.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President</w:t>
      </w:r>
    </w:p>
    <w:p>
      <w:pPr>
        <w:sectPr>
          <w:pgSz w:w="11900" w:h="16838" w:orient="portrait"/>
          <w:cols w:equalWidth="0" w:num="2">
            <w:col w:w="5340" w:space="720"/>
            <w:col w:w="5280"/>
          </w:cols>
          <w:pgMar w:left="240" w:top="261" w:right="319" w:bottom="1440" w:gutter="0" w:footer="0" w:header="0"/>
          <w:type w:val="continuous"/>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PRO-PHARMACEUTICALS,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NEWTON, MASSACHUSETTS 02459</w:t>
      </w:r>
    </w:p>
    <w:p>
      <w:pPr>
        <w:spacing w:after="0" w:line="1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2011 ANNUAL MEETING OF STOCKHOLDERS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MAY 26, 2011</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Proxy Statement is being provided to you by Pro-Pharmaceuticals’ Board of Directors in connection with our 2011 Annual Meeting of Stockholders. The Annual Meeting will be held at 9:00 a.m. on Thursday, May 26, 2011 at the Company’s office, 7 Wells Avenue, Suite 34, Newton, Massachusetts 02459, for the purposes set forth in the accompanying Notice of 2011 Annual Meeting of Stockholders and this Proxy Statement. We expect to mail this information to stockholders entitled to vote at the Annual Meeting on or about April 15, 2011.</w:t>
      </w:r>
    </w:p>
    <w:p>
      <w:pPr>
        <w:spacing w:after="0" w:line="29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PURPOSE OF MEETING</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stockholders will be asked to consider and act upon:</w:t>
      </w:r>
    </w:p>
    <w:p>
      <w:pPr>
        <w:spacing w:after="0" w:line="9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elect seven member of the Board of Directors to one-year terms;</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approve an amendment of our 2009 Incentive Compensation Plan to increase the number of shares of common stock that may be awarded under this Plan to 20,000,000;</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amend our Articles of Incorporation to permit our Board of Directors to have up to eleven members;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amend our Articles of Incorporation to authorize our Board of Directors to change the name of the Company;</w:t>
      </w:r>
    </w:p>
    <w:p>
      <w:pPr>
        <w:spacing w:after="0" w:line="9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ratify the appointment of McGladrey &amp; Pullen, LLP, as our independent registered public accounting firm to audit the financial statements for our 2011 fiscal year;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other business as may properly come before the Annual Meeting.</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Board of Directors knows of no other business to be presented for consideration at the Annual Meeting. Each proposal is described in more detail in this Proxy Statement.</w:t>
      </w:r>
    </w:p>
    <w:p>
      <w:pPr>
        <w:spacing w:after="0" w:line="288"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INFORMATION ABOUT THE ANNUAL MEETING, PROXIES AND VOTING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annual meeting, stockholders, whom we also refer to as shareholders in this Proxy Statement, will consider and vote on the following matters:</w:t>
      </w:r>
    </w:p>
    <w:p>
      <w:pPr>
        <w:spacing w:after="0" w:line="113"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the seven nominees named in this Proxy Statement to our Board of Directors, each for a term of one year.</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of an amendment of our 2009 Incentive Compensation Plan to increase the number of shares of common stock that may be awarded under this Plan to 20,000,000.</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amendment of our Articles of Incorporation to permit our Board of Directors to have up to eleven members.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amendment of our Articles of Incorporation to authorize our Board of Directors to change the name of the Company.</w:t>
      </w:r>
    </w:p>
    <w:p>
      <w:pPr>
        <w:spacing w:after="0" w:line="9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ratification of the selection of McGladrey &amp; Pullen LLP, as our independent registered public accounting firm for the fiscal year ending December 31,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274"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can vote?</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To be able to vote, you must have been a Pro-Pharmaceuticals shareholder of record at the close of business on March 31, 2011. This date is the Record Date for the annual meeting.</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Shareholders of record who own our voting securities at the close of business on March 31, 2011 are entitled to vote on each proposal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Each share of our common stock that you own on the Record Date entitles you to one vote on each matter that is voted on. Each share of our Series A 12% Convertible Preferred Stock entitles you to one vote on each matter that is voted on that is submitted to a vote of holders of our common stock. Each share of our Series B-1 Convertible Preferred Stock and Series B-2 Convertible Preferred Stock entitles you to four votes on each matter that is submitted to a vote of holders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important?</w:t>
      </w:r>
    </w:p>
    <w:p>
      <w:pPr>
        <w:spacing w:after="0" w:line="96"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Your vote is important no matter how many shares you own. Please take the time to vote. Take a moment to read the instructions below. Choose the way to vote that is easiest and most convenient for you and cast your vote as soon as possible.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in one of three ways.</w:t>
      </w:r>
    </w:p>
    <w:p>
      <w:pPr>
        <w:spacing w:after="0" w:line="51" w:lineRule="exact"/>
        <w:rPr>
          <w:sz w:val="20"/>
          <w:szCs w:val="20"/>
          <w:color w:val="auto"/>
        </w:rPr>
      </w:pPr>
    </w:p>
    <w:p>
      <w:pPr>
        <w:ind w:left="900" w:right="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vote your shares by following the Internet instructions on the Notice of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of Proxy Materials.</w:t>
      </w:r>
    </w:p>
    <w:p>
      <w:pPr>
        <w:spacing w:after="0" w:line="50" w:lineRule="exact"/>
        <w:rPr>
          <w:rFonts w:ascii="Arial" w:cs="Arial" w:eastAsia="Arial" w:hAnsi="Arial"/>
          <w:sz w:val="18"/>
          <w:szCs w:val="18"/>
          <w:color w:val="auto"/>
        </w:rPr>
      </w:pPr>
    </w:p>
    <w:p>
      <w:pPr>
        <w:ind w:left="900" w:hanging="446"/>
        <w:spacing w:after="0" w:line="323"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You may vote by mail. </w:t>
      </w:r>
      <w:r>
        <w:rPr>
          <w:rFonts w:ascii="Arial" w:cs="Arial" w:eastAsia="Arial" w:hAnsi="Arial"/>
          <w:sz w:val="15"/>
          <w:szCs w:val="15"/>
          <w:color w:val="auto"/>
        </w:rPr>
        <w:t>You may vote by completing and signing the Proxy Card enclosed with this Proxy Statement and promptly mailing it in the</w:t>
      </w:r>
      <w:r>
        <w:rPr>
          <w:rFonts w:ascii="Arial" w:cs="Arial" w:eastAsia="Arial" w:hAnsi="Arial"/>
          <w:sz w:val="15"/>
          <w:szCs w:val="15"/>
          <w:i w:val="1"/>
          <w:iCs w:val="1"/>
          <w:color w:val="auto"/>
        </w:rPr>
        <w:t xml:space="preserve"> </w:t>
      </w:r>
      <w:r>
        <w:rPr>
          <w:rFonts w:ascii="Arial" w:cs="Arial" w:eastAsia="Arial" w:hAnsi="Arial"/>
          <w:sz w:val="15"/>
          <w:szCs w:val="15"/>
          <w:color w:val="auto"/>
        </w:rPr>
        <w:t>enclosed postage-prepaid envelope. You do not need to put a stamp on the enclosed envelope if you mail it in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16" w:lineRule="exact"/>
        <w:rPr>
          <w:rFonts w:ascii="Arial" w:cs="Arial" w:eastAsia="Arial" w:hAnsi="Arial"/>
          <w:sz w:val="15"/>
          <w:szCs w:val="15"/>
          <w:color w:val="auto"/>
        </w:rPr>
      </w:pPr>
    </w:p>
    <w:p>
      <w:pPr>
        <w:ind w:left="900" w:right="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in person. </w:t>
      </w:r>
      <w:r>
        <w:rPr>
          <w:rFonts w:ascii="Arial" w:cs="Arial" w:eastAsia="Arial" w:hAnsi="Arial"/>
          <w:sz w:val="18"/>
          <w:szCs w:val="18"/>
          <w:color w:val="auto"/>
        </w:rPr>
        <w:t>If you attend the meeting, you may vote by delivering your completed Proxy Card in person or you may vote by completing</w:t>
      </w:r>
      <w:r>
        <w:rPr>
          <w:rFonts w:ascii="Arial" w:cs="Arial" w:eastAsia="Arial" w:hAnsi="Arial"/>
          <w:sz w:val="18"/>
          <w:szCs w:val="18"/>
          <w:i w:val="1"/>
          <w:iCs w:val="1"/>
          <w:color w:val="auto"/>
        </w:rPr>
        <w:t xml:space="preserve"> </w:t>
      </w:r>
      <w:r>
        <w:rPr>
          <w:rFonts w:ascii="Arial" w:cs="Arial" w:eastAsia="Arial" w:hAnsi="Arial"/>
          <w:sz w:val="18"/>
          <w:szCs w:val="18"/>
          <w:color w:val="auto"/>
        </w:rPr>
        <w:t>a ballot. Ballots will be available at the meeting.</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did I receive a notice in the mail regarding the Internet availability of proxy materials instead of a full set of printed proxy materials?</w:t>
      </w:r>
    </w:p>
    <w:p>
      <w:pPr>
        <w:spacing w:after="0" w:line="119"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Under rules recently approved by the Securities Exchange Commission (“SEC”), the Company is now furnishing proxy materials on the Internet in addition to mailing paper copies of the materials to each shareholder of record. Instructions on how to access and review the proxy materials on the Internet can be found on the Proxy Card sent to shareholders of record and on the Notice of Internet Availability of Proxy Materials (the “Notice”) sent to shareholders who hold their shares in “street name” (i.e. in the name of a broker, bank or other record holder). The Notice will also include instructions for shareholders who hold their shares in street name on how to access the Proxy Card to vote over the Internet. Voting over the Internet will not affect your right to vote in person if you decide to attend the Annual Meeting; however, if you wish to revoke your proxy, you must first notify the Corporate Secretary of your intent to vote in person, and vote your shares at the Annual Meeting.</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On or about April 15, 2011, we will send all stockholders of record as of March 31, 2011 a Notice instructing them as to how to receive their proxy materials via the Internet this year. The proxy materials will be available on the Internet as of April 15,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 I change my vote after I have mailed my Proxy Card or after I have voted my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Yes. You can change your vote and revoke your proxy at any time before the polls close at the meeting by doing any one of the following things:</w:t>
      </w:r>
    </w:p>
    <w:p>
      <w:pPr>
        <w:spacing w:after="0" w:line="113"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giving our Secretary a written notice before or at the meeting that you want to revoke your proxy;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If the shares you own are held in “street name” by a brokerage firm, your brokerage firm, as the record holder of your shares, is required to vote your shares according to your instructions. In order to vote your shares, you will need to follow the directions your brokerage firm provides you. Many brokers also offer the option of voting over the Internet or by telephone, instructions for which would be provided by your brokerage firm on your vote instruction form.</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Under the current rules, if you do not give instructions to your brokerage firm, it will still be able to vote your shares with respect to certain “discretionary” items, but will not be allowed to vote your shares with respect to certain “non-discretionary” items. Three proposals in this proxy statement are considered to be “discretionary” items and two are “non-discretionary”. The three “discretionary” items are: the amendment of our Articles of Incorporation to permit out Board of Directors to have up to eleven members (Proposal Three), the amendment to our Articles of Incorporation to authorize our Board of Directors to change the name of the Company (Proposal Four), and the ratification of McGladrey &amp; Pullen, LLP, as our independent registered public accounting firm (Proposal Five). With respect to “discretionary” items, your brokerage firm will be able to vote on these items even if it does not receive instructions from you, so long as it holds shares in your name. </w:t>
      </w:r>
      <w:r>
        <w:rPr>
          <w:rFonts w:ascii="Arial" w:cs="Arial" w:eastAsia="Arial" w:hAnsi="Arial"/>
          <w:sz w:val="16"/>
          <w:szCs w:val="16"/>
          <w:b w:val="1"/>
          <w:bCs w:val="1"/>
          <w:color w:val="auto"/>
        </w:rPr>
        <w:t>The two “non-discretionary” items are: the election of directors and the amendment to our 2009 Incentive Compensation Plan. If you do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not instruct your broker how to vote with respect to these proposals, your broker may not vote with respect to these proposals and those votes will be counted as “broker non-votes.” </w:t>
      </w:r>
      <w:r>
        <w:rPr>
          <w:rFonts w:ascii="Arial" w:cs="Arial" w:eastAsia="Arial" w:hAnsi="Arial"/>
          <w:sz w:val="16"/>
          <w:szCs w:val="16"/>
          <w:color w:val="auto"/>
        </w:rPr>
        <w:t>“Broker non-votes” are shares that are held in “street name” by a bank or brokerage firm that indicates on its proxy that it does</w:t>
      </w:r>
      <w:r>
        <w:rPr>
          <w:rFonts w:ascii="Arial" w:cs="Arial" w:eastAsia="Arial" w:hAnsi="Arial"/>
          <w:sz w:val="16"/>
          <w:szCs w:val="16"/>
          <w:b w:val="1"/>
          <w:bCs w:val="1"/>
          <w:color w:val="auto"/>
        </w:rPr>
        <w:t xml:space="preserve"> </w:t>
      </w:r>
      <w:r>
        <w:rPr>
          <w:rFonts w:ascii="Arial" w:cs="Arial" w:eastAsia="Arial" w:hAnsi="Arial"/>
          <w:sz w:val="16"/>
          <w:szCs w:val="16"/>
          <w:color w:val="auto"/>
        </w:rPr>
        <w:t>not have or did not exercise discretionary authority to vote on a particular matter.</w:t>
      </w:r>
    </w:p>
    <w:p>
      <w:pPr>
        <w:spacing w:after="0" w:line="12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If your shares are held in street name, you must bring an account statement or letter from your bank or brokerage firm showing that you are the beneficial owner of the shares as of the record date (March 31, 2011) in order to be admitted to the meeting on May 26, 2011. To be able to vote your shares held in street name at the meeting, you will need to obtain a Proxy Card from the holder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 not mark the boxes on my Proxy Card?</w:t>
      </w:r>
    </w:p>
    <w:p>
      <w:pPr>
        <w:spacing w:after="0" w:line="84"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Any Proxy Card returned without directions given will be voted (1) “</w:t>
      </w:r>
      <w:r>
        <w:rPr>
          <w:rFonts w:ascii="Arial" w:cs="Arial" w:eastAsia="Arial" w:hAnsi="Arial"/>
          <w:sz w:val="16"/>
          <w:szCs w:val="16"/>
          <w:b w:val="1"/>
          <w:bCs w:val="1"/>
          <w:color w:val="auto"/>
        </w:rPr>
        <w:t>FOR</w:t>
      </w:r>
      <w:r>
        <w:rPr>
          <w:rFonts w:ascii="Arial" w:cs="Arial" w:eastAsia="Arial" w:hAnsi="Arial"/>
          <w:sz w:val="16"/>
          <w:szCs w:val="16"/>
          <w:color w:val="auto"/>
        </w:rPr>
        <w:t>” the election of directors presented in this Proxy Statement to the Board of Directors, (2) “</w:t>
      </w:r>
      <w:r>
        <w:rPr>
          <w:rFonts w:ascii="Arial" w:cs="Arial" w:eastAsia="Arial" w:hAnsi="Arial"/>
          <w:sz w:val="16"/>
          <w:szCs w:val="16"/>
          <w:b w:val="1"/>
          <w:bCs w:val="1"/>
          <w:color w:val="auto"/>
        </w:rPr>
        <w:t>FOR</w:t>
      </w:r>
      <w:r>
        <w:rPr>
          <w:rFonts w:ascii="Arial" w:cs="Arial" w:eastAsia="Arial" w:hAnsi="Arial"/>
          <w:sz w:val="16"/>
          <w:szCs w:val="16"/>
          <w:color w:val="auto"/>
        </w:rPr>
        <w:t>” the amendment of our 2009 Incentive Compensation Plan to increase the shares that may be subject to awards thereunder to twenty million (20,000,000), (3) “</w:t>
      </w:r>
      <w:r>
        <w:rPr>
          <w:rFonts w:ascii="Arial" w:cs="Arial" w:eastAsia="Arial" w:hAnsi="Arial"/>
          <w:sz w:val="16"/>
          <w:szCs w:val="16"/>
          <w:b w:val="1"/>
          <w:bCs w:val="1"/>
          <w:color w:val="auto"/>
        </w:rPr>
        <w:t>FOR</w:t>
      </w:r>
      <w:r>
        <w:rPr>
          <w:rFonts w:ascii="Arial" w:cs="Arial" w:eastAsia="Arial" w:hAnsi="Arial"/>
          <w:sz w:val="16"/>
          <w:szCs w:val="16"/>
          <w:color w:val="auto"/>
        </w:rPr>
        <w:t>” the amendment of the Articles of Incorporation to permit the Board of Directors to have up to eleven members, (4) “</w:t>
      </w:r>
      <w:r>
        <w:rPr>
          <w:rFonts w:ascii="Arial" w:cs="Arial" w:eastAsia="Arial" w:hAnsi="Arial"/>
          <w:sz w:val="16"/>
          <w:szCs w:val="16"/>
          <w:b w:val="1"/>
          <w:bCs w:val="1"/>
          <w:color w:val="auto"/>
        </w:rPr>
        <w:t>FOR</w:t>
      </w:r>
      <w:r>
        <w:rPr>
          <w:rFonts w:ascii="Arial" w:cs="Arial" w:eastAsia="Arial" w:hAnsi="Arial"/>
          <w:sz w:val="16"/>
          <w:szCs w:val="16"/>
          <w:color w:val="auto"/>
        </w:rPr>
        <w:t>” the amendment of the Articles of Incorporation to authorize the Board of Directors to change the name of the Company, (5)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McGladrey &amp; Pullen, LLP as our independent registered public accounting firm to audit the financial statements for our 2011 fiscal year, and</w:t>
      </w:r>
    </w:p>
    <w:p>
      <w:pPr>
        <w:ind w:left="5680" w:right="940" w:hanging="5672"/>
        <w:spacing w:after="0" w:line="433" w:lineRule="auto"/>
        <w:tabs>
          <w:tab w:leader="none" w:pos="2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to any other business that may come before the Annual Meeting, in accordance with the judgment of the person or persons named in the proxy. 3</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pays for the solicitation of Proxies?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2011 Annual Meeting?</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Stockholders of record at the close of business on March 31, 2011, which we refer to herein as the Record Date, will be entitled to notice of the Annual Meeting and to vote at the Annual Meeting. Our voting stock is comprised of:</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common stock, of which 68,537,072 shares were issued and outstanding as of the Record Date;</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Series A 12% Convertible Preferred Stock (which we refer to as our Series A preferred stock and which votes in accordance with the formula set forth in the Certificate of Designation of Preferences, Rights and Limitations of the Series A 12% Convertible Preferred Stock). As of the Record Date, 1,592,500 shares of Series A preferred stock were issued and outstanding; and</w:t>
      </w:r>
    </w:p>
    <w:p>
      <w:pPr>
        <w:spacing w:after="0" w:line="59" w:lineRule="exact"/>
        <w:rPr>
          <w:rFonts w:ascii="Arial" w:cs="Arial" w:eastAsia="Arial" w:hAnsi="Arial"/>
          <w:sz w:val="18"/>
          <w:szCs w:val="18"/>
          <w:color w:val="auto"/>
        </w:rPr>
      </w:pPr>
    </w:p>
    <w:p>
      <w:pPr>
        <w:ind w:left="900" w:right="100" w:hanging="325"/>
        <w:spacing w:after="0" w:line="29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Series B-1 Convertible Preferred Stock and Series B-2 Convertible Preferred Stock (which we refer to respectively as Series B-1 preferred stock and Series B-2 preferred stock and both series together as Series B preferred stock), both of which series vote in accordance with the formula set forth in the Certificate of Designation of Preferences, Rights and Limitations of the Series B-1 Convertible Preferred Stock and Series B-2 Convertible Preferred Stock, which we refer to as the Series B Designation Certificate). As of the Record Date, 900,000 shares of Series B-1 preferred stock, and 2,100,000 shares of Series B-2 preferred stock, were issued and outstanding.</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shares of Series A preferred stock vote on an as-converted basis with the shares of our common stock as a single class and, as of the Record Date, are each entitled to one vote, for a total of 1,592,500 votes. The shares of Series B preferred stock vote on an as-converted basis with the shares of our common stock as a single class and, as of the Record Date, are each entitled to four votes, resulting in a total of 3,600,000 votes in respect of the shares of Series B-1 preferred stock and 8,400,000 votes in respect of the shares of Series B-2 preferred stock. No class or series of our issued and outstanding capital stock is entitled to cumulative voting. The shares of our Series C Super Dividend Convertible Preferred Stock (which we refer to as our Series C preferred stock) do not have voting rights prior to conversion to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a Quorum and Votes Required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order for business to be conducted at the meeting, a quorum must be present in person or represented by valid proxies. For each of the proposals to be presented at the meeting, a quorum consists of the holders of one-third of the shares of stock issued and outstanding on March 31, 2011, the Record Date, or at least 27,376,524 voting shares. Shares of stock represented in person or by proxy (including “broker non-votes” and shares that abstain or do not vote with respect to a particular proposal to be voted upon) will be counted for the purpose of determining whether a quorum exists at the meeting for that proposal. If a quorum is not present, the meeting will be adjourned until a quorum is obtained.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item?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Under our bylaws, a nominee will be elected to the Board of Directors if the votes cast “for” the nominee’s election exceed the votes</w:t>
      </w:r>
      <w:r>
        <w:rPr>
          <w:rFonts w:ascii="Arial" w:cs="Arial" w:eastAsia="Arial" w:hAnsi="Arial"/>
          <w:sz w:val="18"/>
          <w:szCs w:val="18"/>
          <w:i w:val="1"/>
          <w:iCs w:val="1"/>
          <w:color w:val="auto"/>
        </w:rPr>
        <w:t xml:space="preserve"> </w:t>
      </w:r>
      <w:r>
        <w:rPr>
          <w:rFonts w:ascii="Arial" w:cs="Arial" w:eastAsia="Arial" w:hAnsi="Arial"/>
          <w:sz w:val="18"/>
          <w:szCs w:val="18"/>
          <w:color w:val="auto"/>
        </w:rPr>
        <w:t>cast “against” the nominee’s election, with abstentions and “broker non-votes” not counting as votes “for” or “against.” If the shares you own are held in “street name” by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brokerage firm, your brokerage firm, as the record holder of your shares, is required to vote your shares according to your instructions. Two directors, whom we refer to as Series B directors, are nominated and elected by the holder(s) of the Series B preferred stock voting as a separate class.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Amendment of the 2009 Incentive Compensation Plan. </w:t>
      </w:r>
      <w:r>
        <w:rPr>
          <w:rFonts w:ascii="Arial" w:cs="Arial" w:eastAsia="Arial" w:hAnsi="Arial"/>
          <w:sz w:val="18"/>
          <w:szCs w:val="18"/>
          <w:color w:val="auto"/>
        </w:rPr>
        <w:t>Under our bylaws, the number of shares subject to the 2009 Incentive Compensation Plan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to 20,000,000 if the votes cast “for” the amendment exceed the votes cast “against” the amendment, with abstentions and “broker non-votes” not counting as votes “for” or “against.” If the shares you own are held in “street name” by a brokerage firm, your brokerage firm, as the record holder of your shares, is required to vote your shares according to your instructions.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Amendment of the Articles of Incorporation to Permit the Board of Directors to Have as Many as Eleven Members. </w:t>
      </w:r>
      <w:r>
        <w:rPr>
          <w:rFonts w:ascii="Arial" w:cs="Arial" w:eastAsia="Arial" w:hAnsi="Arial"/>
          <w:sz w:val="18"/>
          <w:szCs w:val="18"/>
          <w:color w:val="auto"/>
        </w:rPr>
        <w:t>Under Nevada law, the affirmative vote</w:t>
      </w:r>
      <w:r>
        <w:rPr>
          <w:rFonts w:ascii="Arial" w:cs="Arial" w:eastAsia="Arial" w:hAnsi="Arial"/>
          <w:sz w:val="18"/>
          <w:szCs w:val="18"/>
          <w:i w:val="1"/>
          <w:iCs w:val="1"/>
          <w:color w:val="auto"/>
        </w:rPr>
        <w:t xml:space="preserve"> </w:t>
      </w:r>
      <w:r>
        <w:rPr>
          <w:rFonts w:ascii="Arial" w:cs="Arial" w:eastAsia="Arial" w:hAnsi="Arial"/>
          <w:sz w:val="18"/>
          <w:szCs w:val="18"/>
          <w:color w:val="auto"/>
        </w:rPr>
        <w:t>of at least a majority of all shares outstanding that are entitled to vote is required to amend our Articles of Incorporation to permit the Board of Directors to have as many as eleven members.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Amendment of the Articles of Incorporation to Authorize the Directors to Change the Name of the Corporation. </w:t>
      </w:r>
      <w:r>
        <w:rPr>
          <w:rFonts w:ascii="Arial" w:cs="Arial" w:eastAsia="Arial" w:hAnsi="Arial"/>
          <w:sz w:val="18"/>
          <w:szCs w:val="18"/>
          <w:color w:val="auto"/>
        </w:rPr>
        <w:t>Under Nevada law, the affirmative vote of</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a majority of all shares outstanding that are entitled to vote is required to amend our Articles of Incorporation to authorize our Board of Directors to change the name of the Company.</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Ratification of independent registered public accounting firm. </w:t>
      </w:r>
      <w:r>
        <w:rPr>
          <w:rFonts w:ascii="Arial" w:cs="Arial" w:eastAsia="Arial" w:hAnsi="Arial"/>
          <w:sz w:val="18"/>
          <w:szCs w:val="18"/>
          <w:color w:val="auto"/>
        </w:rPr>
        <w:t>Under our bylaws, the affirmative vote of a majority of the total number of votes cast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is needed to ratify the selection of McGladrey &amp; Pullen, LLP, as our independent registered public accounting firm.</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you do not instruct your broker how to vote with respect to the election of directors, your broker may not vote with respect to this proposal. If an uncontested incumbent director nominee receives a majority of votes “against” his election, the director must tender a resignation from the Board. The Board will then decide whether to accept the resignation within 90 days following certification of the shareholder vote (based on the recommendation of a committee of independent directors). We will publicly disclose the Board’s decision and its reasoning with regard to the offered resignation.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votes be counted?</w:t>
      </w:r>
    </w:p>
    <w:p>
      <w:pPr>
        <w:spacing w:after="0" w:line="9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Each share of common stock and Series A preferred stock will be counted as one vote and each share of Series B preferred stock will be counted as four votes in accordance with the instructions contained on a proper Proxy Card, whether submitted in person, by mail, over the Internet, or on a ballot voted in person at the meeting. With respect to all proposals, shares will not be voted in favor of the matter, and will not be counted as voting on the matter, if they either</w:t>
      </w:r>
    </w:p>
    <w:p>
      <w:pPr>
        <w:spacing w:after="0" w:line="1" w:lineRule="exact"/>
        <w:rPr>
          <w:sz w:val="20"/>
          <w:szCs w:val="20"/>
          <w:color w:val="auto"/>
        </w:rPr>
      </w:pPr>
    </w:p>
    <w:p>
      <w:pPr>
        <w:ind w:right="140" w:firstLine="8"/>
        <w:spacing w:after="0" w:line="254"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abstain from voting on a particular matter, or (2) are broker non-votes. Brokers who do not receive instructions on the election of a director nominee will not be allowed to vote these shares, and all such shares will be “broker non-votes” rather than votes “for” or “against.” Accordingly, assuming the presence of a quorum, abstentions and broker non-votes for a particular director nominee will not be counted as votes to determine the outcome of the election of directors or the ratification of our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votes will be counted, tabulated and certified by Continental Stock Transfer and Trust Company, our stock transfer agent.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vote be kept confidential?</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 w:name="page10"/>
    <w:bookmarkEnd w:id="9"/>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(2) there is a contested election for the Board of Directors. The Inspector of Elections will forward any written comments that you make on the Proxy Card to management without providing your name, unless you expressly request disclosure on your Proxy Card.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that you vote: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seven nominees to serve as directors on the Board of Directors, each for a term of one year.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amendment to our 2009 Incentive Compensation Plan to increase the number of shares that may be granted under the Plan to 20,000,000.</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amendment to our Articles of Incorporation to permit our Board of Directors to have up to eleven members.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amendment of our Articles of Incorporation to authorize our Board of Directors change the name of the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McGladrey &amp; Pullen, LLP, as our independent registered public accounting firm for the 2011 fiscal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report the voting results on Form 8-K within four business days after the end of our Annual Stockholder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an Annual Report on Form 10-K?</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Annual Report on Form 10-K for the fiscal year ended December 31, 2010 is available on our website at www.pro-pharmaceuticals.com. If you would like a copy of our Annual Report on Form 10-K or any of its exhibits, we will send you one without charge. Please contact: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Pro-Pharmaceuticals,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Wells Avenue, Suite 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Newton, MA 02459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617-559-0033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info@pro-pharmaceuticals.com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have any questions about the Annual Meeting of Stockholders or your ownership of our common stock, please contact Maureen Foley, our Corporate Secretary and Chief Operating Officer, at the address, telephone number or email address listed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17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following table sets forth, as of March 15, 2011, certain information concerning the beneficial ownership of our common stock, our Series A preferred stock and our Series B preferred stock by (i) each person known by us to own beneficially five per cent (5%) or more of the outstanding shares of each class,</w:t>
      </w:r>
    </w:p>
    <w:p>
      <w:pPr>
        <w:jc w:val="both"/>
        <w:ind w:right="80" w:firstLine="8"/>
        <w:spacing w:after="0" w:line="255" w:lineRule="auto"/>
        <w:tabs>
          <w:tab w:leader="none" w:pos="2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 (iii) all of our executive officers and directors as a group. The table also sets forth, in its final column, the combined voting power of the voting securities on all matters presented to the stockholders for their approval at the Annual Meeting, except for such separate class votes as are required by law.</w:t>
      </w:r>
    </w:p>
    <w:p>
      <w:pPr>
        <w:spacing w:after="0" w:line="14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March 15, 2011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1"/>
              </w:rPr>
              <w:t>Shares of</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Shares of</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1"/>
              </w:rPr>
              <w:t>Shares of</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Series A</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Common</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Preferred</w:t>
            </w: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3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Percent of</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Stock</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6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Stock</w:t>
            </w: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Series A</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Series B</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Common</w:t>
            </w:r>
          </w:p>
        </w:tc>
        <w:tc>
          <w:tcPr>
            <w:tcW w:w="14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Preferred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3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Preferred</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61"/>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Name and Address(1)</w:t>
            </w: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Owned(2)</w:t>
            </w: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Stock(3)</w:t>
            </w:r>
          </w:p>
        </w:tc>
        <w:tc>
          <w:tcPr>
            <w:tcW w:w="16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Owned</w:t>
            </w: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Stock(4)</w:t>
            </w:r>
          </w:p>
        </w:tc>
        <w:tc>
          <w:tcPr>
            <w:tcW w:w="760" w:type="dxa"/>
            <w:vAlign w:val="bottom"/>
          </w:tcPr>
          <w:p>
            <w:pPr>
              <w:jc w:val="right"/>
              <w:ind w:right="22"/>
              <w:spacing w:after="0"/>
              <w:rPr>
                <w:sz w:val="20"/>
                <w:szCs w:val="20"/>
                <w:color w:val="auto"/>
              </w:rPr>
            </w:pPr>
            <w:r>
              <w:rPr>
                <w:rFonts w:ascii="Arial" w:cs="Arial" w:eastAsia="Arial" w:hAnsi="Arial"/>
                <w:sz w:val="14"/>
                <w:szCs w:val="14"/>
                <w:b w:val="1"/>
                <w:bCs w:val="1"/>
                <w:color w:val="auto"/>
              </w:rPr>
              <w:t>Owned(5)</w:t>
            </w:r>
          </w:p>
        </w:tc>
        <w:tc>
          <w:tcPr>
            <w:tcW w:w="38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Stock</w:t>
            </w: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Securities(6)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9"/>
              </w:rPr>
              <w:t>5% Stockholders</w:t>
            </w:r>
          </w:p>
        </w:tc>
        <w:tc>
          <w:tcPr>
            <w:tcW w:w="18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56,384,916(7)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9"/>
                <w:szCs w:val="19"/>
                <w:color w:val="auto"/>
              </w:rPr>
            </w:pP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3,000,000</w:t>
            </w:r>
          </w:p>
        </w:tc>
        <w:tc>
          <w:tcPr>
            <w:tcW w:w="1460" w:type="dxa"/>
            <w:vAlign w:val="bottom"/>
            <w:gridSpan w:val="3"/>
          </w:tcPr>
          <w:p>
            <w:pPr>
              <w:ind w:left="72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 Fund, L.P.,</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50,101,748(9)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3,000,000</w:t>
            </w:r>
          </w:p>
        </w:tc>
        <w:tc>
          <w:tcPr>
            <w:tcW w:w="14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 10X Capital Management, LLC</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1099 Forest Lake Terrace</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Niceville, FL 32578</w:t>
            </w:r>
          </w:p>
        </w:tc>
        <w:tc>
          <w:tcPr>
            <w:tcW w:w="8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3160" w:type="dxa"/>
            <w:vAlign w:val="bottom"/>
            <w:gridSpan w:val="3"/>
          </w:tcPr>
          <w:p>
            <w:pPr>
              <w:spacing w:after="0"/>
              <w:rPr>
                <w:sz w:val="20"/>
                <w:szCs w:val="20"/>
                <w:color w:val="auto"/>
              </w:rPr>
            </w:pPr>
            <w:r>
              <w:rPr>
                <w:rFonts w:ascii="Arial" w:cs="Arial" w:eastAsia="Arial" w:hAnsi="Arial"/>
                <w:sz w:val="18"/>
                <w:szCs w:val="18"/>
                <w:color w:val="auto"/>
              </w:rPr>
              <w:t>Rod D. Martin, J.D.</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51,120,674(10)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24"/>
                <w:szCs w:val="24"/>
                <w:color w:val="auto"/>
              </w:rPr>
            </w:pP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3,000,000</w:t>
            </w:r>
          </w:p>
        </w:tc>
        <w:tc>
          <w:tcPr>
            <w:tcW w:w="1460" w:type="dxa"/>
            <w:vAlign w:val="bottom"/>
            <w:gridSpan w:val="3"/>
          </w:tcPr>
          <w:p>
            <w:pPr>
              <w:ind w:left="72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3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 Trust,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340,700(14)</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6"/>
              </w:rPr>
              <w:t>100,000</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 James C. Czirr</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425 Janish Drive, Sandpoint, ID</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83864</w:t>
            </w:r>
          </w:p>
        </w:tc>
        <w:tc>
          <w:tcPr>
            <w:tcW w:w="18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160" w:type="dxa"/>
            <w:vAlign w:val="bottom"/>
            <w:gridSpan w:val="3"/>
          </w:tcPr>
          <w:p>
            <w:pPr>
              <w:spacing w:after="0"/>
              <w:rPr>
                <w:sz w:val="20"/>
                <w:szCs w:val="20"/>
                <w:color w:val="auto"/>
              </w:rPr>
            </w:pPr>
            <w:r>
              <w:rPr>
                <w:rFonts w:ascii="Arial" w:cs="Arial" w:eastAsia="Arial" w:hAnsi="Arial"/>
                <w:sz w:val="18"/>
                <w:szCs w:val="18"/>
                <w:color w:val="auto"/>
              </w:rPr>
              <w:t>David Smith</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w w:val="86"/>
              </w:rPr>
              <w:t>175,000</w:t>
            </w:r>
          </w:p>
        </w:tc>
        <w:tc>
          <w:tcPr>
            <w:tcW w:w="62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11.0%</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8"/>
                <w:szCs w:val="18"/>
                <w:color w:val="auto"/>
                <w:w w:val="98"/>
              </w:rPr>
              <w:t>34 Shorehaven Road E. Norwalk, CT</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06855</w:t>
            </w:r>
          </w:p>
        </w:tc>
        <w:tc>
          <w:tcPr>
            <w:tcW w:w="1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3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Fivex LLC</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100,000(13)</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 David Smith 34 Shorehaven</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Road E. Norwalk, CT 06855</w:t>
            </w:r>
          </w:p>
        </w:tc>
        <w:tc>
          <w:tcPr>
            <w:tcW w:w="8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gridSpan w:val="2"/>
          </w:tcPr>
          <w:p>
            <w:pPr>
              <w:jc w:val="right"/>
              <w:ind w:right="525"/>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Shares of</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Shares of</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Shares of</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Series B</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Common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38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Preferred</w:t>
            </w: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Percent of</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8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Series A</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Series B</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Common</w:t>
            </w:r>
          </w:p>
        </w:tc>
        <w:tc>
          <w:tcPr>
            <w:tcW w:w="860" w:type="dxa"/>
            <w:vAlign w:val="bottom"/>
            <w:gridSpan w:val="2"/>
          </w:tcPr>
          <w:p>
            <w:pPr>
              <w:jc w:val="center"/>
              <w:ind w:left="99"/>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38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Preferred</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Preferred</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61"/>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Address(1)</w:t>
            </w: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Owned(2)</w:t>
            </w: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Stock(3)</w:t>
            </w:r>
          </w:p>
        </w:tc>
        <w:tc>
          <w:tcPr>
            <w:tcW w:w="1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Owned</w:t>
            </w:r>
          </w:p>
        </w:tc>
        <w:tc>
          <w:tcPr>
            <w:tcW w:w="380" w:type="dxa"/>
            <w:vAlign w:val="bottom"/>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Stock(4)</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Owned(5)</w:t>
            </w: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Stock</w:t>
            </w: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Securities(6)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Directors and Named Executive Officers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Gilbert F. Amelio, Ph.D.</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507,500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56,384,916(7)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3,000,000</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Rod D. Martin, J.D.</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51,120,674(10)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44.0%</w:t>
            </w:r>
          </w:p>
        </w:tc>
        <w:tc>
          <w:tcPr>
            <w:tcW w:w="1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3,000,000</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 Greenberg</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500,000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S. Colin Neill</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511,500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522,250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Jerald K. Rome</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713,844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1,400,000(11)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Paul Pressler</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27,000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D. Zucconi, Ph.D.</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1,796,343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Eliezer Zomer, Ph.D.</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1,045,000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D. Squeglia</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795,000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Maureen Foley</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1,375,000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8"/>
              </w:rPr>
              <w:t>All executive officers and directors as a</w:t>
            </w: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group (12 persons)</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66,597,279(12)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3,000,000</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72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otherwise indicated in the table, the address for each named person is c/o Pro-Pharmaceuticals, Inc., 7 Wells Avenue, Suite 34, Newton, Massachusetts 02459.</w:t>
      </w:r>
    </w:p>
    <w:p>
      <w:pPr>
        <w:ind w:left="460" w:right="10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the following number of shares of our common stock issuable upon exercise of outstanding stock options granted to our named executive officers and directors that are exercisable within 60 days after March 15, 2011,</w:t>
      </w:r>
    </w:p>
    <w:p>
      <w:pPr>
        <w:spacing w:after="0" w:line="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gridSpan w:val="3"/>
          </w:tcPr>
          <w:p>
            <w:pPr>
              <w:spacing w:after="0"/>
              <w:rPr>
                <w:sz w:val="20"/>
                <w:szCs w:val="20"/>
                <w:color w:val="auto"/>
              </w:rPr>
            </w:pPr>
            <w:r>
              <w:rPr>
                <w:rFonts w:ascii="Arial" w:cs="Arial" w:eastAsia="Arial" w:hAnsi="Arial"/>
                <w:sz w:val="14"/>
                <w:szCs w:val="14"/>
                <w:b w:val="1"/>
                <w:bCs w:val="1"/>
                <w:color w:val="auto"/>
              </w:rPr>
              <w:t>Directors and Named Executive Officers</w:t>
            </w:r>
          </w:p>
        </w:tc>
        <w:tc>
          <w:tcPr>
            <w:tcW w:w="2180" w:type="dxa"/>
            <w:vAlign w:val="bottom"/>
            <w:gridSpan w:val="2"/>
          </w:tcPr>
          <w:p>
            <w:pPr>
              <w:spacing w:after="0"/>
              <w:rPr>
                <w:sz w:val="20"/>
                <w:szCs w:val="20"/>
                <w:color w:val="auto"/>
              </w:rPr>
            </w:pPr>
            <w:r>
              <w:rPr>
                <w:rFonts w:ascii="Arial" w:cs="Arial" w:eastAsia="Arial" w:hAnsi="Arial"/>
                <w:sz w:val="14"/>
                <w:szCs w:val="14"/>
                <w:b w:val="1"/>
                <w:bCs w:val="1"/>
                <w:color w:val="auto"/>
                <w:w w:val="90"/>
              </w:rPr>
              <w:t>Options Exercisable Within 60 Days</w:t>
            </w:r>
          </w:p>
        </w:tc>
      </w:tr>
      <w:tr>
        <w:trPr>
          <w:trHeight w:val="210"/>
        </w:trPr>
        <w:tc>
          <w:tcPr>
            <w:tcW w:w="20" w:type="dxa"/>
            <w:vAlign w:val="bottom"/>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Czirr</w:t>
            </w:r>
          </w:p>
        </w:tc>
        <w:tc>
          <w:tcPr>
            <w:tcW w:w="5820" w:type="dxa"/>
            <w:vAlign w:val="bottom"/>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Mr. Martin</w:t>
            </w:r>
          </w:p>
        </w:tc>
        <w:tc>
          <w:tcPr>
            <w:tcW w:w="208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Neill</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Mr. Prelack</w:t>
            </w:r>
          </w:p>
        </w:tc>
        <w:tc>
          <w:tcPr>
            <w:tcW w:w="2080" w:type="dxa"/>
            <w:vAlign w:val="bottom"/>
          </w:tcPr>
          <w:p>
            <w:pPr>
              <w:jc w:val="right"/>
              <w:spacing w:after="0"/>
              <w:rPr>
                <w:sz w:val="20"/>
                <w:szCs w:val="20"/>
                <w:color w:val="auto"/>
              </w:rPr>
            </w:pPr>
            <w:r>
              <w:rPr>
                <w:rFonts w:ascii="Arial" w:cs="Arial" w:eastAsia="Arial" w:hAnsi="Arial"/>
                <w:sz w:val="18"/>
                <w:szCs w:val="18"/>
                <w:color w:val="auto"/>
              </w:rPr>
              <w:t>522,250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Rome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Dr. Traber</w:t>
            </w:r>
          </w:p>
        </w:tc>
        <w:tc>
          <w:tcPr>
            <w:tcW w:w="20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Zucconi</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Dr. Zomer</w:t>
            </w:r>
          </w:p>
        </w:tc>
        <w:tc>
          <w:tcPr>
            <w:tcW w:w="2080" w:type="dxa"/>
            <w:vAlign w:val="bottom"/>
          </w:tcPr>
          <w:p>
            <w:pPr>
              <w:jc w:val="right"/>
              <w:spacing w:after="0"/>
              <w:rPr>
                <w:sz w:val="20"/>
                <w:szCs w:val="20"/>
                <w:color w:val="auto"/>
              </w:rPr>
            </w:pPr>
            <w:r>
              <w:rPr>
                <w:rFonts w:ascii="Arial" w:cs="Arial" w:eastAsia="Arial" w:hAnsi="Arial"/>
                <w:sz w:val="18"/>
                <w:szCs w:val="18"/>
                <w:color w:val="auto"/>
              </w:rPr>
              <w:t>1,045,000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Squeglia</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Ms. Foley</w:t>
            </w:r>
          </w:p>
        </w:tc>
        <w:tc>
          <w:tcPr>
            <w:tcW w:w="2080" w:type="dxa"/>
            <w:vAlign w:val="bottom"/>
          </w:tcPr>
          <w:p>
            <w:pPr>
              <w:jc w:val="right"/>
              <w:spacing w:after="0"/>
              <w:rPr>
                <w:sz w:val="20"/>
                <w:szCs w:val="20"/>
                <w:color w:val="auto"/>
              </w:rPr>
            </w:pPr>
            <w:r>
              <w:rPr>
                <w:rFonts w:ascii="Arial" w:cs="Arial" w:eastAsia="Arial" w:hAnsi="Arial"/>
                <w:sz w:val="18"/>
                <w:szCs w:val="18"/>
                <w:color w:val="auto"/>
              </w:rPr>
              <w:t>1,370,000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8,748,250</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right="40" w:hanging="452"/>
        <w:spacing w:after="0" w:line="283"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each named person and group included in this table, percentage ownership of our common stock is calculated by dividing the number of shares of our common stock beneficially owned by such person or group by the sum of (i) 67,666,627 shares of our common stock outstanding as of March 15, 2011 and (ii) the number of shares of our common stock that such person has the right to acquire within 60 days after March 15, 2011, which does not include any shares of common stock that may be issued in payment of dividends to holders of our preferred stock during that period.</w:t>
      </w:r>
    </w:p>
    <w:p>
      <w:pPr>
        <w:spacing w:after="0" w:line="2" w:lineRule="exact"/>
        <w:rPr>
          <w:rFonts w:ascii="Arial" w:cs="Arial" w:eastAsia="Arial" w:hAnsi="Arial"/>
          <w:sz w:val="16"/>
          <w:szCs w:val="16"/>
          <w:color w:val="auto"/>
        </w:rPr>
      </w:pPr>
    </w:p>
    <w:p>
      <w:pPr>
        <w:ind w:left="460" w:right="34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each named person and group included in this table, percentage ownership of our Series A preferred stock is based on 1,592,500 shares of Series A preferred stock outstanding as of March 15, 2011.</w:t>
      </w:r>
    </w:p>
    <w:p>
      <w:pPr>
        <w:ind w:left="460" w:right="72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(i) 900,000 shares of Series B-1 preferred stock issued and outstanding and (ii) 2,100,000 shares of Series B-2 preferred stock issued and outstanding.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3" w:right="239" w:bottom="1440" w:gutter="0" w:footer="0" w:header="0"/>
        </w:sectPr>
      </w:pPr>
    </w:p>
    <w:bookmarkStart w:id="12" w:name="page13"/>
    <w:bookmarkEnd w:id="12"/>
    <w:p>
      <w:pPr>
        <w:ind w:left="452" w:right="20" w:hanging="452"/>
        <w:spacing w:after="0" w:line="283" w:lineRule="auto"/>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the combined voting power of the voting securities (comprised of the aggregate of the shares of our common stock, Series A preferred stock voting on an as-converted basis with the common stock, and Series B-1 preferred stock and Series B-2 preferred stock voting on an as-converted basis with the common stock) on all matters presented to the stockholders for their approval at the Annual Meeting (except for such separate class votes as are required by law or the terms of a class or series of securities) and excludes shares of common stock underlying outstanding options and warrants that have not been exercised as of the Record Date. The Series C preferred stock does not have voting rights, and as of March 15, 2011, no shares of Series C preferred stock had been converted to common stock.</w:t>
      </w:r>
    </w:p>
    <w:p>
      <w:pPr>
        <w:spacing w:after="0" w:line="1" w:lineRule="exact"/>
        <w:rPr>
          <w:rFonts w:ascii="Arial" w:cs="Arial" w:eastAsia="Arial" w:hAnsi="Arial"/>
          <w:sz w:val="16"/>
          <w:szCs w:val="16"/>
          <w:color w:val="auto"/>
        </w:rPr>
      </w:pPr>
    </w:p>
    <w:p>
      <w:pPr>
        <w:ind w:left="452" w:hanging="452"/>
        <w:spacing w:after="0" w:line="281" w:lineRule="auto"/>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(i) 100,000 shares of our common stock issuable upon conversion of Series A preferred stock; (ii) 200,000 shares of our common stock underlying warrants to purchase shares of our common stock; (iii) 3,600,000 shares of our common stock issuable upon conversion of 900,000 shares of Series B-1 preferred stock; (iv) 8,400,000 shares of our common stock issuable upon conversion of 2,100,000 shares of Series B-2 preferred stock; (v) warrants to purchase 36,000,000 shares of our common stock; and (vi) 2,101,748 shares of common stock issued as dividend payments, as to which Mr. Czirr, in his capacity as a managing member of 10X Capital Management Fund, LLC, a Florida limited liability company and general partner of 10X Fund, which we refer to as 10X Management, has shared voting and investment power, and disclaims beneficial ownership.</w:t>
      </w:r>
    </w:p>
    <w:p>
      <w:pPr>
        <w:spacing w:after="0" w:line="4" w:lineRule="exact"/>
        <w:rPr>
          <w:rFonts w:ascii="Arial" w:cs="Arial" w:eastAsia="Arial" w:hAnsi="Arial"/>
          <w:sz w:val="16"/>
          <w:szCs w:val="16"/>
          <w:color w:val="auto"/>
        </w:rPr>
      </w:pPr>
    </w:p>
    <w:p>
      <w:pPr>
        <w:ind w:left="452" w:right="160" w:hanging="452"/>
        <w:spacing w:after="0" w:line="250" w:lineRule="auto"/>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for purposes of this column, shares of common stock underlying the Series B-1 preferred stock and Series B-2 preferred stock as to which such person has shared voting power but which will be voted by 10X Fund.</w:t>
      </w:r>
    </w:p>
    <w:p>
      <w:pPr>
        <w:ind w:left="452" w:right="180" w:hanging="452"/>
        <w:spacing w:after="0" w:line="281" w:lineRule="auto"/>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(i) 3,600,000 shares of our common stock issuable upon conversion of 900,000 shares of Series B-1 preferred stock; (ii) 8,400,000 shares of our common stock issuable upon conversion of 2,100,000 shares of Series B-2 preferred stock; (iii) warrants to purchase 36,000,000 shares of our common stock; and (iv) 2,101,748 shares of common stock issued as dividend payments, as to which Mr. Martin, in his capacity as a managing member of 10X Management, its general partner, has shared voting and investment power, and disclaims beneficial ownership. Each of Mr. Czirr and Mr. Martin, in his capacity as a managing member of 10X Management, the general partner of 10X Fund, has voting and investment power, and disclaims beneficial ownership, of these securities.</w:t>
      </w:r>
    </w:p>
    <w:p>
      <w:pPr>
        <w:spacing w:after="0" w:line="4" w:lineRule="exact"/>
        <w:rPr>
          <w:rFonts w:ascii="Arial" w:cs="Arial" w:eastAsia="Arial" w:hAnsi="Arial"/>
          <w:sz w:val="16"/>
          <w:szCs w:val="16"/>
          <w:color w:val="auto"/>
        </w:rPr>
      </w:pPr>
    </w:p>
    <w:p>
      <w:pPr>
        <w:ind w:left="452" w:right="80" w:hanging="452"/>
        <w:spacing w:after="0" w:line="281" w:lineRule="auto"/>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(i) 3,600,000 shares of our common stock issuable upon conversion of 900,000 shares of Series B-1 preferred stock; (ii) 8,400,000 shares of our common stock issuable upon conversion of 2,100,000 shares of Series B-2 preferred stock; (iii) warrants to purchase 36,000,000 shares of our common stock; and (iv) 2,101,748 shares of common stock issued as dividend payments, all of which are held of record by 10X Fund as to which Mr. Martin, in his capacity as a managing member of 10X Management, has shared voting and investment power, and disclaims beneficial ownership.</w:t>
      </w:r>
    </w:p>
    <w:p>
      <w:pPr>
        <w:spacing w:after="0" w:line="2" w:lineRule="exact"/>
        <w:rPr>
          <w:rFonts w:ascii="Arial" w:cs="Arial" w:eastAsia="Arial" w:hAnsi="Arial"/>
          <w:sz w:val="16"/>
          <w:szCs w:val="16"/>
          <w:color w:val="auto"/>
        </w:rPr>
      </w:pPr>
    </w:p>
    <w:p>
      <w:pPr>
        <w:ind w:left="452" w:right="460" w:hanging="452"/>
        <w:spacing w:after="0" w:line="250" w:lineRule="auto"/>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warrants to purchase 150,000 shares of our common stock granted to Dr. Traber in accordance with his consulting agreement to serve as our interim Chief Medical Officer during 2010.</w:t>
      </w:r>
    </w:p>
    <w:p>
      <w:pPr>
        <w:ind w:left="452" w:right="100" w:hanging="452"/>
        <w:spacing w:after="0" w:line="281" w:lineRule="auto"/>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(i) 48,000,000 shares of our common stock underlying the Series B preferred stock and related warrants and (ii) 2,101,748 shares of common stock issued as dividends as to which Messrs. Czirr and Martin share voting and investment control but are counted one time for purposes of this total. For additional information about the beneficial ownership of our capital stock by Messrs. Czirr and Martin, see notes 7 and 10 respectively.</w:t>
      </w:r>
    </w:p>
    <w:p>
      <w:pPr>
        <w:spacing w:after="0" w:line="2" w:lineRule="exact"/>
        <w:rPr>
          <w:rFonts w:ascii="Arial" w:cs="Arial" w:eastAsia="Arial" w:hAnsi="Arial"/>
          <w:sz w:val="16"/>
          <w:szCs w:val="16"/>
          <w:color w:val="auto"/>
        </w:rPr>
      </w:pPr>
    </w:p>
    <w:p>
      <w:pPr>
        <w:ind w:left="452" w:right="440" w:hanging="452"/>
        <w:spacing w:after="0" w:line="250" w:lineRule="auto"/>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Smith is the manager of Fivex LLC, a Connecticut limited liability company, and may be deemed to have voting and investment control over, but disclaims beneficial ownership of, the shares of Series A preferred stock.</w:t>
      </w:r>
    </w:p>
    <w:p>
      <w:pPr>
        <w:ind w:left="452" w:right="500" w:hanging="452"/>
        <w:spacing w:after="0" w:line="261" w:lineRule="auto"/>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(i) 100,000 shares of our common stock issuable upon conversion of Series A preferred stock; and (ii) 200,000 shares of our common stock underlying warrants to purchase shares of our common stock.</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8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of Control</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Our Board of Directors is currently fixed at nine members and we cannot change that number without the consent of at least a majority of the outstanding shares of Series B preferred stock. The holder(s) of the Series B preferred stock have given consent to allow us to present Proposal Three in this proxy statement which if adopted would allow us to amend our Articles of Incorporation to permit our Board of Directors to have up to eleven members.</w:t>
      </w:r>
    </w:p>
    <w:p>
      <w:pPr>
        <w:spacing w:after="0" w:line="10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Series B Designation Certificate provides that the holder(s) of our Series B preferred stock have the right, as long as any shares of Series B preferred stock are outstanding, to elect two of our directors in a separate class vote of the Series B preferred stock, referred to as the Series B directors, and to nominate three directors, referred to as the Series B nominees, who must be recommended for election by holders of all of our voting securities entitled to vote on election of directors. The holder(s) of the Series B preferred stock declined to exercise their right to designate the three Series B nominees for purposes of the 2011 Annual Meeting. Messrs. Czirr and Greenberg are the Series B directors who, if elected by the holder(s) of the Series B Preferred Stock at the 2011 Annual Meeting, will serve on our Board or Directors. As of March 15, 2011, 10X Fund is the owner of all of the issued and outstanding shares of the Series B preferred stock.</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Nominating and Corporate Governance Committee of our Board of Directors has nominated seven members of our current Board of Directors to be re-elected at the Annual Meeting to serve one-year terms until the 2012 annual meeting of stockholders and until their respective successors are elected and qualified. Each nominee has agreed to serve if elected.</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Nominating and Corporate Governance Committee is nominating seven directors, which is fewer than the number (nine) of directors fixed by our governing instruments, to be elected to the Board of Directors because Messrs Czirr and Greenberg are the Series B directors who are nominated and elected by the holder(s) of the Series B preferred stock voting as a separate class. Mr. Czirr serves as the Executive Chairman of the Board. Background information with respect to Messrs. Czirr and Greenberg is provided below. If all of the nominees are elected at the Annual Meeting, our Board of Directors will have nine members. For additional information with respect to the Series B directors, see “Security Ownership of Certain Beneficial Owners and Management—Change of Control” above.</w:t>
      </w:r>
    </w:p>
    <w:p>
      <w:pPr>
        <w:spacing w:after="0" w:line="14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is information regarding the nominees, as of March 15, 2011, including their ages, positions with Pro-Pharmaceuticals, recent employment and other directorships.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BOARD OF DIRECTORS RECOMMENDS A VOTE “FOR” THE ELECTION TO THE BOARD OF EACH NOMINEE.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persons who have been nominated for election at the Annual Meeting to serve on our Board of Directors are named in the table below. Proxies cannot be voted for a greater number of persons than the number of nominees named.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Name</w:t>
            </w:r>
          </w:p>
        </w:tc>
        <w:tc>
          <w:tcPr>
            <w:tcW w:w="22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Age as of 3/15/11</w:t>
            </w:r>
          </w:p>
        </w:tc>
        <w:tc>
          <w:tcPr>
            <w:tcW w:w="3020" w:type="dxa"/>
            <w:vAlign w:val="bottom"/>
          </w:tcPr>
          <w:p>
            <w:pPr>
              <w:spacing w:after="0"/>
              <w:rPr>
                <w:sz w:val="14"/>
                <w:szCs w:val="1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Current Position</w:t>
            </w:r>
          </w:p>
        </w:tc>
        <w:tc>
          <w:tcPr>
            <w:tcW w:w="60" w:type="dxa"/>
            <w:vAlign w:val="bottom"/>
          </w:tcPr>
          <w:p>
            <w:pPr>
              <w:spacing w:after="0"/>
              <w:rPr>
                <w:sz w:val="14"/>
                <w:szCs w:val="14"/>
                <w:color w:val="auto"/>
              </w:rPr>
            </w:pPr>
          </w:p>
        </w:tc>
      </w:tr>
      <w:tr>
        <w:trPr>
          <w:trHeight w:val="201"/>
        </w:trPr>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w w:val="98"/>
              </w:rPr>
              <w:t>Gilbert F. Amelio, Ph.D.</w:t>
            </w:r>
          </w:p>
        </w:tc>
        <w:tc>
          <w:tcPr>
            <w:tcW w:w="3240" w:type="dxa"/>
            <w:vAlign w:val="bottom"/>
            <w:gridSpan w:val="2"/>
          </w:tcPr>
          <w:p>
            <w:pPr>
              <w:jc w:val="center"/>
              <w:ind w:left="2192"/>
              <w:spacing w:after="0" w:line="201" w:lineRule="exact"/>
              <w:rPr>
                <w:sz w:val="20"/>
                <w:szCs w:val="20"/>
                <w:color w:val="auto"/>
              </w:rPr>
            </w:pPr>
            <w:r>
              <w:rPr>
                <w:rFonts w:ascii="Arial" w:cs="Arial" w:eastAsia="Arial" w:hAnsi="Arial"/>
                <w:sz w:val="18"/>
                <w:szCs w:val="18"/>
                <w:color w:val="auto"/>
                <w:w w:val="79"/>
              </w:rPr>
              <w:t>68</w:t>
            </w:r>
          </w:p>
        </w:tc>
        <w:tc>
          <w:tcPr>
            <w:tcW w:w="410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Rod Martin</w:t>
            </w:r>
          </w:p>
        </w:tc>
        <w:tc>
          <w:tcPr>
            <w:tcW w:w="3240" w:type="dxa"/>
            <w:vAlign w:val="bottom"/>
            <w:gridSpan w:val="2"/>
          </w:tcPr>
          <w:p>
            <w:pPr>
              <w:jc w:val="center"/>
              <w:ind w:left="2192"/>
              <w:spacing w:after="0"/>
              <w:rPr>
                <w:sz w:val="20"/>
                <w:szCs w:val="20"/>
                <w:color w:val="auto"/>
              </w:rPr>
            </w:pPr>
            <w:r>
              <w:rPr>
                <w:rFonts w:ascii="Arial" w:cs="Arial" w:eastAsia="Arial" w:hAnsi="Arial"/>
                <w:sz w:val="18"/>
                <w:szCs w:val="18"/>
                <w:color w:val="auto"/>
                <w:w w:val="79"/>
              </w:rPr>
              <w:t>41</w:t>
            </w:r>
          </w:p>
        </w:tc>
        <w:tc>
          <w:tcPr>
            <w:tcW w:w="410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S. Colin Neill</w:t>
            </w:r>
          </w:p>
        </w:tc>
        <w:tc>
          <w:tcPr>
            <w:tcW w:w="3240" w:type="dxa"/>
            <w:vAlign w:val="bottom"/>
            <w:gridSpan w:val="2"/>
          </w:tcPr>
          <w:p>
            <w:pPr>
              <w:jc w:val="center"/>
              <w:ind w:left="2192"/>
              <w:spacing w:after="0"/>
              <w:rPr>
                <w:sz w:val="20"/>
                <w:szCs w:val="20"/>
                <w:color w:val="auto"/>
              </w:rPr>
            </w:pPr>
            <w:r>
              <w:rPr>
                <w:rFonts w:ascii="Arial" w:cs="Arial" w:eastAsia="Arial" w:hAnsi="Arial"/>
                <w:sz w:val="18"/>
                <w:szCs w:val="18"/>
                <w:color w:val="auto"/>
                <w:w w:val="79"/>
              </w:rPr>
              <w:t>64</w:t>
            </w:r>
          </w:p>
        </w:tc>
        <w:tc>
          <w:tcPr>
            <w:tcW w:w="410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3240" w:type="dxa"/>
            <w:vAlign w:val="bottom"/>
            <w:gridSpan w:val="2"/>
          </w:tcPr>
          <w:p>
            <w:pPr>
              <w:jc w:val="center"/>
              <w:ind w:left="2192"/>
              <w:spacing w:after="0"/>
              <w:rPr>
                <w:sz w:val="20"/>
                <w:szCs w:val="20"/>
                <w:color w:val="auto"/>
              </w:rPr>
            </w:pPr>
            <w:r>
              <w:rPr>
                <w:rFonts w:ascii="Arial" w:cs="Arial" w:eastAsia="Arial" w:hAnsi="Arial"/>
                <w:sz w:val="18"/>
                <w:szCs w:val="18"/>
                <w:color w:val="auto"/>
                <w:w w:val="79"/>
              </w:rPr>
              <w:t>53</w:t>
            </w:r>
          </w:p>
        </w:tc>
        <w:tc>
          <w:tcPr>
            <w:tcW w:w="410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Jerald K. Rome</w:t>
            </w:r>
          </w:p>
        </w:tc>
        <w:tc>
          <w:tcPr>
            <w:tcW w:w="3240" w:type="dxa"/>
            <w:vAlign w:val="bottom"/>
            <w:gridSpan w:val="2"/>
          </w:tcPr>
          <w:p>
            <w:pPr>
              <w:jc w:val="center"/>
              <w:ind w:left="2192"/>
              <w:spacing w:after="0"/>
              <w:rPr>
                <w:sz w:val="20"/>
                <w:szCs w:val="20"/>
                <w:color w:val="auto"/>
              </w:rPr>
            </w:pPr>
            <w:r>
              <w:rPr>
                <w:rFonts w:ascii="Arial" w:cs="Arial" w:eastAsia="Arial" w:hAnsi="Arial"/>
                <w:sz w:val="18"/>
                <w:szCs w:val="18"/>
                <w:color w:val="auto"/>
                <w:w w:val="79"/>
              </w:rPr>
              <w:t>76</w:t>
            </w:r>
          </w:p>
        </w:tc>
        <w:tc>
          <w:tcPr>
            <w:tcW w:w="410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Paul Pressler</w:t>
            </w:r>
          </w:p>
        </w:tc>
        <w:tc>
          <w:tcPr>
            <w:tcW w:w="3240" w:type="dxa"/>
            <w:vAlign w:val="bottom"/>
            <w:gridSpan w:val="2"/>
          </w:tcPr>
          <w:p>
            <w:pPr>
              <w:jc w:val="center"/>
              <w:ind w:left="2192"/>
              <w:spacing w:after="0"/>
              <w:rPr>
                <w:sz w:val="20"/>
                <w:szCs w:val="20"/>
                <w:color w:val="auto"/>
              </w:rPr>
            </w:pPr>
            <w:r>
              <w:rPr>
                <w:rFonts w:ascii="Arial" w:cs="Arial" w:eastAsia="Arial" w:hAnsi="Arial"/>
                <w:sz w:val="18"/>
                <w:szCs w:val="18"/>
                <w:color w:val="auto"/>
                <w:w w:val="79"/>
              </w:rPr>
              <w:t>80</w:t>
            </w:r>
          </w:p>
        </w:tc>
        <w:tc>
          <w:tcPr>
            <w:tcW w:w="4100" w:type="dxa"/>
            <w:vAlign w:val="bottom"/>
            <w:gridSpan w:val="3"/>
          </w:tcPr>
          <w:p>
            <w:pPr>
              <w:ind w:left="740"/>
              <w:spacing w:after="0"/>
              <w:rPr>
                <w:sz w:val="20"/>
                <w:szCs w:val="20"/>
                <w:color w:val="auto"/>
              </w:rPr>
            </w:pPr>
            <w:r>
              <w:rPr>
                <w:rFonts w:ascii="Arial" w:cs="Arial" w:eastAsia="Arial" w:hAnsi="Arial"/>
                <w:sz w:val="18"/>
                <w:szCs w:val="18"/>
                <w:color w:val="auto"/>
              </w:rPr>
              <w:t>Nominee</w:t>
            </w:r>
          </w:p>
        </w:tc>
      </w:tr>
      <w:tr>
        <w:trPr>
          <w:trHeight w:val="222"/>
        </w:trPr>
        <w:tc>
          <w:tcPr>
            <w:tcW w:w="1880" w:type="dxa"/>
            <w:vAlign w:val="bottom"/>
            <w:gridSpan w:val="2"/>
          </w:tcPr>
          <w:p>
            <w:pPr>
              <w:spacing w:after="0"/>
              <w:rPr>
                <w:sz w:val="20"/>
                <w:szCs w:val="20"/>
                <w:color w:val="auto"/>
              </w:rPr>
            </w:pPr>
            <w:r>
              <w:rPr>
                <w:rFonts w:ascii="Arial" w:cs="Arial" w:eastAsia="Arial" w:hAnsi="Arial"/>
                <w:sz w:val="18"/>
                <w:szCs w:val="18"/>
                <w:color w:val="auto"/>
              </w:rPr>
              <w:t>Peter G. Traber, M.D.</w:t>
            </w:r>
          </w:p>
        </w:tc>
        <w:tc>
          <w:tcPr>
            <w:tcW w:w="3240" w:type="dxa"/>
            <w:vAlign w:val="bottom"/>
            <w:gridSpan w:val="2"/>
          </w:tcPr>
          <w:p>
            <w:pPr>
              <w:jc w:val="center"/>
              <w:ind w:left="2192"/>
              <w:spacing w:after="0"/>
              <w:rPr>
                <w:sz w:val="20"/>
                <w:szCs w:val="20"/>
                <w:color w:val="auto"/>
              </w:rPr>
            </w:pPr>
            <w:r>
              <w:rPr>
                <w:rFonts w:ascii="Arial" w:cs="Arial" w:eastAsia="Arial" w:hAnsi="Arial"/>
                <w:sz w:val="18"/>
                <w:szCs w:val="18"/>
                <w:color w:val="auto"/>
                <w:w w:val="79"/>
              </w:rPr>
              <w:t>55</w:t>
            </w:r>
          </w:p>
        </w:tc>
        <w:tc>
          <w:tcPr>
            <w:tcW w:w="4100" w:type="dxa"/>
            <w:vAlign w:val="bottom"/>
            <w:gridSpan w:val="3"/>
          </w:tcPr>
          <w:p>
            <w:pPr>
              <w:ind w:left="740"/>
              <w:spacing w:after="0"/>
              <w:rPr>
                <w:sz w:val="20"/>
                <w:szCs w:val="20"/>
                <w:color w:val="auto"/>
              </w:rPr>
            </w:pPr>
            <w:r>
              <w:rPr>
                <w:rFonts w:ascii="Arial" w:cs="Arial" w:eastAsia="Arial" w:hAnsi="Arial"/>
                <w:sz w:val="18"/>
                <w:szCs w:val="18"/>
                <w:color w:val="auto"/>
                <w:w w:val="89"/>
              </w:rPr>
              <w:t>Chief Executive Officer, President and Director</w:t>
            </w:r>
          </w:p>
        </w:tc>
      </w:tr>
    </w:tbl>
    <w:p>
      <w:pPr>
        <w:spacing w:after="0" w:line="2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 xml:space="preserve">Dr. Amelio </w:t>
      </w:r>
      <w:r>
        <w:rPr>
          <w:rFonts w:ascii="Arial" w:cs="Arial" w:eastAsia="Arial" w:hAnsi="Arial"/>
          <w:sz w:val="16"/>
          <w:szCs w:val="16"/>
          <w:color w:val="auto"/>
        </w:rPr>
        <w:t>was appointed a director on February 12, 2009. Dr. Amelio, who began his career at Bell Labs, is Senior Partner of Sienna Ventures, a privately-held venture capital firm, and has acted in this capacity since 2001. Dr. Amelio was Chairman and Chief Executive Officer of Jazz Technologies, Inc., a specialty wafer foundry, from 2005 until his retirement in 2008, when he was named Chairman Emeritus. Dr. Amelio was Chairman and Chief Executive Officer of Beneventure Capital, LLC, a venture capital firm from 1999 to 2005 and was Principal of Aircraft Ventures, LLC, a consulting firm from 1997 to 2004.</w:t>
      </w:r>
    </w:p>
    <w:p>
      <w:pPr>
        <w:spacing w:after="0" w:line="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Dr. Amelio was elected a Director of AT&amp;T (NYSE: T) in 2001 and had previously served as an Advisory Director of AT&amp;T from 1997 to 2001. He served as a Director of Pacific Telesis Group from 1995 until the company was acquired by AT&amp;T in 1997. Dr. Amelio was chief executive officer of Apple, Inc. in 1996 and 1997, and from 1991 to 1996, he was chief executive officer of National Semiconductor Corporation. He was a director of Chiron, now a part of Novartis, from 1991 to 1996. We believe Dr. Amelio’s qualifications to sit on our Board of Directors include his executive leadership and management experience, as well as his extensive experience with global companies, his financial expertise and his years of experience providing strategic advisory services to complex organizations.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5" w:name="page16"/>
    <w:bookmarkEnd w:id="15"/>
    <w:p>
      <w:pPr>
        <w:ind w:firstLine="456"/>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Czirr</w:t>
      </w:r>
      <w:r>
        <w:rPr>
          <w:rFonts w:ascii="Arial" w:cs="Arial" w:eastAsia="Arial" w:hAnsi="Arial"/>
          <w:sz w:val="16"/>
          <w:szCs w:val="16"/>
          <w:color w:val="auto"/>
        </w:rPr>
        <w:t>, a Series B director, was appointed a director and became Chairman of the Board of Directors on February 12, 2009 and Executive Chairman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on February 11, 2010. Mr. Czirr, age 57, is a co-founder of 10X Fund, L.P. and is a managing member of 10X Capital Management LLC, the general partner of 10X Fund, L.P. Mr. Czirr was a co-founder of Pro-Pharmaceuticals in July 2000. Mr. Czirr was instrumental in the early stage development of Safe Science Inc., a developer of anti-cancer drugs, served from 2005 to 2008 as Chief Executive Officer of Minerva Biotechnologies Corporation, a developer of nano particle bio chips to determine the cause of solid tumors, and was a consultant to Metalline Mining Company Inc. (NYSE Alternext US: MMG), a mineral exploration company seeking to become a low cost producer of zinc. Mr. Czirr received a B.B.A. degree from the University of Michigan. We believe Mr. Czirr’s qualifications to sit on our Board of Directors include his extensive experience with developing entrepreneurial biotech companies, his financial expertise and his years of experience providing strategic advisory services to development stage organizations.</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Mr. Greenberg</w:t>
      </w:r>
      <w:r>
        <w:rPr>
          <w:rFonts w:ascii="Arial" w:cs="Arial" w:eastAsia="Arial" w:hAnsi="Arial"/>
          <w:sz w:val="16"/>
          <w:szCs w:val="16"/>
          <w:color w:val="auto"/>
        </w:rPr>
        <w:t>, a Series B director, was appointed a director in August 2009. With 37 successful years in the semiconductor equipment and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industries, Mr. Greenberg, age 64, is the President and Founder of Prism Technologies, Inc. Prism provides professional sales &amp; marketing services and business development consulting services. Mr. Greenberg is a member of the board of UV Tech Systems, a designer and manufacturer of equipment used to fabricate semiconductor devices. Previously, he was the first President of SEMI, North America, a semiconductor equipment and materials industry trade association representing the interests, including public policy, of more than 2000 members doing business in North America. Mr. Greenberg received his Bachelor of Science degree in Business Administration from Henderson State University. We believe Mr. Greenberg’s qualifications to serve on our Board of Directors include his experience in leading technology enterprises, as well as his experience as a CEO of a technology company.</w:t>
      </w:r>
    </w:p>
    <w:p>
      <w:pPr>
        <w:spacing w:after="0" w:line="118"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i w:val="1"/>
          <w:iCs w:val="1"/>
          <w:color w:val="auto"/>
        </w:rPr>
        <w:t xml:space="preserve">Mr. Martin </w:t>
      </w:r>
      <w:r>
        <w:rPr>
          <w:rFonts w:ascii="Arial" w:cs="Arial" w:eastAsia="Arial" w:hAnsi="Arial"/>
          <w:sz w:val="16"/>
          <w:szCs w:val="16"/>
          <w:color w:val="auto"/>
        </w:rPr>
        <w:t>was appointed a director and became a member of the Nominating and Corporate Governance Committee and of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on February 12, 2009. Mr. Martin was appointed Vice Chairman of the Board on February 11, 2010. Mr. Martin, age 41, is a co-founder of 10X Fund, L.P. and is a managing member of 10X Capital Management LLC, the general partner of 10X Fund, L.P. Mr. Martin served as a senior advisor to PayPal, Inc. founder Peter Thiel, during the company’s startup phase, its initial public offering and its subsequent acquisition by eBay Inc.; and afterward, served at Clarium Capital, Thiel’s global macro hedge fund which had more than $7.8 billion under management. Mr. Martin is founder and chairman of the board of Advanced Search Laboratories, Inc., and also serves as a director of Proxomo Software. He previously served as Director of Policy Planning &amp; Research for</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former Arkansas Governor Mike Huckabee. He is a widely noted author and speaker, and leads several non-profit organizations. Mr. Martin holds a J.D. from Baylor Law School, a B.A. from the University of Arkansas, and was a Sturgis Fellow at Cambridge University in Great Britain. We believe Mr. Martin’s qualifications to sit on our Board of Directors include his extensive experience with developing entrepreneurial technology companies and his years of experience providing strategic legal and advisory services to development stage organizations.</w:t>
      </w:r>
    </w:p>
    <w:p>
      <w:pPr>
        <w:spacing w:after="0" w:line="14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Mr. Neill</w:t>
      </w:r>
      <w:r>
        <w:rPr>
          <w:rFonts w:ascii="Arial" w:cs="Arial" w:eastAsia="Arial" w:hAnsi="Arial"/>
          <w:sz w:val="16"/>
          <w:szCs w:val="16"/>
          <w:color w:val="auto"/>
        </w:rPr>
        <w:t>, a director since May 2007, became President of Pharmos Corp. (PARS.PK) in 2008, and since 2006, was its Senior Vice President,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Secretary, and Treasurer. From 2003 to 2006, Mr. Neill served as Chief Financial Officer, Treasurer and Secretary of Axonyx Inc., a biopharmaceutical company that developed products and technologies to treat Alzheimer’s disease and other central nervous system disorders. Mr. Neill served as Senior Vice President, Chief Financial Officer, Secretary and Treasurer of ClinTrials Research Inc., a global contract research organization in the drug development business, from 1998 to 2001. From 2001 to 2003, Mr. Neill served as an independent consultant assisting start-up and development stage companies in raising capital. Earlier experience was gained as Vice President Finance and Chief Financial Officer of BTR Inc., a U.S. subsidiary of BTR plc, a British diversified manufacturing company, and Vice President Financial Services of The BOC Group Inc., a British owned industrial gas company with substantial operations in the health care field. Mr. Neill served four years with American Express Travel Related Services, first as chief internal auditor for worldwide operations and then as head of business planning and financial analysis. Mr. Neill began his career in public accounting with Arthur Andersen LLP in Ireland and later with Price Waterhouse LLP as a senior manager in New York City. He also served with Price Waterhouse for two years in Paris, France. Mr. Neill graduated from Trinity College, Dublin with a first class honors degree in business/economics and he holds a masters degree in Accounting and Finance from the London School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Economics. He is a Certified Public Accountant in New York State and a Chartered Accountant in Ireland. We believe Mr. Neill’s qualifications to sit on our Board of Directors include his executive leadership and management experience, as well as his financial expertise with public and financial accounting matters for technology and life science organizations.</w:t>
      </w:r>
    </w:p>
    <w:p>
      <w:pPr>
        <w:spacing w:after="0" w:line="14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i w:val="1"/>
          <w:iCs w:val="1"/>
          <w:color w:val="auto"/>
        </w:rPr>
        <w:t>Mr. Prelack</w:t>
      </w:r>
      <w:r>
        <w:rPr>
          <w:rFonts w:ascii="Arial" w:cs="Arial" w:eastAsia="Arial" w:hAnsi="Arial"/>
          <w:sz w:val="16"/>
          <w:szCs w:val="16"/>
          <w:color w:val="auto"/>
        </w:rPr>
        <w:t>, a director since April 2003, has been since July 2010 Senior Vice President of Operations and Chief Financial Officer of VetCor which owns</w:t>
      </w:r>
      <w:r>
        <w:rPr>
          <w:rFonts w:ascii="Arial" w:cs="Arial" w:eastAsia="Arial" w:hAnsi="Arial"/>
          <w:sz w:val="16"/>
          <w:szCs w:val="16"/>
          <w:i w:val="1"/>
          <w:iCs w:val="1"/>
          <w:color w:val="auto"/>
        </w:rPr>
        <w:t xml:space="preserve"> </w:t>
      </w:r>
      <w:r>
        <w:rPr>
          <w:rFonts w:ascii="Arial" w:cs="Arial" w:eastAsia="Arial" w:hAnsi="Arial"/>
          <w:sz w:val="16"/>
          <w:szCs w:val="16"/>
          <w:color w:val="auto"/>
        </w:rPr>
        <w:t>and operates 49 veterinary hospitals. Previously, from 2001, he was Senior Vice President, Chief Financial Officer and Treasurer of VelQuest Corporation, a provider of automated compliance software solutions for the pharmaceutical industry. In this capacity, Mr. Prelack oversees sales, business development, operations and finance. Mr. Prelack is a director of Codeco Corporation, a designer and manufacturer of custom resisters and switches, and is a member of the Strategic Advisory Board of BioVex, a Biotechnology company focused on cancer. Mr. Prelack served as Director and Audit Committee Chair for BioVex from 2007 through 2009. Mr. Prelack, a Certified Public Accountant, received a B.B.A. degree from the University of Massachusetts at Amherst in 1979. We believe Mr. Prelack’s qualifications to sit on our Board of Directors include his extensive experience with public and financial accounting matters for technology organizations.</w:t>
      </w:r>
    </w:p>
    <w:p>
      <w:pPr>
        <w:spacing w:after="0" w:line="11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Mr. Pressler</w:t>
      </w:r>
      <w:r>
        <w:rPr>
          <w:rFonts w:ascii="Arial" w:cs="Arial" w:eastAsia="Arial" w:hAnsi="Arial"/>
          <w:sz w:val="16"/>
          <w:szCs w:val="16"/>
          <w:color w:val="auto"/>
        </w:rPr>
        <w:t>, a nominee to the Board of Directors, has been a partner in the law firm of Woodfill &amp; Pressler since 2000, a director of Revelation, Inc., and</w:t>
      </w:r>
      <w:r>
        <w:rPr>
          <w:rFonts w:ascii="Arial" w:cs="Arial" w:eastAsia="Arial" w:hAnsi="Arial"/>
          <w:sz w:val="16"/>
          <w:szCs w:val="16"/>
          <w:i w:val="1"/>
          <w:iCs w:val="1"/>
          <w:color w:val="auto"/>
        </w:rPr>
        <w:t xml:space="preserve"> </w:t>
      </w:r>
      <w:r>
        <w:rPr>
          <w:rFonts w:ascii="Arial" w:cs="Arial" w:eastAsia="Arial" w:hAnsi="Arial"/>
          <w:sz w:val="16"/>
          <w:szCs w:val="16"/>
          <w:color w:val="auto"/>
        </w:rPr>
        <w:t>has been in private mediation practice for several years. A retired justice of the Texas Court of Appeals, Judge Pressler was appointed Justice of the Texas Court of Appeals in 1978, serving until 1992. Judge Pressler also served as District Judge from 1970 to 1978. From 1958 to 1970, he was associated with the law firm of Vinson &amp; Elkins. Judge Pressler has been a director of Salem Communications Corporation (Nasdaq GM:SALM) since March 2002, and is also a board member of the Free Market Foundation and KHCB Network, a non-profit corporation which owns Christian radio stations in Texas and Louisiana, and a board member of National Religious Broadcasters. He has been an active leader in the Southern Baptist Convention. Additionally, he is a member of the Texas Philosophical Society, the General Counsel of the Baptist World Alliance, and a member of the State Republican Executive Committee of Texas. As a former appeals court justice, Mr. Pressler provides the board with valuable analytical and consensus building skills. His extensive experience with both for-profit and non-profit boards enables Mr. Pressler to keenly understand a wide variety of business and corporate governance issues which are likely to develop as our Company develops. Moreover, Mr. Pressler’s deep legal expertise enables him to provide perspective and oversight with regard to the Company’s extensive legal and compliance issues in a highly regulated field. Mr. Pressler was nominated by non-management directors and has agreed to serve on our Board of Directors if elected.</w:t>
      </w:r>
    </w:p>
    <w:p>
      <w:pPr>
        <w:spacing w:after="0" w:line="124" w:lineRule="exact"/>
        <w:rPr>
          <w:sz w:val="20"/>
          <w:szCs w:val="20"/>
          <w:color w:val="auto"/>
        </w:rPr>
      </w:pPr>
    </w:p>
    <w:p>
      <w:pPr>
        <w:ind w:right="280" w:firstLine="456"/>
        <w:spacing w:after="0" w:line="302" w:lineRule="auto"/>
        <w:rPr>
          <w:sz w:val="20"/>
          <w:szCs w:val="20"/>
          <w:color w:val="auto"/>
        </w:rPr>
      </w:pPr>
      <w:r>
        <w:rPr>
          <w:rFonts w:ascii="Arial" w:cs="Arial" w:eastAsia="Arial" w:hAnsi="Arial"/>
          <w:sz w:val="15"/>
          <w:szCs w:val="15"/>
          <w:i w:val="1"/>
          <w:iCs w:val="1"/>
          <w:color w:val="auto"/>
        </w:rPr>
        <w:t>Mr. Rome</w:t>
      </w:r>
      <w:r>
        <w:rPr>
          <w:rFonts w:ascii="Arial" w:cs="Arial" w:eastAsia="Arial" w:hAnsi="Arial"/>
          <w:sz w:val="15"/>
          <w:szCs w:val="15"/>
          <w:color w:val="auto"/>
        </w:rPr>
        <w:t>, a director since March 2004, has been a private investor since 1996. Mr. Rome founded Amberline Pharmaceutical Care Corp., a marketer of</w:t>
      </w:r>
      <w:r>
        <w:rPr>
          <w:rFonts w:ascii="Arial" w:cs="Arial" w:eastAsia="Arial" w:hAnsi="Arial"/>
          <w:sz w:val="15"/>
          <w:szCs w:val="15"/>
          <w:i w:val="1"/>
          <w:iCs w:val="1"/>
          <w:color w:val="auto"/>
        </w:rPr>
        <w:t xml:space="preserve"> </w:t>
      </w:r>
      <w:r>
        <w:rPr>
          <w:rFonts w:ascii="Arial" w:cs="Arial" w:eastAsia="Arial" w:hAnsi="Arial"/>
          <w:sz w:val="15"/>
          <w:szCs w:val="15"/>
          <w:color w:val="auto"/>
        </w:rPr>
        <w:t>non-prescription pharmaceuticals, in 1993 and served as its President from 1993 to 1996. From 1980 to 1990, he served as Chairman, President and Chief Executive Officer of Moore Medical Corp., a national distributor of branded pharmaceuticals and manufacturer and distributor of generic pharmaceuticals and was previously Executive Vice President of the H.L. Moore Drug Exchange, a division of Parkway Distributors and predecessor of Moore Medical Corp.</w:t>
      </w:r>
    </w:p>
    <w:p>
      <w:pPr>
        <w:spacing w:after="0" w:line="3"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Mr. Rome received a B.S. degree in pharmaceutical sciences from the University of Connecticut. We believe Mr. Rome’s qualifications to serve on our Board of Directors include his experience as a CEO of a pharmaceutical company, as well as his executive management and corporate governance expertise.</w:t>
      </w:r>
    </w:p>
    <w:p>
      <w:pPr>
        <w:spacing w:after="0" w:line="93"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i w:val="1"/>
          <w:iCs w:val="1"/>
          <w:color w:val="auto"/>
        </w:rPr>
        <w:t xml:space="preserve">Dr. Traber, </w:t>
      </w:r>
      <w:r>
        <w:rPr>
          <w:rFonts w:ascii="Arial" w:cs="Arial" w:eastAsia="Arial" w:hAnsi="Arial"/>
          <w:sz w:val="15"/>
          <w:szCs w:val="15"/>
          <w:color w:val="auto"/>
        </w:rPr>
        <w:t>a director since February 2009, was appointed President and Chief Executive Officer effective March 17, 2011, and has served as Chief Medical</w:t>
      </w:r>
      <w:r>
        <w:rPr>
          <w:rFonts w:ascii="Arial" w:cs="Arial" w:eastAsia="Arial" w:hAnsi="Arial"/>
          <w:sz w:val="15"/>
          <w:szCs w:val="15"/>
          <w:i w:val="1"/>
          <w:iCs w:val="1"/>
          <w:color w:val="auto"/>
        </w:rPr>
        <w:t xml:space="preserve"> </w:t>
      </w:r>
      <w:r>
        <w:rPr>
          <w:rFonts w:ascii="Arial" w:cs="Arial" w:eastAsia="Arial" w:hAnsi="Arial"/>
          <w:sz w:val="15"/>
          <w:szCs w:val="15"/>
          <w:color w:val="auto"/>
        </w:rPr>
        <w:t>Officer since June 2010. Dr. Traber is President Emeritus, and from 2003 to 2008 was Chief Executive Officer, of Baylor College of Medicine. From 2000 to</w:t>
      </w:r>
    </w:p>
    <w:p>
      <w:pPr>
        <w:ind w:right="60"/>
        <w:spacing w:after="0" w:line="254" w:lineRule="auto"/>
        <w:rPr>
          <w:sz w:val="20"/>
          <w:szCs w:val="20"/>
          <w:color w:val="auto"/>
        </w:rPr>
      </w:pPr>
      <w:r>
        <w:rPr>
          <w:rFonts w:ascii="Arial" w:cs="Arial" w:eastAsia="Arial" w:hAnsi="Arial"/>
          <w:sz w:val="18"/>
          <w:szCs w:val="18"/>
          <w:color w:val="auto"/>
        </w:rPr>
        <w:t>2003 he was Senior Vice President Clinical Development and Regulatory Affairs and Chief Medical Officer of GlaxoSmithKline plc. He has also served as Chief Executive Officer of the University of Pennsylvania Health System, as well as Chair of the Department of Internal Medicine and Chief of Gastroenterology for the University of Pennsylvania School of Medicine. Dr. Traber received his M.D. from Wayne State School of Medicine and a B.S. in chemical engineering from the University of Michigan. We believe Dr. Traber’s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7" w:name="page18"/>
    <w:bookmarkEnd w:id="17"/>
    <w:p>
      <w:pPr>
        <w:ind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qualifications to sit on our Board of Directors include his years of medical experience in the pharmaceutical and healthcare industries, as well as the deep understanding of our patients and our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Peter G. Traber, M.D.</w:t>
      </w:r>
      <w:r>
        <w:rPr>
          <w:rFonts w:ascii="Arial" w:cs="Arial" w:eastAsia="Arial" w:hAnsi="Arial"/>
          <w:sz w:val="18"/>
          <w:szCs w:val="18"/>
          <w:color w:val="auto"/>
        </w:rPr>
        <w:t>, Chief Executive Officer and President (see Board of Directors)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Anatole Klyosov, Ph.D., D.Sc.</w:t>
      </w:r>
      <w:r>
        <w:rPr>
          <w:rFonts w:ascii="Arial" w:cs="Arial" w:eastAsia="Arial" w:hAnsi="Arial"/>
          <w:sz w:val="16"/>
          <w:szCs w:val="16"/>
          <w:color w:val="auto"/>
        </w:rPr>
        <w:t>, age 64, our Chief Scientist since the company’s inception in 2000, is a co-inventor of our patented technology and a founder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Pro-Pharmaceuticals. Dr. Klyosov was vice president, research and development for Kadant Composites, Inc., a subsidiary of Kadant, Inc. (KAI-NYSE), where he directed, since 1996, a laboratory performing work in biochemistry, microbiology and polymer engineering. From 1990 to 1998, Dr. Klyosov was visiting professor of biochemistry, Center for Biochemical and Biophysical Sciences, Harvard Medical School, and from 1981 to 1990 he was professor and head of the Carbohydrates Research Laboratory at the A.N. Bach Institute of Biochemistry, USSR Academy of Sciences. Dr. Klyosov was elected as a member of the World Academy of Art and Sciences and is the recipient of distinguished awards including the USSR National Award in Science and Technology. He has published more than 250 peer-reviewed articles in scientific journals, authored books on enzymes, carbohydrates, and biotechnology, edited two books: </w:t>
      </w:r>
      <w:r>
        <w:rPr>
          <w:rFonts w:ascii="Arial" w:cs="Arial" w:eastAsia="Arial" w:hAnsi="Arial"/>
          <w:sz w:val="16"/>
          <w:szCs w:val="16"/>
          <w:i w:val="1"/>
          <w:iCs w:val="1"/>
          <w:color w:val="auto"/>
        </w:rPr>
        <w:t xml:space="preserve">Carbohydrates in Drug Design </w:t>
      </w:r>
      <w:r>
        <w:rPr>
          <w:rFonts w:ascii="Arial" w:cs="Arial" w:eastAsia="Arial" w:hAnsi="Arial"/>
          <w:sz w:val="16"/>
          <w:szCs w:val="16"/>
          <w:color w:val="auto"/>
        </w:rPr>
        <w:t>and</w:t>
      </w:r>
      <w:r>
        <w:rPr>
          <w:rFonts w:ascii="Arial" w:cs="Arial" w:eastAsia="Arial" w:hAnsi="Arial"/>
          <w:sz w:val="16"/>
          <w:szCs w:val="16"/>
          <w:i w:val="1"/>
          <w:iCs w:val="1"/>
          <w:color w:val="auto"/>
        </w:rPr>
        <w:t xml:space="preserve"> Galectins</w:t>
      </w:r>
      <w:r>
        <w:rPr>
          <w:rFonts w:ascii="Arial" w:cs="Arial" w:eastAsia="Arial" w:hAnsi="Arial"/>
          <w:sz w:val="16"/>
          <w:szCs w:val="16"/>
          <w:color w:val="auto"/>
        </w:rPr>
        <w:t>, and holds more than 20 patents. Dr. Klyosov earned his Ph.D. and D.Sc. degrees in physical chemistry, and an</w:t>
      </w:r>
      <w:r>
        <w:rPr>
          <w:rFonts w:ascii="Arial" w:cs="Arial" w:eastAsia="Arial" w:hAnsi="Arial"/>
          <w:sz w:val="16"/>
          <w:szCs w:val="16"/>
          <w:i w:val="1"/>
          <w:iCs w:val="1"/>
          <w:color w:val="auto"/>
        </w:rPr>
        <w:t xml:space="preserve"> </w:t>
      </w:r>
      <w:r>
        <w:rPr>
          <w:rFonts w:ascii="Arial" w:cs="Arial" w:eastAsia="Arial" w:hAnsi="Arial"/>
          <w:sz w:val="16"/>
          <w:szCs w:val="16"/>
          <w:color w:val="auto"/>
        </w:rPr>
        <w:t>M.S. degree in enzyme kinetics, from Moscow State University.</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Eliezer Zomer, Ph.D., </w:t>
      </w:r>
      <w:r>
        <w:rPr>
          <w:rFonts w:ascii="Arial" w:cs="Arial" w:eastAsia="Arial" w:hAnsi="Arial"/>
          <w:sz w:val="16"/>
          <w:szCs w:val="16"/>
          <w:color w:val="auto"/>
        </w:rPr>
        <w:t>age 64, is Executive Vice President of Manufacturing and Product Development since the company’s inception in 2000.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our company, Dr. Zomer had been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B.Sc. degree in industrial microbiology from the University of Tel Aviv in 1972, a Ph.D. in biochemistry from the University of Massachusetts in 1978, and undertook a post-doctoral study at the National Institute of Health.</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Anthony D. Squeglia</w:t>
      </w:r>
      <w:r>
        <w:rPr>
          <w:rFonts w:ascii="Arial" w:cs="Arial" w:eastAsia="Arial" w:hAnsi="Arial"/>
          <w:sz w:val="18"/>
          <w:szCs w:val="18"/>
          <w:color w:val="auto"/>
        </w:rPr>
        <w:t>, age 68, became our Chief Financial Officer in October 2007 and from 2003 served as our Vice President of Investor Relations. From</w:t>
      </w:r>
      <w:r>
        <w:rPr>
          <w:rFonts w:ascii="Arial" w:cs="Arial" w:eastAsia="Arial" w:hAnsi="Arial"/>
          <w:sz w:val="18"/>
          <w:szCs w:val="18"/>
          <w:i w:val="1"/>
          <w:iCs w:val="1"/>
          <w:color w:val="auto"/>
        </w:rPr>
        <w:t xml:space="preserve"> </w:t>
      </w:r>
      <w:r>
        <w:rPr>
          <w:rFonts w:ascii="Arial" w:cs="Arial" w:eastAsia="Arial" w:hAnsi="Arial"/>
          <w:sz w:val="18"/>
          <w:szCs w:val="18"/>
          <w:color w:val="auto"/>
        </w:rPr>
        <w:t>2001 to 2003, Mr. Squeglia was a Partner in JFS Advisors, a management consulting firm that delivered strategic services to entrepreneurial businesses that includes raising capital, business planning, positioning, branding, marketing and sales channel development. From 1996 to 2001, Mr. Squeglia was Director of Investor Relations and Corporate Communications for Quentra/Coyote Networks. Previously, Mr. Squeglia held management positions with Summa Four, Unisys, AT&amp;T, Timeplex, Colonial Penn and ITT. Mr. Squeglia received an M.B.A. from Pepperdine University and a B.B.A. from The Wharton School, University of Pennsylvania.</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Maureen Foley</w:t>
      </w:r>
      <w:r>
        <w:rPr>
          <w:rFonts w:ascii="Arial" w:cs="Arial" w:eastAsia="Arial" w:hAnsi="Arial"/>
          <w:sz w:val="16"/>
          <w:szCs w:val="16"/>
          <w:color w:val="auto"/>
        </w:rPr>
        <w:t>, age 70, has been our Chief Operating Officer since October 2001 and was formerly our Manager of Operations and acting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She has provided 30 years of business and operations management experience including facility design, construction, and fit out, project management, IT, HR, press and public relations, accounting and finance to startup companies. Between 1999 and 2000 she managed business operations for eHealthDirect, Inc., a developer of medical records processing software; and ArsDigita, Inc., a web development company. From 1996 to 1999, she served as Manager of Operations with Thermo Fibergen, Inc., a developer of composite materials and a subsidiary of Thermo Fisher Scientific, Inc. Ms. Foley is a graduate of The Wyndham School, Boston, Massachusetts, with a major in Mechanical Engineering. Ms. Foley serves as Secretary to the Board.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executive officers and key employees shares any familial relationship.</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660" w:firstLine="456"/>
        <w:spacing w:after="0" w:line="306" w:lineRule="auto"/>
        <w:rPr>
          <w:sz w:val="20"/>
          <w:szCs w:val="20"/>
          <w:color w:val="auto"/>
        </w:rPr>
      </w:pPr>
      <w:r>
        <w:rPr>
          <w:rFonts w:ascii="Arial" w:cs="Arial" w:eastAsia="Arial" w:hAnsi="Arial"/>
          <w:sz w:val="16"/>
          <w:szCs w:val="16"/>
          <w:color w:val="auto"/>
        </w:rPr>
        <w:t>The Company’s Corporate Governance provides that a majority of the members of the Board, and each member of the Audit, Compensation and Nominating and Corporate Governance Committees, must meet certain criteria for independence. Based on the New York Stock Exchange independence requirements, the Company’s Corporate Governance practices assist the Board in its determination of director independence.</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Based on the New York Stock Exchange rules, Messrs. Czirr, Martin, Greenberg, Neill, Prelack, Rome and Dr. Amelio were affirmatively determined by the Board to be independent. Due to Dr. Zucconi’s and Dr. Traber’s employment with the Company, they are not considered independent. Also, none of the non-employee directors has any relationship with the Company other than being a director and stockholder, or any transaction or arrangement that interferes with each director’s independence.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with Respect to Transactions with Related Persons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Nominating and Corporate Governance Committee and the Board have adopted a Code of Ethics, which is available at www.pro-pharmaceuticals.com, that sets forth various policies and procedures intended to promote the ethical behavior of the Company’s employees, officers and directors. The Code of Ethics describes the Company’s policy on conflicts of interest. The Nominating and Corporate Governance Committee monitors the ethical behavior of the Company’s employees, officers and directors.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executive officers and the Board are also required to complete a questionnaire on an annual basis which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Since the beginning of fiscal 2009, the Company did not participate in any transactions in which any of the director nominees, Class B directors, executive officers, any beneficial owner of more than 5% of the Company’s common stock, nor any of their immediate family members, had a direct or indirect material interest. During 2010, we entered into an agreement with one of the members of our Board of Directors, Dr. Peter Traber, to serve as our interim Chief Medical Officer. For his services during 2010, Dr. Traber earned fees of $32,500 ($5,000 of which was paid in January 2011) and was granted warrants for 600,000 shares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Nominating Committee is responsible for, among other things, screening potential director candidates and recommending qualified candidates to the Board for nomination.</w:t>
      </w:r>
    </w:p>
    <w:p>
      <w:pPr>
        <w:spacing w:after="0" w:line="132"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When identifying and evaluating candidates, the Nominating Committee first determines whether there are any evolving needs of the Board that require an expert in a particular field. The Nominating Committee may retain a third-party search firm to assist the Committee in locating qualified candidates that meet the needs of the Board at that time. The search firm provides information on a number of candidates, which the Nominating 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the New York Stock Exchange, it will recommend the nomination of the candidate to the Board.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9" w:name="page20"/>
    <w:bookmarkEnd w:id="19"/>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Secretary of Pro-Pharmaceuticals, Inc. at 7 Wells Avenue, Suite 34, Newton, MA 02459.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Nominating and Corporate Governance Committee;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12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Nominating Committee’s nomination process is designed to ensure that the Nominating Committee fulfills its responsibility to recommend candidates that are properly qualified to serve the Company for the benefit of all of its stockholders, consistent with the standards established by the Nominating Committee under the Company’s Corporate Governance Principles.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Board and management encourage communication from the Company’s stockholders. Stockholders who wish to communicate with the Company’s management should direct their communication to the Secretary of the Board, 7 Wells Avenue, Suite 34, Newton, MA 02459. Stockholders, or other interested parties, who wish to communicate with the non-management directors or any individual director should direct their communication c/o the Secretary at the address above. The Secretary will forward communications intended for the Board to the Vice Chairman of the Board, or, if intended for an individual director, to that director. If multiple communications are received on a similar topic, the Secretary may, in her discretion, forward only representative correspondence. Any communications that are abusive, in bad taste or present safety or security concerns may be handled differently.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Board believes that the Company’s Executive Chairman is best situated to serve as Chairman because he is the director who was a co-founder and is very familiar with the Company’s business and industry, and capable of effectively identifying sources of capital as well as strategic priorities. Independent directors and management have different perspectives and roles in strategy development. The Company’s independent directors bring experience, oversight and expertise from outside the company and industry. The Chief Executive Officer brings company-specific experience and expertise. The Board believes that the separate roles of the Executive Chairman and Chief Executive Officer promotes strategy development and execution, and facilitates information flow between management and the Board, which are essential to effective governance.</w:t>
      </w:r>
    </w:p>
    <w:p>
      <w:pPr>
        <w:spacing w:after="0" w:line="12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One of the key responsibilities of the Board is to develop strategic direction and hold management accountable for the execution of strategy once it is developed. The Board believes the separate roles of the Executive Chairman and the Chief Executive Officer is in the best interest of stockholders because it provides the appropriate balance between strategy development and independent oversight of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Company’s Corporate Governance Principles, non-management directors of the Board are required to meet on a regularly scheduled basis without the presence of management. The Executive Chairman chairs these sessions.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Attendance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Last year there were ten meetings of the Board. Each director attended at least 75% of the total meetings of the Board and committees of the Board of which the director was a member. In addition to participation at Board and committee meetings, our directors discharge their responsibilities throughout the year through personal meetings and other communications, including considerable telephone contact with the Executive Chairman and Chief Executive Officer and others regarding matters of interest and concern to the Company.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does not have a formal policy requiring members of the Board to attend the Annual Meeting, although all directors are strongly encouraged to attend. All nine directors were present at the 2010 Annual Meeting of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Board has an active role, as a whole and also at the committee level, in overseeing management of the Company’s risks. The Board regularly reviews information regarding the Company’s credit, liquidity and operations, as well as the risks associated with each. The Company’s Compensation Committee is responsible for overseeing the management of risks relating to the Company’s executive compensation plans and arrangements. The Audit Committee oversees management of financial risks. The Nominating and Corporate Governance Committee manages risks associated with the independence of the Board of Directors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 xml:space="preserve">The Board has established an Audit Committee, a Compensation Committee, and a Nominating and Corporate Governance Committee. The Audit, Compensation, and Nominating and Corporate Governance Committees are composed entirely of independent directors, as defined under the New York Stock Exchange Corporate Governance Principles. The charters of each committee are available on the Company’s website at </w:t>
      </w:r>
      <w:r>
        <w:rPr>
          <w:rFonts w:ascii="Arial" w:cs="Arial" w:eastAsia="Arial" w:hAnsi="Arial"/>
          <w:sz w:val="15"/>
          <w:szCs w:val="15"/>
          <w:u w:val="single" w:color="auto"/>
          <w:color w:val="auto"/>
        </w:rPr>
        <w:t>www.pro-pharmaceuticals.com</w:t>
      </w:r>
      <w:r>
        <w:rPr>
          <w:rFonts w:ascii="Arial" w:cs="Arial" w:eastAsia="Arial" w:hAnsi="Arial"/>
          <w:sz w:val="15"/>
          <w:szCs w:val="15"/>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Meetings and Committees of the Board</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Board of Directors has determined that all of the directors named in this Proxy Statement are, and all of the former directors who served during our last fiscal year were “independent” within the meaning of the rules of the New York Stock Exchange., other than Dr. Zucconi, who does not serve on a standing committee and Peter Traber who will not be an independent director during 2011. During the year ended December 31, 2010, our Board of Directors held eight meetings.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held at least one meeting of the Board during 2010 which was attended only by the independent (non-management) directors.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During 2010, the Board of Directors had three standing committees: the Compensation Committee, the Audit Committee and the Nominating and Corporate Governance Committee. Each of the Compensation Committee, Audit Committee and Nominating and Corporate Governance Committee has a charter, a copy of which is available in the “About the Company” section of our website at </w:t>
      </w:r>
      <w:r>
        <w:rPr>
          <w:rFonts w:ascii="Arial" w:cs="Arial" w:eastAsia="Arial" w:hAnsi="Arial"/>
          <w:sz w:val="16"/>
          <w:szCs w:val="16"/>
          <w:i w:val="1"/>
          <w:iCs w:val="1"/>
          <w:color w:val="auto"/>
        </w:rPr>
        <w:t>www.pro-pharmaceuticals.com.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Compensation Committee met five times in 2010. The members of this committee are Rod D. Martin (chair), Gilbert F. Amelio, Ph.D. and Arthur R. Greenberg. The Committee is responsible for reviewing and recommending compensation policies and programs, management and corporate goals, as well as salary and benefit levels for our executive officers and other significant employees. Its specific responsibilities include supervising and overseeing the administration of our incentive compensation and stock programs and, as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1" w:name="page22"/>
    <w:bookmarkEnd w:id="21"/>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is responsible for administration of grants and awards to directors, officers, employees, consultants and advisors under Pro-Pharmaceuticals’ 2001 Stock Incentive Plan, 2003 Non-employee Director Stock Incentive Plan and the 2009 Incentive Compensation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 Committee met four times in 2010. The members of this committee are Steven Prelack (chair), Jerald K. Rome and S. Colin Neill. The Audit Committee is responsible for oversight of the quality and integrity of the accounting, auditing and reporting practices of Pro-Pharmaceuticals.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Prelack is an “audit committee financial expert” within the meaning of SEC rules.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The Nominating and Corporate Governance Committee met once in 2010. The members of this committee are Rod D. Martin (chair), Jerald K. Rome and Gilbert F. Amelio, Ph.D. The Nominating and Corporate Governance Committee is responsible for identifying individuals qualified to become members of the Board, and to recommend to the Board, candidates for election or re-election as directors and for reviewing our governance policies in light of the corporate governance rules of the SEC.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Pro-Pharmaceuticals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Criteria and Diversity</w:t>
      </w:r>
    </w:p>
    <w:p>
      <w:pPr>
        <w:spacing w:after="0" w:line="9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In considering whether to recommend any candidate for inclusion in the Board’s slate of recommended director nominees, including candidates recommended by shareholders, the Nominating and Corporate Governance Committee will apply the criteria set forth in governance guidelines. These criteria include the candidate’s integrity, business acumen, age, experience, commitment, diligence, conflicts of interest and the ability to act in the interests of all shareholders. Our guidelines specify that the value of diversity on the Board should be considered by the Nominating and Corporate Governance Committee in the director identification and nomination process. The Committee seeks nominees with a broad diversity of experience, professions, skills, geographic representation and backgrounds. The Committee does not assign specific weights to particular criteria and no particular criterion is necessarily applicable to all prospective nominees. Pro-Pharmaceuticals believes that the backgrounds and 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120" w:lineRule="exact"/>
        <w:rPr>
          <w:sz w:val="20"/>
          <w:szCs w:val="20"/>
          <w:color w:val="auto"/>
        </w:rPr>
      </w:pPr>
    </w:p>
    <w:p>
      <w:pPr>
        <w:ind w:right="1160" w:firstLine="456"/>
        <w:spacing w:after="0" w:line="268" w:lineRule="auto"/>
        <w:rPr>
          <w:sz w:val="20"/>
          <w:szCs w:val="20"/>
          <w:color w:val="auto"/>
        </w:rPr>
      </w:pPr>
      <w:r>
        <w:rPr>
          <w:rFonts w:ascii="Arial" w:cs="Arial" w:eastAsia="Arial" w:hAnsi="Arial"/>
          <w:sz w:val="18"/>
          <w:szCs w:val="18"/>
          <w:color w:val="auto"/>
        </w:rPr>
        <w:t>The Committee has adopted a policy for stockholders to submit recommendations for director candidates. A stockholder desiring to make a recommendation may do so in writing by letter to the Nominating and Corporate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2" w:name="page23"/>
    <w:bookmarkEnd w:id="2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Governance Committee stating the reasons for the recommendation and how the candidate may meet the Committee’s director selection criteria. The letter may be confidential and should be addressed to the Chairman of the Nominating and Corporate Governance Committee, c/o Anthony D. Squeglia, Chief Financial Officer, Pro-Pharmaceuticals, Inc., 7 Wells Avenue, Newton, Massachusetts 02459. The Committee will evaluate stockholder-recommended candidates in the same manner as candidates recommended by other persons.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280" w:right="4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OF NAMED EXECUTIVE OFFICERS</w:t>
      </w:r>
    </w:p>
    <w:p>
      <w:pPr>
        <w:spacing w:after="0" w:line="17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The following table summarizes the compensation paid to our Named Executive Officers for the fiscal years ended December 31, 2010 and 2009.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Option</w:t>
            </w: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All Other</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rPr>
              <w:t>Salary</w:t>
            </w:r>
          </w:p>
        </w:tc>
        <w:tc>
          <w:tcPr>
            <w:tcW w:w="560" w:type="dxa"/>
            <w:vAlign w:val="bottom"/>
          </w:tcPr>
          <w:p>
            <w:pPr>
              <w:ind w:left="100"/>
              <w:spacing w:after="0" w:line="135" w:lineRule="exact"/>
              <w:rPr>
                <w:sz w:val="20"/>
                <w:szCs w:val="20"/>
                <w:color w:val="auto"/>
              </w:rPr>
            </w:pPr>
            <w:r>
              <w:rPr>
                <w:rFonts w:ascii="Arial" w:cs="Arial" w:eastAsia="Arial" w:hAnsi="Arial"/>
                <w:sz w:val="14"/>
                <w:szCs w:val="14"/>
                <w:b w:val="1"/>
                <w:bCs w:val="1"/>
                <w:color w:val="auto"/>
              </w:rPr>
              <w:t>Bonus</w:t>
            </w:r>
          </w:p>
        </w:tc>
        <w:tc>
          <w:tcPr>
            <w:tcW w:w="300" w:type="dxa"/>
            <w:vAlign w:val="bottom"/>
          </w:tcPr>
          <w:p>
            <w:pPr>
              <w:spacing w:after="0"/>
              <w:rPr>
                <w:sz w:val="11"/>
                <w:szCs w:val="11"/>
                <w:color w:val="auto"/>
              </w:rPr>
            </w:pPr>
          </w:p>
        </w:tc>
        <w:tc>
          <w:tcPr>
            <w:tcW w:w="106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6"/>
              </w:rPr>
              <w:t>Awards</w:t>
            </w:r>
          </w:p>
        </w:tc>
        <w:tc>
          <w:tcPr>
            <w:tcW w:w="134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90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56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center"/>
              <w:ind w:left="215"/>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4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480" w:type="dxa"/>
            <w:vAlign w:val="bottom"/>
          </w:tcPr>
          <w:p>
            <w:pPr>
              <w:spacing w:after="0"/>
              <w:rPr>
                <w:sz w:val="15"/>
                <w:szCs w:val="15"/>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D. Zucconi, Ph.D.,</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2010</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120,000</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80,000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28,168</w:t>
            </w:r>
            <w:r>
              <w:rPr>
                <w:rFonts w:ascii="Arial" w:cs="Arial" w:eastAsia="Arial" w:hAnsi="Arial"/>
                <w:sz w:val="11"/>
                <w:szCs w:val="11"/>
                <w:color w:val="auto"/>
              </w:rPr>
              <w:t>(4)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 &amp; President</w:t>
            </w:r>
            <w:r>
              <w:rPr>
                <w:rFonts w:ascii="Arial" w:cs="Arial" w:eastAsia="Arial" w:hAnsi="Arial"/>
                <w:sz w:val="11"/>
                <w:szCs w:val="11"/>
                <w:color w:val="auto"/>
              </w:rPr>
              <w:t>(2)</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2009</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111,988</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10,000</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905,736</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53,737</w:t>
            </w:r>
            <w:r>
              <w:rPr>
                <w:rFonts w:ascii="Arial" w:cs="Arial" w:eastAsia="Arial" w:hAnsi="Arial"/>
                <w:sz w:val="11"/>
                <w:szCs w:val="11"/>
                <w:color w:val="auto"/>
              </w:rPr>
              <w:t>(5)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1,081,461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gridSpan w:val="2"/>
          </w:tcPr>
          <w:p>
            <w:pPr>
              <w:spacing w:after="0" w:line="162" w:lineRule="exact"/>
              <w:rPr>
                <w:sz w:val="20"/>
                <w:szCs w:val="20"/>
                <w:color w:val="auto"/>
              </w:rPr>
            </w:pPr>
            <w:r>
              <w:rPr>
                <w:rFonts w:ascii="Arial" w:cs="Arial" w:eastAsia="Arial" w:hAnsi="Arial"/>
                <w:sz w:val="18"/>
                <w:szCs w:val="18"/>
                <w:color w:val="auto"/>
              </w:rPr>
              <w:t>David Platt, Ph.D.,</w:t>
            </w:r>
          </w:p>
        </w:tc>
        <w:tc>
          <w:tcPr>
            <w:tcW w:w="640" w:type="dxa"/>
            <w:vAlign w:val="bottom"/>
            <w:gridSpan w:val="2"/>
          </w:tcPr>
          <w:p>
            <w:pPr>
              <w:ind w:left="280"/>
              <w:spacing w:after="0" w:line="162" w:lineRule="exact"/>
              <w:rPr>
                <w:sz w:val="20"/>
                <w:szCs w:val="20"/>
                <w:color w:val="auto"/>
              </w:rPr>
            </w:pPr>
            <w:r>
              <w:rPr>
                <w:rFonts w:ascii="Arial" w:cs="Arial" w:eastAsia="Arial" w:hAnsi="Arial"/>
                <w:sz w:val="18"/>
                <w:szCs w:val="18"/>
                <w:color w:val="auto"/>
                <w:w w:val="84"/>
              </w:rPr>
              <w:t>2010</w:t>
            </w:r>
          </w:p>
        </w:tc>
        <w:tc>
          <w:tcPr>
            <w:tcW w:w="300" w:type="dxa"/>
            <w:vAlign w:val="bottom"/>
          </w:tcPr>
          <w:p>
            <w:pPr>
              <w:spacing w:after="0"/>
              <w:rPr>
                <w:sz w:val="14"/>
                <w:szCs w:val="14"/>
                <w:color w:val="auto"/>
              </w:rPr>
            </w:pPr>
          </w:p>
        </w:tc>
        <w:tc>
          <w:tcPr>
            <w:tcW w:w="960" w:type="dxa"/>
            <w:vAlign w:val="bottom"/>
            <w:gridSpan w:val="2"/>
          </w:tcPr>
          <w:p>
            <w:pPr>
              <w:jc w:val="right"/>
              <w:ind w:right="400"/>
              <w:spacing w:after="0" w:line="162" w:lineRule="exact"/>
              <w:rPr>
                <w:sz w:val="20"/>
                <w:szCs w:val="20"/>
                <w:color w:val="auto"/>
              </w:rPr>
            </w:pPr>
            <w:r>
              <w:rPr>
                <w:rFonts w:ascii="Arial" w:cs="Arial" w:eastAsia="Arial" w:hAnsi="Arial"/>
                <w:sz w:val="18"/>
                <w:szCs w:val="18"/>
                <w:color w:val="auto"/>
              </w:rPr>
              <w:t>—</w:t>
            </w:r>
          </w:p>
        </w:tc>
        <w:tc>
          <w:tcPr>
            <w:tcW w:w="560" w:type="dxa"/>
            <w:vAlign w:val="bottom"/>
          </w:tcPr>
          <w:p>
            <w:pPr>
              <w:ind w:left="300"/>
              <w:spacing w:after="0" w:line="16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4"/>
                <w:szCs w:val="14"/>
                <w:color w:val="auto"/>
              </w:rPr>
            </w:pPr>
          </w:p>
        </w:tc>
        <w:tc>
          <w:tcPr>
            <w:tcW w:w="1060" w:type="dxa"/>
            <w:vAlign w:val="bottom"/>
            <w:gridSpan w:val="2"/>
          </w:tcPr>
          <w:p>
            <w:pPr>
              <w:jc w:val="right"/>
              <w:ind w:right="500"/>
              <w:spacing w:after="0" w:line="16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line="162" w:lineRule="exact"/>
              <w:rPr>
                <w:sz w:val="20"/>
                <w:szCs w:val="20"/>
                <w:color w:val="auto"/>
              </w:rPr>
            </w:pPr>
            <w:r>
              <w:rPr>
                <w:rFonts w:ascii="Arial" w:cs="Arial" w:eastAsia="Arial" w:hAnsi="Arial"/>
                <w:sz w:val="18"/>
                <w:szCs w:val="18"/>
                <w:color w:val="auto"/>
              </w:rPr>
              <w:t>153,602</w:t>
            </w:r>
            <w:r>
              <w:rPr>
                <w:rFonts w:ascii="Arial" w:cs="Arial" w:eastAsia="Arial" w:hAnsi="Arial"/>
                <w:sz w:val="11"/>
                <w:szCs w:val="11"/>
                <w:color w:val="auto"/>
              </w:rPr>
              <w:t>(6)</w:t>
            </w:r>
          </w:p>
        </w:tc>
        <w:tc>
          <w:tcPr>
            <w:tcW w:w="900" w:type="dxa"/>
            <w:vAlign w:val="bottom"/>
            <w:gridSpan w:val="2"/>
          </w:tcPr>
          <w:p>
            <w:pPr>
              <w:jc w:val="right"/>
              <w:ind w:right="100"/>
              <w:spacing w:after="0" w:line="162" w:lineRule="exact"/>
              <w:rPr>
                <w:sz w:val="20"/>
                <w:szCs w:val="20"/>
                <w:color w:val="auto"/>
              </w:rPr>
            </w:pPr>
            <w:r>
              <w:rPr>
                <w:rFonts w:ascii="Arial" w:cs="Arial" w:eastAsia="Arial" w:hAnsi="Arial"/>
                <w:sz w:val="18"/>
                <w:szCs w:val="18"/>
                <w:color w:val="auto"/>
              </w:rPr>
              <w:t>153,602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w:t>
            </w:r>
            <w:r>
              <w:rPr>
                <w:rFonts w:ascii="Arial" w:cs="Arial" w:eastAsia="Arial" w:hAnsi="Arial"/>
                <w:sz w:val="11"/>
                <w:szCs w:val="11"/>
                <w:color w:val="auto"/>
              </w:rPr>
              <w:t>(3)</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2009</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14,000</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41,605</w:t>
            </w:r>
            <w:r>
              <w:rPr>
                <w:rFonts w:ascii="Arial" w:cs="Arial" w:eastAsia="Arial" w:hAnsi="Arial"/>
                <w:sz w:val="22"/>
                <w:szCs w:val="22"/>
                <w:color w:val="auto"/>
                <w:vertAlign w:val="superscript"/>
              </w:rPr>
              <w:t>(10)</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134,917</w:t>
            </w:r>
            <w:r>
              <w:rPr>
                <w:rFonts w:ascii="Arial" w:cs="Arial" w:eastAsia="Arial" w:hAnsi="Arial"/>
                <w:sz w:val="11"/>
                <w:szCs w:val="11"/>
                <w:color w:val="auto"/>
              </w:rPr>
              <w:t>(7)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190,522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Eliezer Zomer, Ph.D.,</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2010</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110,000</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24,471</w:t>
            </w:r>
            <w:r>
              <w:rPr>
                <w:rFonts w:ascii="Arial" w:cs="Arial" w:eastAsia="Arial" w:hAnsi="Arial"/>
                <w:sz w:val="11"/>
                <w:szCs w:val="11"/>
                <w:color w:val="auto"/>
              </w:rPr>
              <w:t>(8)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Executive Vice President of Manufacturing and Product Development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2009</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104,833</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70,724</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28,756</w:t>
            </w:r>
            <w:r>
              <w:rPr>
                <w:rFonts w:ascii="Arial" w:cs="Arial" w:eastAsia="Arial" w:hAnsi="Arial"/>
                <w:sz w:val="11"/>
                <w:szCs w:val="11"/>
                <w:color w:val="auto"/>
              </w:rPr>
              <w:t>(9)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Anthony Squeglia,</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2010</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90,000</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51,017</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21,606</w:t>
            </w:r>
            <w:r>
              <w:rPr>
                <w:rFonts w:ascii="Arial" w:cs="Arial" w:eastAsia="Arial" w:hAnsi="Arial"/>
                <w:sz w:val="11"/>
                <w:szCs w:val="11"/>
                <w:color w:val="auto"/>
              </w:rPr>
              <w:t>(11)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162,623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2009</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86,500</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50,517</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20,688</w:t>
            </w:r>
            <w:r>
              <w:rPr>
                <w:rFonts w:ascii="Arial" w:cs="Arial" w:eastAsia="Arial" w:hAnsi="Arial"/>
                <w:sz w:val="11"/>
                <w:szCs w:val="11"/>
                <w:color w:val="auto"/>
              </w:rPr>
              <w:t>(12)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157,705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Maureen Foley,</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2010</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92,500</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51,017</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18,888</w:t>
            </w:r>
            <w:r>
              <w:rPr>
                <w:rFonts w:ascii="Arial" w:cs="Arial" w:eastAsia="Arial" w:hAnsi="Arial"/>
                <w:sz w:val="11"/>
                <w:szCs w:val="11"/>
                <w:color w:val="auto"/>
              </w:rPr>
              <w:t>(13)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2009</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88,792</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30,310</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17,556</w:t>
            </w:r>
            <w:r>
              <w:rPr>
                <w:rFonts w:ascii="Arial" w:cs="Arial" w:eastAsia="Arial" w:hAnsi="Arial"/>
                <w:sz w:val="11"/>
                <w:szCs w:val="11"/>
                <w:color w:val="auto"/>
              </w:rPr>
              <w:t>(14)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Anatole Klyosov, Ph.D.,</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2010</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110,000</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70,149</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23,545</w:t>
            </w:r>
            <w:r>
              <w:rPr>
                <w:rFonts w:ascii="Arial" w:cs="Arial" w:eastAsia="Arial" w:hAnsi="Arial"/>
                <w:sz w:val="11"/>
                <w:szCs w:val="11"/>
                <w:color w:val="auto"/>
              </w:rPr>
              <w:t>(15)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203,694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Chief Scientist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2009</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100,833</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30,310</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26,806</w:t>
            </w:r>
            <w:r>
              <w:rPr>
                <w:rFonts w:ascii="Arial" w:cs="Arial" w:eastAsia="Arial" w:hAnsi="Arial"/>
                <w:sz w:val="11"/>
                <w:szCs w:val="11"/>
                <w:color w:val="auto"/>
              </w:rPr>
              <w:t>(16)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157,949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60" w:hanging="452"/>
        <w:spacing w:after="0" w:line="399"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These amounts represent the aggregate grant date fair value of option awards for fiscal 2010 and 2009, respectively. These amounts do not represent the actual amounts paid to or realized by the named executive officer for these awards during fiscal years 2010 and 2009. The value of as of the grant date for stock options is recognized over the number of days of service required or the achievement of certain specified milestones for the grant to become vested. The following table includes the assumptions used to calculate the grant date fair value reported for fiscal years 2010 and 2009 on a grant by grant basis.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Assumptions</w:t>
            </w:r>
          </w:p>
        </w:tc>
        <w:tc>
          <w:tcPr>
            <w:tcW w:w="3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Risk-</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Free</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Shares</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79"/>
              </w:rPr>
              <w:t>Exercise</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Expected</w:t>
            </w:r>
          </w:p>
        </w:tc>
        <w:tc>
          <w:tcPr>
            <w:tcW w:w="3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Interest</w:t>
            </w:r>
          </w:p>
        </w:tc>
        <w:tc>
          <w:tcPr>
            <w:tcW w:w="3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Dividend</w:t>
            </w:r>
          </w:p>
        </w:tc>
        <w:tc>
          <w:tcPr>
            <w:tcW w:w="36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Grant</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Granted</w:t>
            </w: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Price</w:t>
            </w: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5"/>
              </w:rPr>
              <w:t>Volatility</w:t>
            </w:r>
          </w:p>
        </w:tc>
        <w:tc>
          <w:tcPr>
            <w:tcW w:w="540" w:type="dxa"/>
            <w:vAlign w:val="bottom"/>
          </w:tcPr>
          <w:p>
            <w:pPr>
              <w:jc w:val="right"/>
              <w:ind w:right="78"/>
              <w:spacing w:after="0" w:line="149" w:lineRule="exact"/>
              <w:rPr>
                <w:sz w:val="20"/>
                <w:szCs w:val="20"/>
                <w:color w:val="auto"/>
              </w:rPr>
            </w:pPr>
            <w:r>
              <w:rPr>
                <w:rFonts w:ascii="Arial" w:cs="Arial" w:eastAsia="Arial" w:hAnsi="Arial"/>
                <w:sz w:val="14"/>
                <w:szCs w:val="14"/>
                <w:b w:val="1"/>
                <w:bCs w:val="1"/>
                <w:color w:val="auto"/>
              </w:rPr>
              <w:t>Life</w:t>
            </w:r>
          </w:p>
        </w:tc>
        <w:tc>
          <w:tcPr>
            <w:tcW w:w="3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Rate</w:t>
            </w:r>
          </w:p>
        </w:tc>
        <w:tc>
          <w:tcPr>
            <w:tcW w:w="380" w:type="dxa"/>
            <w:vAlign w:val="bottom"/>
          </w:tcPr>
          <w:p>
            <w:pPr>
              <w:spacing w:after="0"/>
              <w:rPr>
                <w:sz w:val="12"/>
                <w:szCs w:val="12"/>
                <w:color w:val="auto"/>
              </w:rPr>
            </w:pP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Yield</w:t>
            </w:r>
          </w:p>
        </w:tc>
        <w:tc>
          <w:tcPr>
            <w:tcW w:w="3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61"/>
        </w:trPr>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4"/>
                <w:szCs w:val="14"/>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Date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54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6"/>
              </w:rPr>
              <w:t>(Years)</w:t>
            </w:r>
          </w:p>
        </w:tc>
        <w:tc>
          <w:tcPr>
            <w:tcW w:w="840" w:type="dxa"/>
            <w:vAlign w:val="bottom"/>
            <w:gridSpan w:val="2"/>
          </w:tcPr>
          <w:p>
            <w:pPr>
              <w:jc w:val="center"/>
              <w:ind w:left="294"/>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center"/>
              <w:ind w:left="294"/>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D. Zucconi, Ph.D.</w:t>
            </w: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5/21/2009</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2,000,000</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0.48</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3/24/2009</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500,000</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0.23</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David Platt, Ph.D.</w:t>
            </w: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2/25/2009</w:t>
            </w:r>
            <w:r>
              <w:rPr>
                <w:rFonts w:ascii="Arial" w:cs="Arial" w:eastAsia="Arial" w:hAnsi="Arial"/>
                <w:sz w:val="11"/>
                <w:szCs w:val="11"/>
                <w:color w:val="auto"/>
              </w:rPr>
              <w:t>(10)</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250,000</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0.20</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121</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Eliezer Zomer, Ph.D.</w:t>
            </w: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4/21/2009</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175,000</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0.48</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Anthony Squeglia</w:t>
            </w: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2/1/10</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200,000</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0.30</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126</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5/21/09</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50,000</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0.48</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124</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4/21/09</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75,000</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0.48</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124</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Maureen Foley</w:t>
            </w: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2/1/10</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200,000</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4/21/09</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75,000</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0.48</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Anatole Klyosov</w:t>
            </w: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2/1/10</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275,000</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0.30</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126</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4/21/09</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75,000</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0.48</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124</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Chief Executive Officer from February 12, 2009 to March 16, 2011.</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Resigned effective February 12,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$16,351 for local housing and travel to permanent residence and $11,817 for health insurance.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$44,861 for local housing and travel to permanent residence, $6,010 for health insurance and $2,866 for automobile expenses.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4" w:name="page25"/>
    <w:bookmarkEnd w:id="24"/>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$120,000 of severance payments, $24,000 for health insurance expenses and $9,602 for automobile expenses.</w:t>
      </w:r>
    </w:p>
    <w:p>
      <w:pPr>
        <w:spacing w:after="0" w:line="15"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$100,000 of severance payments, $25,157 for health insurance expenses ($20,000 paid after resignation per Dr. Platt’s severance agreement), $9,600 for automobile expenses ($8,000 paid after resignation) and $160 for retirement plan contributions.</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$20,071 for health insurance expenses and $4,400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$24,563 for health insurance expenses and $4,193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Granted for service as an outgoing board member.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$18,006 for health insurance expenses and $3,600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$17,228 for health insurance expenses and $3,460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$15,188 for health insurance expenses and $3,700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$14,004 for health insurance expenses and $3,552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$19,145 for health insurance expenses and $4,400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$22,773 for health insurance expenses and $4,033 for retirement plan contributions.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conserve cash, the Named Executive Officers and certain other key employees voluntarily reduced their cash salaries in 2010 and 2009.</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Material Terms of Employment Contracts of Named Executive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Theodore D. Zucconi, PhD., Former Chief Executive Officer and President</w:t>
      </w:r>
    </w:p>
    <w:p>
      <w:pPr>
        <w:spacing w:after="0" w:line="9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In connection with the sale of our Series B preferred stock to the 10X Fund, Dr. Zucconi was appointed as our Chief Executive Officer and President effective February 12, 2009, serving in that position through March 16, 2011. Peter G. Traber, M.D. became our Chief Executive Officer and President on March 17, 2011. As of the date of this proxy statement we have not entered into a definitive employment agreement with him.</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May 21, 2009, we entered into an employment agreement with Dr Zucconi (the “Agreement”) for a term ending May 31, 2011. The Agreement provides for an annual salary of $260,000, retroactive to February 12, 2009, which may be adjusted proportionately to the adjustments for other executives, provided that any reductions of 2009 compensation shall be paid no later than the first calendar quarter of 2010. Due to cash conservation efforts, Dr. Zucconi agreed to work for a base monthly salary of $10,000 in 2009. On December 31, 2009, Dr. Zucconi and the Company agreed that we owe him no unpaid 2009 salary except for accrued vacation. As incentives, Dr. Zucconi is entitled to grants of up to 2,000,000 stock options, which at his election may be incentive stock options or non-qualified stock options, to purchase shares of our common stock as follows: (i) 400,000 as of the effective date of the Agreement, (ii) 150,000 with a vesting date of December 31, 2009; (iii) 200,000 with a vesting date of December 31, 2010; and upon achieving the following milestones: (a) 100,000 after the effective date of an investigational new drug application by the U.S. Food and Drug Administration (“FDA”), e.g., for fibrosis or anti-hypoxia, filed by the Company, a partner, an agent or subsidiary; (b) 300,000 for any FDA approval of marketing and sales of DAVANAT</w:t>
      </w:r>
      <w:r>
        <w:rPr>
          <w:rFonts w:ascii="Arial" w:cs="Arial" w:eastAsia="Arial" w:hAnsi="Arial"/>
          <w:sz w:val="10"/>
          <w:szCs w:val="10"/>
          <w:color w:val="auto"/>
        </w:rPr>
        <w:t>®</w:t>
      </w:r>
      <w:r>
        <w:rPr>
          <w:rFonts w:ascii="Arial" w:cs="Arial" w:eastAsia="Arial" w:hAnsi="Arial"/>
          <w:sz w:val="16"/>
          <w:szCs w:val="16"/>
          <w:color w:val="auto"/>
        </w:rPr>
        <w:t>; (c) 100,000 for each of first three agreements to sell/distribute a product; (d) 150,000 for the initiation of sales of DAVANAT</w:t>
      </w:r>
      <w:r>
        <w:rPr>
          <w:rFonts w:ascii="Arial" w:cs="Arial" w:eastAsia="Arial" w:hAnsi="Arial"/>
          <w:sz w:val="10"/>
          <w:szCs w:val="10"/>
          <w:color w:val="auto"/>
        </w:rPr>
        <w:t>®</w:t>
      </w:r>
      <w:r>
        <w:rPr>
          <w:rFonts w:ascii="Arial" w:cs="Arial" w:eastAsia="Arial" w:hAnsi="Arial"/>
          <w:sz w:val="16"/>
          <w:szCs w:val="16"/>
          <w:color w:val="auto"/>
        </w:rPr>
        <w:t xml:space="preserve"> anywhere in the world; (e) 150,000 for the initiation of sales of DAVANAT</w:t>
      </w:r>
      <w:r>
        <w:rPr>
          <w:rFonts w:ascii="Arial" w:cs="Arial" w:eastAsia="Arial" w:hAnsi="Arial"/>
          <w:sz w:val="10"/>
          <w:szCs w:val="10"/>
          <w:color w:val="auto"/>
        </w:rPr>
        <w:t>®</w:t>
      </w:r>
      <w:r>
        <w:rPr>
          <w:rFonts w:ascii="Arial" w:cs="Arial" w:eastAsia="Arial" w:hAnsi="Arial"/>
          <w:sz w:val="16"/>
          <w:szCs w:val="16"/>
          <w:color w:val="auto"/>
        </w:rPr>
        <w:t xml:space="preserve"> specifically in the United States; and (f) 250,000 following the first calendar quarter in which we achieve profitability. The stock options are exercisable for seven years whether or not Dr. Zucconi is then employed by us, are priced on the date of approval of this agreement, shall vest as indicated and contain a “cashless” exercise provision. Dr. Zucconi may elect to take stock instead of stock options.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Agreement provides that Dr. Zucconi shall be entitled to cash bonus payments as follows: (i) $100,000 of which $20,000 is paid when an additional $1 million is raised and $40,000 when each additional $1 million is received until the total is paid; (ii) 2% of financing introduced from sources identified by Dr. Zucconi and not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5" w:name="page26"/>
    <w:bookmarkEnd w:id="25"/>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sources, or their successors, previously identified by us or 10X Capital Management; and (iii) 1% of the upfront fees and milestone payments in the event a partnership or joint venture is formed to sell or distribute a Company drug or reached with another company with upfront fees and milestone payments. In 2009, Dr. Zucconi received $20,000 cash bonus.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Agreement entitles Dr. Zucconi to: (i) an automobile allowance of $500 per month; (ii) use of an apartment within reasonable commuting distance of our principal offices, and up to $20,000 per year additional temporary living costs; (iii) fourteen round trip single passenger airline tickets (by coach) per year between Massachusetts and Phoenix, Arizona; (iv) participation in our 401(k) plan with an employer match; and (v) medical insurance through us or reimbursement for premiums paid by Dr. Zucconi.</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Agreement provides for (i) severance compensation in the event Dr. Zucconi’s employment is terminated without cause; (ii) payments and eligibility for continuation of benefits to his spouse and eligible dependents in the event of his death; (iii) continued compensation and eligibility of his spouse and dependents for benefits in the event of his termination by reason of disability; and (iv) rights to indemnification if Dr. Zucconi is made a party or threatened to be made a party to a proceeding by virtue of his capacity as a director or employee of us. The Agreement contains covenants binding on Zucconi with respect to assignment of inventions, confidentiality, non-solicitation, and non-competition.</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Agreement in certain events obligates us with respect to certain payments and other coverages for the benefit of Dr. Zucconi’s spouse and eligible dependents upon written certification from the Board of Directors of the Company that the Company’s financial condition can support such expense, which shall be revisited at each meeting until the certification is made.</w:t>
      </w:r>
    </w:p>
    <w:p>
      <w:pPr>
        <w:spacing w:after="0" w:line="221" w:lineRule="exact"/>
        <w:rPr>
          <w:sz w:val="20"/>
          <w:szCs w:val="20"/>
          <w:color w:val="auto"/>
        </w:rPr>
      </w:pPr>
    </w:p>
    <w:p>
      <w:pPr>
        <w:ind w:left="460" w:right="4420"/>
        <w:spacing w:after="0" w:line="362" w:lineRule="auto"/>
        <w:rPr>
          <w:sz w:val="20"/>
          <w:szCs w:val="20"/>
          <w:color w:val="auto"/>
        </w:rPr>
      </w:pPr>
      <w:r>
        <w:rPr>
          <w:rFonts w:ascii="Arial" w:cs="Arial" w:eastAsia="Arial" w:hAnsi="Arial"/>
          <w:sz w:val="18"/>
          <w:szCs w:val="18"/>
          <w:i w:val="1"/>
          <w:iCs w:val="1"/>
          <w:color w:val="auto"/>
        </w:rPr>
        <w:t xml:space="preserve">Eliezer Zomer, Ph.D., Executive Vice President of Manufacturing and Product Development </w:t>
      </w:r>
      <w:r>
        <w:rPr>
          <w:rFonts w:ascii="Arial" w:cs="Arial" w:eastAsia="Arial" w:hAnsi="Arial"/>
          <w:sz w:val="18"/>
          <w:szCs w:val="18"/>
          <w:color w:val="auto"/>
        </w:rPr>
        <w:t>We do not have an employment agreement with Dr. Zomer.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Anthony Squeglia, Chief Financial Officer</w:t>
      </w:r>
    </w:p>
    <w:p>
      <w:pPr>
        <w:spacing w:after="0" w:line="90"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We entered into an Amended and Restated Employment agreement with Mr. Squeglia in December 2007 under which he was entitled to receive an annual salary of $180,000 and participate in company employee benefit plans, and was awarded 20,000 incentive stock options, all of which have vested. On March 8, 2011, we entered into an Amended Employment Agreement with Mr. Squeglia which supersedes his prior employment agreement. Under this Agreement,</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Squeglia is engaged for a one-year term ending March 6, 2012 (the “Term”) at a base salary of $150,000 and is entitled to participate in the Company’s standard employee benefits plan and vacation. If Mr. Squeglia is terminated by the Company without “cause” as defined in the Agreement, or terminates his employment for “good reason,” as defined in the Agreement, he is entitled to all compensation and benefits through the end of the Term and a severance comprised of six months base salary and continued employee benefits. If terminated for cause, he is entitled to six months base salary. The Agreement also provides for a $60,000 signing bonus, a $50,000 lump sum payment and $25,000 transition bonus payment payable on or before stated dates even if Mr. Squeglia is terminated for any reason. The Agreement requires Mr. Squeglia to assign intellectual property to the Company and contains non-competition, non-solicitation and confidentiality provisions which continue after employment.</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80" w:right="31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Maureen Foley, Chief Operating Officer</w:t>
      </w:r>
    </w:p>
    <w:p>
      <w:pPr>
        <w:spacing w:after="0" w:line="90"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We entered into an employment agreement with Ms Foley dated January 19, 2009, under which she was entitled to receive an annual salary of $185,000 per year and participate in company employee benefit plans. On March 8, 2011, we entered into an Amended Employment Agreement with her which supersedes her prior employment agreement. Under this Agreement, Ms. Foley is engaged for a one-year term ending March 6, 2012 (the “Term”) at a base salary of $150,000 and is entitled to participate in the Company’s standard employee benefits plan, vacation and up to 40 days personal time off in respect of prior service to the Company. Following the Term, Ms. Foley’s employment continues for successive 30-day periods unless terminated by the Company with prior notice. If Ms Foley is terminated by the Company, without “cause” as defined in the Agreement, or terminates her employment for “good reason,” as defined in the Agreement, she is entitled to all compensation and benefits through the end of the Term and a severance comprised of six months base salary and continued employee benefits. If terminated for cause, she is entitled to six months base salary. The Agreement also provides for a $60,000 signing bonus, a $50,000 lump sum payment and $25,000 transition bonus payment payable by stated dates even if Ms. Foley is terminated for any reason. The Foley Agreement requires Ms. Foley to assign intellectual property to the Company and contains non-competition, non-solicitation and confidentiality provisions which continue after employment.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Anatole Klyosov, Chief Scientist</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entered into an employment agreement with Dr. Klyosov dated January 3, 2006, under which he is entitled to receive an annual salary of $200,000 and participate in company employee benefit plans. If Dr. Klyosov’s employment is terminated without cause, he is entitled to two months severance play plus one month for each subsequent year of service, up to maximum of 6 months base salary and health insurance coverage. The agreement also contains inventions assignment, non-solicitation, and confidentiality and non-competition covenants.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 2010</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provides information with respect to outstanding stock options held by the officers named in the Summary Compensation Table as of December 31,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960" w:type="dxa"/>
            <w:vAlign w:val="bottom"/>
            <w:gridSpan w:val="5"/>
          </w:tcPr>
          <w:p>
            <w:pPr>
              <w:jc w:val="right"/>
              <w:ind w:right="1720"/>
              <w:spacing w:after="0"/>
              <w:rPr>
                <w:sz w:val="20"/>
                <w:szCs w:val="20"/>
                <w:color w:val="auto"/>
              </w:rPr>
            </w:pPr>
            <w:r>
              <w:rPr>
                <w:rFonts w:ascii="Arial" w:cs="Arial" w:eastAsia="Arial" w:hAnsi="Arial"/>
                <w:sz w:val="14"/>
                <w:szCs w:val="14"/>
                <w:b w:val="1"/>
                <w:bCs w:val="1"/>
                <w:color w:val="auto"/>
              </w:rPr>
              <w:t>Stock Option Awards</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1"/>
              </w:rPr>
              <w:t>Number of</w:t>
            </w:r>
          </w:p>
        </w:tc>
        <w:tc>
          <w:tcPr>
            <w:tcW w:w="5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540" w:type="dxa"/>
            <w:vAlign w:val="bottom"/>
          </w:tcPr>
          <w:p>
            <w:pPr>
              <w:spacing w:after="0"/>
              <w:rPr>
                <w:sz w:val="12"/>
                <w:szCs w:val="12"/>
                <w:color w:val="auto"/>
              </w:rPr>
            </w:pPr>
          </w:p>
        </w:tc>
        <w:tc>
          <w:tcPr>
            <w:tcW w:w="19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Option</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40" w:type="dxa"/>
            <w:vAlign w:val="bottom"/>
          </w:tcPr>
          <w:p>
            <w:pPr>
              <w:spacing w:after="0"/>
              <w:rPr>
                <w:sz w:val="12"/>
                <w:szCs w:val="12"/>
                <w:color w:val="auto"/>
              </w:rPr>
            </w:pPr>
          </w:p>
        </w:tc>
        <w:tc>
          <w:tcPr>
            <w:tcW w:w="19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Securities Underlying</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Exercise</w:t>
            </w:r>
          </w:p>
        </w:tc>
        <w:tc>
          <w:tcPr>
            <w:tcW w:w="64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54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Options</w:t>
            </w:r>
          </w:p>
        </w:tc>
        <w:tc>
          <w:tcPr>
            <w:tcW w:w="540" w:type="dxa"/>
            <w:vAlign w:val="bottom"/>
          </w:tcPr>
          <w:p>
            <w:pPr>
              <w:spacing w:after="0"/>
              <w:rPr>
                <w:sz w:val="12"/>
                <w:szCs w:val="12"/>
                <w:color w:val="auto"/>
              </w:rPr>
            </w:pPr>
          </w:p>
        </w:tc>
        <w:tc>
          <w:tcPr>
            <w:tcW w:w="19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Unexercised Options</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Price Per</w:t>
            </w:r>
          </w:p>
        </w:tc>
        <w:tc>
          <w:tcPr>
            <w:tcW w:w="64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3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Grant Date</w:t>
            </w:r>
          </w:p>
        </w:tc>
        <w:tc>
          <w:tcPr>
            <w:tcW w:w="54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Exercisable</w:t>
            </w:r>
          </w:p>
        </w:tc>
        <w:tc>
          <w:tcPr>
            <w:tcW w:w="540" w:type="dxa"/>
            <w:vAlign w:val="bottom"/>
          </w:tcPr>
          <w:p>
            <w:pPr>
              <w:spacing w:after="0"/>
              <w:rPr>
                <w:sz w:val="14"/>
                <w:szCs w:val="14"/>
                <w:color w:val="auto"/>
              </w:rPr>
            </w:pPr>
          </w:p>
        </w:tc>
        <w:tc>
          <w:tcPr>
            <w:tcW w:w="19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6"/>
              </w:rPr>
              <w:t>Un-exercisable</w:t>
            </w:r>
          </w:p>
        </w:tc>
        <w:tc>
          <w:tcPr>
            <w:tcW w:w="54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85"/>
              </w:rPr>
              <w:t>Share($</w:t>
            </w:r>
            <w:r>
              <w:rPr>
                <w:rFonts w:ascii="Arial" w:cs="Arial" w:eastAsia="Arial" w:hAnsi="Arial"/>
                <w:sz w:val="14"/>
                <w:szCs w:val="14"/>
                <w:b w:val="1"/>
                <w:bCs w:val="1"/>
                <w:color w:val="auto"/>
                <w:w w:val="85"/>
              </w:rPr>
              <w:t>)</w:t>
            </w:r>
          </w:p>
        </w:tc>
        <w:tc>
          <w:tcPr>
            <w:tcW w:w="64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D. Zucconi, Ph.D.</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12/09/2007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12/09/2012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04/10/2008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03/24/2009</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468,750</w:t>
            </w:r>
            <w:r>
              <w:rPr>
                <w:rFonts w:ascii="Arial" w:cs="Arial" w:eastAsia="Arial" w:hAnsi="Arial"/>
                <w:sz w:val="11"/>
                <w:szCs w:val="11"/>
                <w:color w:val="auto"/>
              </w:rPr>
              <w:t>(1)</w:t>
            </w:r>
          </w:p>
        </w:tc>
        <w:tc>
          <w:tcPr>
            <w:tcW w:w="2520" w:type="dxa"/>
            <w:vAlign w:val="bottom"/>
            <w:gridSpan w:val="3"/>
            <w:shd w:val="clear" w:color="auto" w:fill="CCEEFF"/>
          </w:tcPr>
          <w:p>
            <w:pPr>
              <w:jc w:val="center"/>
              <w:ind w:left="632"/>
              <w:spacing w:after="0"/>
              <w:rPr>
                <w:sz w:val="20"/>
                <w:szCs w:val="20"/>
                <w:color w:val="auto"/>
              </w:rPr>
            </w:pPr>
            <w:r>
              <w:rPr>
                <w:rFonts w:ascii="Arial" w:cs="Arial" w:eastAsia="Arial" w:hAnsi="Arial"/>
                <w:sz w:val="18"/>
                <w:szCs w:val="18"/>
                <w:color w:val="auto"/>
                <w:w w:val="87"/>
              </w:rPr>
              <w:t>31,250</w:t>
            </w:r>
            <w:r>
              <w:rPr>
                <w:rFonts w:ascii="Arial" w:cs="Arial" w:eastAsia="Arial" w:hAnsi="Arial"/>
                <w:sz w:val="11"/>
                <w:szCs w:val="11"/>
                <w:color w:val="auto"/>
                <w:w w:val="87"/>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03/24/2014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05/21/2009</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850,000</w:t>
            </w:r>
            <w:r>
              <w:rPr>
                <w:rFonts w:ascii="Arial" w:cs="Arial" w:eastAsia="Arial" w:hAnsi="Arial"/>
                <w:sz w:val="11"/>
                <w:szCs w:val="11"/>
                <w:color w:val="auto"/>
              </w:rPr>
              <w:t>(2)</w:t>
            </w:r>
          </w:p>
        </w:tc>
        <w:tc>
          <w:tcPr>
            <w:tcW w:w="25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1,150,000</w:t>
            </w:r>
            <w:r>
              <w:rPr>
                <w:rFonts w:ascii="Arial" w:cs="Arial" w:eastAsia="Arial" w:hAnsi="Arial"/>
                <w:sz w:val="11"/>
                <w:szCs w:val="11"/>
                <w:color w:val="auto"/>
              </w:rPr>
              <w:t>(2)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05/21/2016</w:t>
            </w:r>
          </w:p>
        </w:tc>
        <w:tc>
          <w:tcPr>
            <w:tcW w:w="0" w:type="dxa"/>
            <w:vAlign w:val="bottom"/>
          </w:tcPr>
          <w:p>
            <w:pPr>
              <w:spacing w:after="0"/>
              <w:rPr>
                <w:sz w:val="1"/>
                <w:szCs w:val="1"/>
                <w:color w:val="auto"/>
              </w:rPr>
            </w:pPr>
          </w:p>
        </w:tc>
      </w:tr>
      <w:tr>
        <w:trPr>
          <w:trHeight w:val="275"/>
        </w:trPr>
        <w:tc>
          <w:tcPr>
            <w:tcW w:w="3280" w:type="dxa"/>
            <w:vAlign w:val="bottom"/>
            <w:gridSpan w:val="3"/>
          </w:tcPr>
          <w:p>
            <w:pPr>
              <w:spacing w:after="0"/>
              <w:rPr>
                <w:sz w:val="20"/>
                <w:szCs w:val="20"/>
                <w:color w:val="auto"/>
              </w:rPr>
            </w:pPr>
            <w:r>
              <w:rPr>
                <w:rFonts w:ascii="Arial" w:cs="Arial" w:eastAsia="Arial" w:hAnsi="Arial"/>
                <w:sz w:val="18"/>
                <w:szCs w:val="18"/>
                <w:color w:val="auto"/>
              </w:rPr>
              <w:t>Eliezer Zomer, Ph.D.</w:t>
            </w: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11/14/2002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80" w:type="dxa"/>
            <w:vAlign w:val="bottom"/>
            <w:gridSpan w:val="2"/>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3.50</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11/14/2012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09/02/2003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425,000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gridSpan w:val="2"/>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4.05</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09/02/2013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12/21/2004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gridSpan w:val="2"/>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1.90</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12/21/2014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03/09/2006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gridSpan w:val="2"/>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3.75</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03/09/2011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03/08/2007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gridSpan w:val="2"/>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03/08/2012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04/10/2008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gridSpan w:val="2"/>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0.44</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04/10/2013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04/21/2009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80" w:type="dxa"/>
            <w:vAlign w:val="bottom"/>
            <w:gridSpan w:val="2"/>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0.48</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04/21/2014</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142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Squeglia</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04/10/2003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09/02/2003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09/02/2013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12/21/2004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03/09/2006</w:t>
            </w: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03/09/2011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03/08/2007</w:t>
            </w: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03/08/2012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12/12/2007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12/12/2012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04/10/2008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04/21/2009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05/21/2009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05/21/2014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02/01/2010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02/01/2015</w:t>
            </w:r>
          </w:p>
        </w:tc>
        <w:tc>
          <w:tcPr>
            <w:tcW w:w="0" w:type="dxa"/>
            <w:vAlign w:val="bottom"/>
          </w:tcPr>
          <w:p>
            <w:pPr>
              <w:spacing w:after="0"/>
              <w:rPr>
                <w:sz w:val="1"/>
                <w:szCs w:val="1"/>
                <w:color w:val="auto"/>
              </w:rPr>
            </w:pPr>
          </w:p>
        </w:tc>
      </w:tr>
      <w:tr>
        <w:trPr>
          <w:trHeight w:val="275"/>
        </w:trPr>
        <w:tc>
          <w:tcPr>
            <w:tcW w:w="3280" w:type="dxa"/>
            <w:vAlign w:val="bottom"/>
            <w:gridSpan w:val="3"/>
          </w:tcPr>
          <w:p>
            <w:pPr>
              <w:spacing w:after="0"/>
              <w:rPr>
                <w:sz w:val="20"/>
                <w:szCs w:val="20"/>
                <w:color w:val="auto"/>
              </w:rPr>
            </w:pPr>
            <w:r>
              <w:rPr>
                <w:rFonts w:ascii="Arial" w:cs="Arial" w:eastAsia="Arial" w:hAnsi="Arial"/>
                <w:sz w:val="18"/>
                <w:szCs w:val="18"/>
                <w:color w:val="auto"/>
              </w:rPr>
              <w:t>Maureen Foley</w:t>
            </w: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12/14/2001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80" w:type="dxa"/>
            <w:vAlign w:val="bottom"/>
            <w:gridSpan w:val="2"/>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3.50</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12/14/2011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11/14/2002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gridSpan w:val="2"/>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3.50</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11/14/2012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09/02/2003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650,000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gridSpan w:val="2"/>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4.05</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09/02/2013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12/21/2004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gridSpan w:val="2"/>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1.90</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12/21/2014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03/09/2006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gridSpan w:val="2"/>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3.75</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03/09/2011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03/08/2007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gridSpan w:val="2"/>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03/08/2012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04/10/2008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gridSpan w:val="2"/>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0.44</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04/10/2013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04/21/2009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gridSpan w:val="2"/>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0.48</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04/21/2014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02/01/2010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80" w:type="dxa"/>
            <w:vAlign w:val="bottom"/>
            <w:gridSpan w:val="2"/>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0.30</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02/01/2015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1500" w:type="dxa"/>
            <w:vAlign w:val="bottom"/>
            <w:gridSpan w:val="3"/>
          </w:tcPr>
          <w:p>
            <w:pPr>
              <w:spacing w:after="0"/>
              <w:rPr>
                <w:sz w:val="6"/>
                <w:szCs w:val="6"/>
                <w:color w:val="auto"/>
              </w:rPr>
            </w:pPr>
          </w:p>
        </w:tc>
        <w:tc>
          <w:tcPr>
            <w:tcW w:w="1800" w:type="dxa"/>
            <w:vAlign w:val="bottom"/>
            <w:gridSpan w:val="2"/>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Anatole Klyosov</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03/09/2006</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03/09/2011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03/08/2007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03/08/2012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04/10/2008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04/21/2009</w:t>
            </w: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02/01/2010</w:t>
            </w: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02/01/2015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5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Options vest at the rate of 50% after one year, 25% on 6/24/2010, 12.5% on 9/24/2010, 6.25% on 12/24/2010 and 6.25% on 3/24/2011. The grant date fair value of un-exercisable options is $5,313.</w:t>
      </w:r>
    </w:p>
    <w:p>
      <w:pPr>
        <w:ind w:left="460" w:right="380" w:hanging="452"/>
        <w:spacing w:after="0" w:line="323"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Options vest at the rate of 400,000 upon grant, 150,000 on 12/31/2009, 200,000 on 12/31/2010 and 1,250,000 upon the achievement of certain defined milestones. During 2010, 100,000 of the milestone warrants vested. The grant date fair value of un-exercisable options is $460,000.</w:t>
      </w:r>
    </w:p>
    <w:p>
      <w:pPr>
        <w:spacing w:after="0" w:line="9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exercise price of the options is set at the closing price of our stock on the date of grant. Grants of options are recommended by the Compensation Committee and adopted by the Board of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8" w:name="page29"/>
    <w:bookmarkEnd w:id="28"/>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Fees Earned</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or Paid in</w:t>
            </w:r>
          </w:p>
        </w:tc>
        <w:tc>
          <w:tcPr>
            <w:tcW w:w="64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rPr>
              <w:t>Option</w:t>
            </w:r>
          </w:p>
        </w:tc>
        <w:tc>
          <w:tcPr>
            <w:tcW w:w="50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Warrant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22"/>
                <w:szCs w:val="22"/>
                <w:b w:val="1"/>
                <w:bCs w:val="1"/>
                <w:color w:val="auto"/>
                <w:vertAlign w:val="superscript"/>
              </w:rPr>
              <w:t>(1)</w:t>
            </w:r>
          </w:p>
        </w:tc>
        <w:tc>
          <w:tcPr>
            <w:tcW w:w="126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7"/>
              </w:rPr>
              <w:t>Cash</w:t>
            </w:r>
          </w:p>
        </w:tc>
        <w:tc>
          <w:tcPr>
            <w:tcW w:w="640" w:type="dxa"/>
            <w:vAlign w:val="bottom"/>
          </w:tcPr>
          <w:p>
            <w:pPr>
              <w:jc w:val="right"/>
              <w:ind w:right="20"/>
              <w:spacing w:after="0" w:line="135" w:lineRule="exact"/>
              <w:rPr>
                <w:sz w:val="20"/>
                <w:szCs w:val="20"/>
                <w:color w:val="auto"/>
              </w:rPr>
            </w:pPr>
            <w:r>
              <w:rPr>
                <w:rFonts w:ascii="Arial" w:cs="Arial" w:eastAsia="Arial" w:hAnsi="Arial"/>
                <w:sz w:val="14"/>
                <w:szCs w:val="14"/>
                <w:b w:val="1"/>
                <w:bCs w:val="1"/>
                <w:color w:val="auto"/>
              </w:rPr>
              <w:t>Awards</w:t>
            </w:r>
          </w:p>
        </w:tc>
        <w:tc>
          <w:tcPr>
            <w:tcW w:w="500" w:type="dxa"/>
            <w:vAlign w:val="bottom"/>
          </w:tcPr>
          <w:p>
            <w:pPr>
              <w:spacing w:after="0"/>
              <w:rPr>
                <w:sz w:val="11"/>
                <w:szCs w:val="11"/>
                <w:color w:val="auto"/>
              </w:rPr>
            </w:pPr>
          </w:p>
        </w:tc>
        <w:tc>
          <w:tcPr>
            <w:tcW w:w="122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500" w:type="dxa"/>
            <w:vAlign w:val="bottom"/>
          </w:tcPr>
          <w:p>
            <w:pPr>
              <w:spacing w:after="0"/>
              <w:rPr>
                <w:sz w:val="11"/>
                <w:szCs w:val="11"/>
                <w:color w:val="auto"/>
              </w:rPr>
            </w:pPr>
          </w:p>
        </w:tc>
        <w:tc>
          <w:tcPr>
            <w:tcW w:w="72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740" w:type="dxa"/>
            <w:vAlign w:val="bottom"/>
            <w:gridSpan w:val="3"/>
            <w:vMerge w:val="continue"/>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640" w:type="dxa"/>
            <w:vAlign w:val="bottom"/>
          </w:tcPr>
          <w:p>
            <w:pPr>
              <w:jc w:val="right"/>
              <w:ind w:right="20"/>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(2)(4)</w:t>
            </w:r>
          </w:p>
        </w:tc>
        <w:tc>
          <w:tcPr>
            <w:tcW w:w="1140" w:type="dxa"/>
            <w:vAlign w:val="bottom"/>
            <w:gridSpan w:val="2"/>
          </w:tcPr>
          <w:p>
            <w:pPr>
              <w:jc w:val="center"/>
              <w:ind w:left="425"/>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(2)</w:t>
            </w:r>
          </w:p>
        </w:tc>
        <w:tc>
          <w:tcPr>
            <w:tcW w:w="58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(3)</w:t>
            </w:r>
          </w:p>
        </w:tc>
        <w:tc>
          <w:tcPr>
            <w:tcW w:w="112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146,000</w:t>
            </w:r>
            <w:r>
              <w:rPr>
                <w:rFonts w:ascii="Arial" w:cs="Arial" w:eastAsia="Arial" w:hAnsi="Arial"/>
                <w:sz w:val="11"/>
                <w:szCs w:val="11"/>
                <w:color w:val="auto"/>
              </w:rPr>
              <w:t>(5)</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255,088</w:t>
            </w:r>
          </w:p>
        </w:tc>
        <w:tc>
          <w:tcPr>
            <w:tcW w:w="500" w:type="dxa"/>
            <w:vAlign w:val="bottom"/>
          </w:tcPr>
          <w:p>
            <w:pPr>
              <w:spacing w:after="0"/>
              <w:rPr>
                <w:sz w:val="18"/>
                <w:szCs w:val="18"/>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401,088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 D. Martin</w:t>
            </w: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127,544</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 Colin Neill</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60,000</w:t>
            </w:r>
            <w:r>
              <w:rPr>
                <w:rFonts w:ascii="Arial" w:cs="Arial" w:eastAsia="Arial" w:hAnsi="Arial"/>
                <w:sz w:val="11"/>
                <w:szCs w:val="11"/>
                <w:color w:val="auto"/>
                <w:w w:val="87"/>
              </w:rPr>
              <w:t>(6)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Jerald K. Rome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Traber, M.D.</w:t>
            </w: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32,500</w:t>
            </w:r>
            <w:r>
              <w:rPr>
                <w:rFonts w:ascii="Arial" w:cs="Arial" w:eastAsia="Arial" w:hAnsi="Arial"/>
                <w:sz w:val="11"/>
                <w:szCs w:val="11"/>
                <w:color w:val="auto"/>
                <w:w w:val="87"/>
              </w:rPr>
              <w:t>(7)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365,233</w:t>
            </w:r>
            <w:r>
              <w:rPr>
                <w:rFonts w:ascii="Arial" w:cs="Arial" w:eastAsia="Arial" w:hAnsi="Arial"/>
                <w:sz w:val="11"/>
                <w:szCs w:val="11"/>
                <w:color w:val="auto"/>
              </w:rPr>
              <w:t>(8)</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Arthur R. Greenberg</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52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Theodore Zucconi was the only director during 2010 who was also an employee of Pro-Pharmaceuticals. He did not receive any compensation in his capacity as a director.</w:t>
      </w:r>
    </w:p>
    <w:p>
      <w:pPr>
        <w:ind w:left="460" w:right="4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amounts represent the aggregate grant date fair value of awards for grants of options or warrants to each listed director in fiscal 2010. These amounts do not represent the actual amounts paid to or realized by the directors during fiscal 2010. The value as of the grant date for stock options is recognized over the period of service required for the stock awards to vest in full.</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Reimbursements for travel are not included in these amounts.</w:t>
      </w:r>
    </w:p>
    <w:p>
      <w:pPr>
        <w:spacing w:after="0" w:line="9" w:lineRule="exact"/>
        <w:rPr>
          <w:rFonts w:ascii="Arial" w:cs="Arial" w:eastAsia="Arial" w:hAnsi="Arial"/>
          <w:sz w:val="18"/>
          <w:szCs w:val="18"/>
          <w:color w:val="auto"/>
        </w:rPr>
      </w:pPr>
    </w:p>
    <w:p>
      <w:pPr>
        <w:ind w:left="460" w:right="58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shares subject to option awards held by each director (representing unexercised options awards – both exercisable and un-exercisable) at December 31, 2010 is as follows: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00" w:type="dxa"/>
            <w:vAlign w:val="bottom"/>
          </w:tcPr>
          <w:p>
            <w:pPr>
              <w:spacing w:after="0"/>
              <w:rPr>
                <w:sz w:val="14"/>
                <w:szCs w:val="14"/>
                <w:color w:val="auto"/>
              </w:rPr>
            </w:pPr>
          </w:p>
        </w:tc>
        <w:tc>
          <w:tcPr>
            <w:tcW w:w="19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8"/>
              </w:rPr>
              <w:t>Number of</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Subject</w:t>
            </w:r>
          </w:p>
        </w:tc>
        <w:tc>
          <w:tcPr>
            <w:tcW w:w="1000" w:type="dxa"/>
            <w:vAlign w:val="bottom"/>
          </w:tcPr>
          <w:p>
            <w:pPr>
              <w:spacing w:after="0"/>
              <w:rPr>
                <w:sz w:val="12"/>
                <w:szCs w:val="12"/>
                <w:color w:val="auto"/>
              </w:rPr>
            </w:pPr>
          </w:p>
        </w:tc>
        <w:tc>
          <w:tcPr>
            <w:tcW w:w="19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4"/>
              </w:rPr>
              <w:t>Shares Subject</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 Option</w:t>
            </w:r>
          </w:p>
        </w:tc>
        <w:tc>
          <w:tcPr>
            <w:tcW w:w="1000" w:type="dxa"/>
            <w:vAlign w:val="bottom"/>
          </w:tcPr>
          <w:p>
            <w:pPr>
              <w:spacing w:after="0"/>
              <w:rPr>
                <w:sz w:val="12"/>
                <w:szCs w:val="12"/>
                <w:color w:val="auto"/>
              </w:rPr>
            </w:pPr>
          </w:p>
        </w:tc>
        <w:tc>
          <w:tcPr>
            <w:tcW w:w="19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4"/>
              </w:rPr>
              <w:t>to Warrant</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 of Restricted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Awards Held as</w:t>
            </w:r>
          </w:p>
        </w:tc>
        <w:tc>
          <w:tcPr>
            <w:tcW w:w="1000" w:type="dxa"/>
            <w:vAlign w:val="bottom"/>
          </w:tcPr>
          <w:p>
            <w:pPr>
              <w:spacing w:after="0"/>
              <w:rPr>
                <w:sz w:val="12"/>
                <w:szCs w:val="12"/>
                <w:color w:val="auto"/>
              </w:rPr>
            </w:pPr>
          </w:p>
        </w:tc>
        <w:tc>
          <w:tcPr>
            <w:tcW w:w="19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Awards Held as</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Stock Held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December 31,</w:t>
            </w:r>
          </w:p>
        </w:tc>
        <w:tc>
          <w:tcPr>
            <w:tcW w:w="1000" w:type="dxa"/>
            <w:vAlign w:val="bottom"/>
          </w:tcPr>
          <w:p>
            <w:pPr>
              <w:spacing w:after="0"/>
              <w:rPr>
                <w:sz w:val="12"/>
                <w:szCs w:val="12"/>
                <w:color w:val="auto"/>
              </w:rPr>
            </w:pPr>
          </w:p>
        </w:tc>
        <w:tc>
          <w:tcPr>
            <w:tcW w:w="19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of December 31,</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of December 31,</w:t>
            </w:r>
          </w:p>
        </w:tc>
        <w:tc>
          <w:tcPr>
            <w:tcW w:w="0" w:type="dxa"/>
            <w:vAlign w:val="bottom"/>
          </w:tcPr>
          <w:p>
            <w:pPr>
              <w:spacing w:after="0"/>
              <w:rPr>
                <w:sz w:val="1"/>
                <w:szCs w:val="1"/>
                <w:color w:val="auto"/>
              </w:rPr>
            </w:pPr>
          </w:p>
        </w:tc>
      </w:tr>
      <w:tr>
        <w:trPr>
          <w:trHeight w:val="161"/>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1940" w:type="dxa"/>
            <w:vAlign w:val="bottom"/>
            <w:gridSpan w:val="2"/>
          </w:tcPr>
          <w:p>
            <w:pPr>
              <w:jc w:val="center"/>
              <w:ind w:left="919"/>
              <w:spacing w:after="0"/>
              <w:rPr>
                <w:sz w:val="20"/>
                <w:szCs w:val="20"/>
                <w:color w:val="auto"/>
              </w:rPr>
            </w:pPr>
            <w:r>
              <w:rPr>
                <w:rFonts w:ascii="Arial" w:cs="Arial" w:eastAsia="Arial" w:hAnsi="Arial"/>
                <w:sz w:val="14"/>
                <w:szCs w:val="14"/>
                <w:b w:val="1"/>
                <w:bCs w:val="1"/>
                <w:color w:val="auto"/>
                <w:w w:val="83"/>
              </w:rPr>
              <w:t>2010</w:t>
            </w:r>
          </w:p>
        </w:tc>
        <w:tc>
          <w:tcPr>
            <w:tcW w:w="9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9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0" w:type="dxa"/>
            <w:vAlign w:val="bottom"/>
          </w:tcPr>
          <w:p>
            <w:pPr>
              <w:spacing w:after="0"/>
              <w:rPr>
                <w:sz w:val="18"/>
                <w:szCs w:val="18"/>
                <w:color w:val="auto"/>
              </w:rPr>
            </w:pPr>
          </w:p>
        </w:tc>
        <w:tc>
          <w:tcPr>
            <w:tcW w:w="19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 D. Martin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S. Colin Neill</w:t>
            </w:r>
          </w:p>
        </w:tc>
        <w:tc>
          <w:tcPr>
            <w:tcW w:w="920" w:type="dxa"/>
            <w:vAlign w:val="bottom"/>
          </w:tcPr>
          <w:p>
            <w:pPr>
              <w:jc w:val="right"/>
              <w:spacing w:after="0"/>
              <w:rPr>
                <w:sz w:val="20"/>
                <w:szCs w:val="20"/>
                <w:color w:val="auto"/>
              </w:rPr>
            </w:pPr>
            <w:r>
              <w:rPr>
                <w:rFonts w:ascii="Arial" w:cs="Arial" w:eastAsia="Arial" w:hAnsi="Arial"/>
                <w:sz w:val="18"/>
                <w:szCs w:val="18"/>
                <w:color w:val="auto"/>
              </w:rPr>
              <w:t>511,500</w:t>
            </w:r>
          </w:p>
        </w:tc>
        <w:tc>
          <w:tcPr>
            <w:tcW w:w="1000" w:type="dxa"/>
            <w:vAlign w:val="bottom"/>
          </w:tcPr>
          <w:p>
            <w:pPr>
              <w:spacing w:after="0"/>
              <w:rPr>
                <w:sz w:val="18"/>
                <w:szCs w:val="18"/>
                <w:color w:val="auto"/>
              </w:rPr>
            </w:pPr>
          </w:p>
        </w:tc>
        <w:tc>
          <w:tcPr>
            <w:tcW w:w="19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525,750</w:t>
            </w:r>
          </w:p>
        </w:tc>
        <w:tc>
          <w:tcPr>
            <w:tcW w:w="10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Jerald K. Rome</w:t>
            </w:r>
          </w:p>
        </w:tc>
        <w:tc>
          <w:tcPr>
            <w:tcW w:w="920" w:type="dxa"/>
            <w:vAlign w:val="bottom"/>
          </w:tcPr>
          <w:p>
            <w:pPr>
              <w:jc w:val="right"/>
              <w:spacing w:after="0"/>
              <w:rPr>
                <w:sz w:val="20"/>
                <w:szCs w:val="20"/>
                <w:color w:val="auto"/>
              </w:rPr>
            </w:pPr>
            <w:r>
              <w:rPr>
                <w:rFonts w:ascii="Arial" w:cs="Arial" w:eastAsia="Arial" w:hAnsi="Arial"/>
                <w:sz w:val="18"/>
                <w:szCs w:val="18"/>
                <w:color w:val="auto"/>
              </w:rPr>
              <w:t>563,000</w:t>
            </w:r>
          </w:p>
        </w:tc>
        <w:tc>
          <w:tcPr>
            <w:tcW w:w="1000" w:type="dxa"/>
            <w:vAlign w:val="bottom"/>
          </w:tcPr>
          <w:p>
            <w:pPr>
              <w:spacing w:after="0"/>
              <w:rPr>
                <w:sz w:val="18"/>
                <w:szCs w:val="18"/>
                <w:color w:val="auto"/>
              </w:rPr>
            </w:pPr>
          </w:p>
        </w:tc>
        <w:tc>
          <w:tcPr>
            <w:tcW w:w="19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Traber, M.D.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92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600,000</w:t>
            </w:r>
            <w:r>
              <w:rPr>
                <w:rFonts w:ascii="Arial" w:cs="Arial" w:eastAsia="Arial" w:hAnsi="Arial"/>
                <w:sz w:val="11"/>
                <w:szCs w:val="11"/>
                <w:color w:val="auto"/>
              </w:rPr>
              <w:t>(8)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Arthur R. Greenberg</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3,100,250</w:t>
            </w:r>
          </w:p>
        </w:tc>
        <w:tc>
          <w:tcPr>
            <w:tcW w:w="292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600,000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paid to Mr. Czirr was for his service as Chairman of the Company.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paid to Mr. Prelack was for his service as Audit Committee Chairman.</w:t>
      </w:r>
    </w:p>
    <w:p>
      <w:pPr>
        <w:spacing w:after="0" w:line="9"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paid to Mr. Traber was for his service as our interim Chief Medical Officer. Of the $32,500 of compensation earned in 2010, $5,000 was paid in January 2011.</w:t>
      </w:r>
    </w:p>
    <w:p>
      <w:pPr>
        <w:ind w:left="460" w:right="12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Warrants granted to Dr. Traber for his service as our interim Chief Medical Officer. The warrants vest as follows: 150,000 on grant, 150,000 after one year and 300,000 upon the achievement of certain milestones.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9" w:name="page30"/>
    <w:bookmarkEnd w:id="29"/>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includes the assumptions used to calculate the fiscal 2010 grant date fair value on a grant by grant basis for option and warrant awards for our directors.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Assumptions</w:t>
            </w:r>
          </w:p>
        </w:tc>
        <w:tc>
          <w:tcPr>
            <w:tcW w:w="3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Risk-</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Free</w:t>
            </w: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79"/>
              </w:rPr>
              <w:t>Exercise</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Expected</w:t>
            </w:r>
          </w:p>
        </w:tc>
        <w:tc>
          <w:tcPr>
            <w:tcW w:w="4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3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Dividend</w:t>
            </w:r>
          </w:p>
        </w:tc>
        <w:tc>
          <w:tcPr>
            <w:tcW w:w="3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Grant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Granted</w:t>
            </w:r>
          </w:p>
        </w:tc>
        <w:tc>
          <w:tcPr>
            <w:tcW w:w="40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Price</w:t>
            </w: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5"/>
              </w:rPr>
              <w:t>Volatility</w:t>
            </w:r>
          </w:p>
        </w:tc>
        <w:tc>
          <w:tcPr>
            <w:tcW w:w="540" w:type="dxa"/>
            <w:vAlign w:val="bottom"/>
          </w:tcPr>
          <w:p>
            <w:pPr>
              <w:jc w:val="right"/>
              <w:ind w:right="84"/>
              <w:spacing w:after="0" w:line="149" w:lineRule="exact"/>
              <w:rPr>
                <w:sz w:val="20"/>
                <w:szCs w:val="20"/>
                <w:color w:val="auto"/>
              </w:rPr>
            </w:pPr>
            <w:r>
              <w:rPr>
                <w:rFonts w:ascii="Arial" w:cs="Arial" w:eastAsia="Arial" w:hAnsi="Arial"/>
                <w:sz w:val="14"/>
                <w:szCs w:val="14"/>
                <w:b w:val="1"/>
                <w:bCs w:val="1"/>
                <w:color w:val="auto"/>
              </w:rPr>
              <w:t>Life</w:t>
            </w:r>
          </w:p>
        </w:tc>
        <w:tc>
          <w:tcPr>
            <w:tcW w:w="4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Rate</w:t>
            </w:r>
          </w:p>
        </w:tc>
        <w:tc>
          <w:tcPr>
            <w:tcW w:w="3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Yield</w:t>
            </w:r>
          </w:p>
        </w:tc>
        <w:tc>
          <w:tcPr>
            <w:tcW w:w="3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6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54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6"/>
              </w:rPr>
              <w:t>(Years)</w:t>
            </w:r>
          </w:p>
        </w:tc>
        <w:tc>
          <w:tcPr>
            <w:tcW w:w="860" w:type="dxa"/>
            <w:vAlign w:val="bottom"/>
            <w:gridSpan w:val="2"/>
          </w:tcPr>
          <w:p>
            <w:pPr>
              <w:jc w:val="center"/>
              <w:ind w:left="317"/>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center"/>
              <w:ind w:left="317"/>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02/01/2010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1,000,000</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0.30</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Rod D. Martin</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02/01/2010</w:t>
            </w:r>
          </w:p>
        </w:tc>
        <w:tc>
          <w:tcPr>
            <w:tcW w:w="760" w:type="dxa"/>
            <w:vAlign w:val="bottom"/>
          </w:tcPr>
          <w:p>
            <w:pPr>
              <w:jc w:val="right"/>
              <w:spacing w:after="0"/>
              <w:rPr>
                <w:sz w:val="20"/>
                <w:szCs w:val="20"/>
                <w:color w:val="auto"/>
              </w:rPr>
            </w:pPr>
            <w:r>
              <w:rPr>
                <w:rFonts w:ascii="Arial" w:cs="Arial" w:eastAsia="Arial" w:hAnsi="Arial"/>
                <w:sz w:val="18"/>
                <w:szCs w:val="18"/>
                <w:color w:val="auto"/>
              </w:rPr>
              <w:t>500,000</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0.30</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126</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 Traber</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06/15/2010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0.71</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For a more detailed description of the assumptions used for purposes of determining grant date fair value, see Note 10 to the Financial Statements and “Management’s Discussion and Analysis of Financial Condition and Results of Operations – Critical Accounting Policies and Estimates – Stock-Based Compensation,” included in Pro-Pharmaceuticals Annual Report on Form 10-K for the year ended December 31, 2010.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reimburse our directors for travel and other related expenses.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After the end of fiscal 2010, we announced that our Board of Directors appointed Peter G. Traber, M.D., President and Chief Executive Officer effective March 17, 2011. In conjunction with the appointment of Dr. Traber, our Board of Directors on March 7, 2011 granted Dr. Traber 5,000,000 10-year stock options, at an exercise price of $1.16 per share, which vest as to 750,000 options on the grant date, 625,000 options on the first and second anniversaries of the grant date, 500,000 options on the third and fourth anniversaries of the grant date and 1,000,000 on the Fifth anniversary of the grant date. The remaining 1,000,000 options will vest upon the achievement of certain milestones. With respect to options that vest on anniversaries, exercise rights are accelerated upon achievement of certain milestones.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Policy for Non-Employee Directors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Prior to 2009, as provided for in our 2003 Non-employee Directors Stock Incentive Plan, each non-employee director received a grant of 500 non-qualified stock options for each meeting of our Board, and each meeting of a standing committee of the Board, that such director attended during a year of service.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following table provides information as of December 31, 2010 about the securities issued, or authorized for future issuance, under our equity compensation plans, consisting of our 2001 Stock Incentive Plan, our 2003 Non-Employee Director Stock Option Plan, and our 2009 Incentive Compensation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2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6"/>
              </w:rPr>
              <w:t>Number of Securities to</w:t>
            </w:r>
          </w:p>
        </w:tc>
        <w:tc>
          <w:tcPr>
            <w:tcW w:w="11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89"/>
              </w:rPr>
              <w:t>Weighted-average</w:t>
            </w:r>
          </w:p>
        </w:tc>
        <w:tc>
          <w:tcPr>
            <w:tcW w:w="106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2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120" w:type="dxa"/>
            <w:vAlign w:val="bottom"/>
          </w:tcPr>
          <w:p>
            <w:pPr>
              <w:spacing w:after="0"/>
              <w:rPr>
                <w:sz w:val="12"/>
                <w:szCs w:val="12"/>
                <w:color w:val="auto"/>
              </w:rPr>
            </w:pPr>
          </w:p>
        </w:tc>
        <w:tc>
          <w:tcPr>
            <w:tcW w:w="106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06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6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4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4"/>
              </w:rPr>
              <w:t>of outstanding options</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83"/>
              </w:rPr>
              <w:t>outstanding options,</w:t>
            </w:r>
          </w:p>
        </w:tc>
        <w:tc>
          <w:tcPr>
            <w:tcW w:w="106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4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11,430,000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420" w:type="dxa"/>
            <w:vAlign w:val="bottom"/>
            <w:gridSpan w:val="2"/>
          </w:tcPr>
          <w:p>
            <w:pPr>
              <w:jc w:val="right"/>
              <w:ind w:right="1040"/>
              <w:spacing w:after="0"/>
              <w:rPr>
                <w:sz w:val="20"/>
                <w:szCs w:val="20"/>
                <w:color w:val="auto"/>
              </w:rPr>
            </w:pPr>
            <w:r>
              <w:rPr>
                <w:rFonts w:ascii="Arial" w:cs="Arial" w:eastAsia="Arial" w:hAnsi="Arial"/>
                <w:sz w:val="18"/>
                <w:szCs w:val="18"/>
                <w:color w:val="auto"/>
              </w:rPr>
              <w:t>364,250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3.23</w:t>
            </w:r>
          </w:p>
        </w:tc>
        <w:tc>
          <w:tcPr>
            <w:tcW w:w="1060" w:type="dxa"/>
            <w:vAlign w:val="bottom"/>
          </w:tcPr>
          <w:p>
            <w:pPr>
              <w:spacing w:after="0"/>
              <w:rPr>
                <w:sz w:val="18"/>
                <w:szCs w:val="18"/>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11,794,250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80" w:type="dxa"/>
            <w:vAlign w:val="bottom"/>
          </w:tcPr>
          <w:p>
            <w:pPr>
              <w:jc w:val="right"/>
              <w:ind w:right="821"/>
              <w:spacing w:after="0"/>
              <w:rPr>
                <w:sz w:val="20"/>
                <w:szCs w:val="20"/>
                <w:color w:val="auto"/>
              </w:rPr>
            </w:pPr>
            <w:r>
              <w:rPr>
                <w:rFonts w:ascii="Arial" w:cs="Arial" w:eastAsia="Arial" w:hAnsi="Arial"/>
                <w:sz w:val="18"/>
                <w:szCs w:val="18"/>
                <w:color w:val="auto"/>
              </w:rPr>
              <w:t>26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21" w:lineRule="exact"/>
        <w:rPr>
          <w:sz w:val="20"/>
          <w:szCs w:val="20"/>
          <w:color w:val="auto"/>
        </w:rPr>
      </w:pPr>
    </w:p>
    <w:p>
      <w:pPr>
        <w:jc w:val="center"/>
        <w:spacing w:after="0" w:line="302" w:lineRule="auto"/>
        <w:rPr>
          <w:sz w:val="20"/>
          <w:szCs w:val="20"/>
          <w:color w:val="auto"/>
        </w:rPr>
      </w:pPr>
      <w:r>
        <w:rPr>
          <w:rFonts w:ascii="Arial" w:cs="Arial" w:eastAsia="Arial" w:hAnsi="Arial"/>
          <w:sz w:val="16"/>
          <w:szCs w:val="16"/>
          <w:b w:val="1"/>
          <w:bCs w:val="1"/>
          <w:color w:val="auto"/>
        </w:rPr>
        <w:t>TO APPROVE AN AMENDMENT TO THE PRO-PHARMACEUTICALS, INC. 2009 INCENTIVE COMPENSATION PLAN TO INCREASE THE NUMBER OF SHARES THAT MAY BE GRANTED UNDER THE PLAN TO 20,000,000</w:t>
      </w:r>
    </w:p>
    <w:p>
      <w:pPr>
        <w:spacing w:after="0" w:line="109"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February 2009, our Board of Directors adopted the Pro-Pharmaceuticals, Inc. 2009 Incentive Compensation Plan, which we refer to as the 2009 Plan, which was approved by our stockholders at the 2009 Annual Meeting. At the time of its adoption, the 2009 Plan contained 10,000,000 shares available for grants under the Plan. Since the original adoption, the Compensation Committee, or the Board of Directors on its recommendation, has made awards of options and restricted stock that constituted nearly all of the originally available shares. This resulted from our need to use equity as a large component of compensation, rather than cash, in order to attract and retain highly qualified members to serve on our Board of Directors and management team. We expect that we must continue to rely on this strategy to retain our current leadership and attract additional highly-qualified persons. Accordingly, our Board of Directors approved an amendment of the 2009 Plan, subject to stockholder approval at the 2011 Annual Meeting, to increase the number of shares available for equity compensation awards under the 2009 from 10,000,000 to 20,000,000.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 of the 2009 Plan</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purpose of the 2009 Plan is to assist our company and its subsidiaries and other designated affiliates, which we refer to as “related entities”, in attracting, motivating, retaining and rewarding high-quality executives and other employees, officers, directors consultants and other persons who provide services to our company or its related entities, by enabling such persons to acquire or increase a proprietary interest in our company in order to strengthen the mutuality of interests between such persons and our stockholders, and providing such persons with annual and long term performance incentives to expend their maximum efforts in the creation of stockholder value.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Reasons for Stockholder Approval of Amendment</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Stockholder approval of the amendment to the 2009 Plan is required (i) to comply with certain exclusions from the limitations of Section 162(m) of the Internal Revenue Code of 1986, which we refer to as the Code, as described below, (ii) for the 2009 Plan to be eligible under the “plan lender” exemption from the margin requirements of Regulation G promulgated under the Securities Exchange Act of 1934, as amended, which we refer to as the Exchange Act, (iii) to comply with the incentive stock options rules under Section 422 of the Code, and (iv) for purposes of complying with the stockholder approval requirements for the listing of shares on a national securities exchange in the event our shares of common stock are approved for listing.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2009 Plan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is a summary of certain principal features of the Amended and Restated 2009 Plan. This summary is qualified in its entirety by reference to the complete text of the Amended and Restated 2009 Plan. Stockholders are urged to read the actual text of the Amended and Restated 2009 Plan in its entirety which is set forth as Exhibit A to this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Available for Awards; Annual Per-Person Limitations.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2009 Plan, the total number of shares of common stock of our company reserved and available for delivery under the 2009 Plan (the “awards”) at any time during the term of the 2009 Plan shall be equal to 20,000,000 shares. The 2009 Plan imposes individual limitations on the amount of certain awards in part to comply with Internal Revenue Code Section 162(m). Under these limitations, during any 12-month period, no participant may be granted (i) stock options or stock appreciation rights with respect to more than 2,000,000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1" w:name="page32"/>
    <w:bookmarkEnd w:id="31"/>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of common stock, or (ii) shares of restricted stock, shares of deferred stock, performance shares and other stock based-awards with respect to more than 2,000,000 shares of common stock, in each case, subject to adjustment in certain circumstances. The maximum amount that may be paid out as performance units with respect to any 12-month performance period is $1,000,000, and is $3,000,000 with respect to any performance period that is more than 12 months.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Compensation Committee of our Board of Directors is authorized to adjust these limitations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or other similar corporate transaction or event affects the common stock so that an adjustment is appropriate.</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The persons eligible to receive awards under the 2009 Plan are the officers, directors, employees, consultants and other persons who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our company or any related entity.</w:t>
      </w:r>
    </w:p>
    <w:p>
      <w:pPr>
        <w:spacing w:after="0" w:line="132"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2009 Plan is to be administered by the Compensation Committee, provided, however, that except as otherwise expressly provided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2009 Plan, our Board of Directors may exercise any power or authority granted to the Compensation Committee under the 2009 Plan. Subject to the terms of the 2009 Plan, the Compensation Committee is authorized among other things to select eligible persons to receive awards, determine the type, number and other terms and conditions of, and all other matters relating to, awards, prescribe award agreements (which need not be identical for each participant), and the rules and regulations for the administration of the 2009 Plan, construe and interpret the 2009 Plan and award agreements.</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Stock Options and Stock Appreciation Rights</w:t>
      </w:r>
      <w:r>
        <w:rPr>
          <w:rFonts w:ascii="Arial" w:cs="Arial" w:eastAsia="Arial" w:hAnsi="Arial"/>
          <w:sz w:val="16"/>
          <w:szCs w:val="16"/>
          <w:color w:val="auto"/>
        </w:rPr>
        <w:t>. The Compensation Committee is authorized to grant stock options, including both incentive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(“ISOs”), which can result in potentially favorable tax treatment to the participant, and non-qualified stock options, and stock appreciation rights entitling the participant to receive the amount by which the fair market value of a share of common stock on the date of exercise exceeds the grant price of the stock appreciation right. The exercise price per share subject to an option and the grant price of a stock appreciation right are determined by the Compensation Committee, but must not be less than the fair market value of a share of common stock on the date of grant. The maximum term of each option or stock appreciation right, the times at which each option or stock appreciation right will be exercisable, and provisions requiring forfeiture of unexercised options or stock appreciation rights at or following termination of employment generally are fixed by the Compensation Committee, except that no option or stock appreciation right may have a term exceeding ten years. Methods of exercise and settlement and other terms of the stock appreciation right are determined by the Compensation Committee.</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Restricted and Deferred Stock</w:t>
      </w:r>
      <w:r>
        <w:rPr>
          <w:rFonts w:ascii="Arial" w:cs="Arial" w:eastAsia="Arial" w:hAnsi="Arial"/>
          <w:sz w:val="18"/>
          <w:szCs w:val="18"/>
          <w:color w:val="auto"/>
        </w:rPr>
        <w:t>. The Compensation Committee is authorized to grant restricted stock and deferred stock. Restricted stock is a grant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which may not be sold or disposed of, and which shall be subject to such risks of forfeiture and other restrictions as the Compensation Committee may impose. A participant granted restricted stock generally has all of the rights of a stockholder of our company, unless otherwise determined by the Compensation Committee. An award of deferred stock confers upon a participant the right to receive shares of common stock at the end of a specified deferral period.</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The Compensation Committee is authorized to grant dividend equivalents conferring on participants the right to receive,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or on a deferred basis, cash, shares of common stock, other awards or other property equal in value to dividends paid on a specific number of shares of common stock or other periodic payments.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32" w:name="page33"/>
    <w:bookmarkEnd w:id="32"/>
    <w:p>
      <w:pPr>
        <w:jc w:val="both"/>
        <w:ind w:right="22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Bonus Stock and Awards in Lieu of Cash Obligations</w:t>
      </w:r>
      <w:r>
        <w:rPr>
          <w:rFonts w:ascii="Arial" w:cs="Arial" w:eastAsia="Arial" w:hAnsi="Arial"/>
          <w:sz w:val="18"/>
          <w:szCs w:val="18"/>
          <w:color w:val="auto"/>
        </w:rPr>
        <w:t>. The Compensation Committee is authorized to grant shares of common stock as a bonus free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or to grant shares of common stock or other awards in lieu of company obligations to pay cash under the 2009 Plan or other plans or compensatory arrangements, subject to such terms as the Compensation Committee may specify.</w:t>
      </w:r>
    </w:p>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Other Stock-Based awards</w:t>
      </w:r>
      <w:r>
        <w:rPr>
          <w:rFonts w:ascii="Arial" w:cs="Arial" w:eastAsia="Arial" w:hAnsi="Arial"/>
          <w:sz w:val="18"/>
          <w:szCs w:val="18"/>
          <w:color w:val="auto"/>
        </w:rPr>
        <w:t>. The Compensation Committee or our Board of Directors is authorized to grant awards that are denominated or payable in,</w:t>
      </w:r>
      <w:r>
        <w:rPr>
          <w:rFonts w:ascii="Arial" w:cs="Arial" w:eastAsia="Arial" w:hAnsi="Arial"/>
          <w:sz w:val="18"/>
          <w:szCs w:val="18"/>
          <w:i w:val="1"/>
          <w:iCs w:val="1"/>
          <w:color w:val="auto"/>
        </w:rPr>
        <w:t xml:space="preserve"> </w:t>
      </w:r>
      <w:r>
        <w:rPr>
          <w:rFonts w:ascii="Arial" w:cs="Arial" w:eastAsia="Arial" w:hAnsi="Arial"/>
          <w:sz w:val="18"/>
          <w:szCs w:val="18"/>
          <w:color w:val="auto"/>
        </w:rPr>
        <w:t>valued by reference to, or otherwise based on or related to shares of common stock. The Compensation Committee determines the terms and conditions of such awards.</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The Compensation Committee is authorized to grant performance awards to participants on terms and conditions established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The performance criteria to be achieved during any performance period and the length of the performance period is determined by the Compensation Committee upon the grant of the performance award; provided however, that a performance period cannot be shorter than 12 months or longer than 5 years.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Other Terms of Awards</w:t>
      </w:r>
      <w:r>
        <w:rPr>
          <w:rFonts w:ascii="Arial" w:cs="Arial" w:eastAsia="Arial" w:hAnsi="Arial"/>
          <w:sz w:val="18"/>
          <w:szCs w:val="18"/>
          <w:color w:val="auto"/>
        </w:rPr>
        <w:t>. Awards may be settled in the form of cash, shares of common stock, other awards or other property, in the discretion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The Compensation Committee may require or permit participants to defer the settlement of all or part of an award in accordance with such terms and conditions as the Compensation Committee may establish.</w:t>
      </w:r>
    </w:p>
    <w:p>
      <w:pPr>
        <w:spacing w:after="0" w:line="14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i w:val="1"/>
          <w:iCs w:val="1"/>
          <w:color w:val="auto"/>
        </w:rPr>
        <w:t>Acceleration of Vesting; Change in Control</w:t>
      </w:r>
      <w:r>
        <w:rPr>
          <w:rFonts w:ascii="Arial" w:cs="Arial" w:eastAsia="Arial" w:hAnsi="Arial"/>
          <w:sz w:val="15"/>
          <w:szCs w:val="15"/>
          <w:color w:val="auto"/>
        </w:rPr>
        <w:t>. The Compensation Committee may, in its discretion, accelerate the exercisability, the lapsing of restrictions</w:t>
      </w:r>
      <w:r>
        <w:rPr>
          <w:rFonts w:ascii="Arial" w:cs="Arial" w:eastAsia="Arial" w:hAnsi="Arial"/>
          <w:sz w:val="15"/>
          <w:szCs w:val="15"/>
          <w:i w:val="1"/>
          <w:iCs w:val="1"/>
          <w:color w:val="auto"/>
        </w:rPr>
        <w:t xml:space="preserve"> </w:t>
      </w:r>
      <w:r>
        <w:rPr>
          <w:rFonts w:ascii="Arial" w:cs="Arial" w:eastAsia="Arial" w:hAnsi="Arial"/>
          <w:sz w:val="15"/>
          <w:szCs w:val="15"/>
          <w:color w:val="auto"/>
        </w:rPr>
        <w:t>or the expiration of deferral or vesting periods of any award, and such accelerated exercisability, lapse, expiration and if so provided in the award agreement or otherwise determined by the Compensation Committee, vesting shall occur automatically in the case of a “change in control” of our company (including the cash settlement of stock appreciation rights which may be exercisable in the event of a change in control). In addition, the Compensation Committee may provide in an award agreement that the performance goals relating to any performance award will be deemed to have been met upon the occurrence of any “change in control.”</w:t>
      </w:r>
    </w:p>
    <w:p>
      <w:pPr>
        <w:spacing w:after="0" w:line="10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alter, suspend, discontinue or terminate the 2009 Plan or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authority to grant awards without further stockholder approval, except that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2009 Plan which might increase the cost of the 2009 Plan or alter the eligibility of persons to receive awards.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OUR BOARD OF DIRECTORS RECOMMENDS A VOTE “FOR” TO APPROVE THE AMENDMENT TO THE PRO-PHARMACEUTICALS, INC. 2009 INCENTIVE COMPENSATION PLAN TO INCREASE THE NUMBER OF SHARES THAT MAY BE GRANTED UNDER THE PLAN TO 20,000,000.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AMENDMENT OF OUR ARTICLES OF INCORPORATION TO PERMIT OUR BOARD OF DIRECTORS TO HAVE UP TO ELEVEN MEMBERS</w:t>
      </w:r>
    </w:p>
    <w:p>
      <w:pPr>
        <w:spacing w:after="0" w:line="18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Article IV of our Articles of Incorporation currently states, in relevant part: “The number of directors of the corporation shall not be less than one or more than nine, such number to be determined by the corporation’s bylaws.”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propose to amend Article IV of our Articles of Incorporation to permit us to increase to eleven the number of persons who may be members of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Accordingly, we propose to delete Article IV and replace it with the following: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directors of the corporation shall not be less than one or more than eleven, such number to be determined by the corporation’s bylaws.”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Based on a review of other companies, the Nominating and Governance Committee of our Board of Directors, or the Committee, has recommended that the governance of our company would benefit favorably from the ability to have a broader range of experience and expertise on the Board of Directors than is possible if the Board size is limited to nine persons. A company such as ours needs expertise in drug development and clinical trials, drug approval regulatory matters, pharmaceutical commercialization, international health care trends, corporate finance, financial reporting, and other matters. The Committee reviewed the boards of a number of other companies in the drug development sector and concluded that a larger board is consistent with our peers in this area.</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You will not experience any change in your rights as a stockholder as a result of this amendment. Any amendment to our Articles of Incorporation must receive the consent of the Series B preferred, and 10X Fund, as the holder, has consented to this amendment.</w:t>
      </w:r>
    </w:p>
    <w:p>
      <w:pPr>
        <w:spacing w:after="0" w:line="132"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b w:val="1"/>
          <w:bCs w:val="1"/>
          <w:i w:val="1"/>
          <w:iCs w:val="1"/>
          <w:color w:val="auto"/>
        </w:rPr>
        <w:t>OUR BOARD OF DIRECTORS RECOMMENDS A VOTE “FOR” THE APPROVAL OF THE AMENDMENT OF OUR ARTICLES OF INCORPORATION TO PERMIT OUR BOARD OF DIRECTORS TO HAVE UP TO ELEVEN MEMBERS.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APPROVAL OF AN AMENDMENT TO OUR ARTICLES OF INCORPORATION TO AUTHORIZE OUR BOARD OF DIRECTORS TO CHANGE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NAME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Amendment Proposal</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Board of Directors has approved, subject to stockholder approval, an amendment to our Articles of Incorporation to authorize our Board of Directors to changing the name of our company from “Pro-Pharmaceuticals, Inc.” to a name to be selected by the Directors. We believe that the name “Pro-Pharmaceuticals, Inc.” does not meaningfully convey the nature of our business and, accordingly, intend to adopt a name that characterizes more accurately our technology and position in the pharmaceutical market, and would serve as a more recognizable “brand.” Change of a corporate name, however, requires a number of essential steps, including analysis of corporate, trade name and stock ticker availability, website revision, and public acceptability. As we are unable to accomplish all of the preliminary steps prior to this proxy statement and desire to avoid the expense of calling a special meeting of stockholders for the name change, we seek approval of our stockholders to delegate to the Board the authority to select a new name of the company. Accordingly, we propose to replace Article I of our Articles of Incorporation with the following:</w:t>
      </w:r>
    </w:p>
    <w:p>
      <w:pPr>
        <w:spacing w:after="0" w:line="37"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“The name of the corporation shall be Pro-Pharmaceuticals, Inc. until the board of directors, having been duly empowered by action of the stockholders, has selected a new name of the corporation and a Certificate of Amendment amending Article I, entitled “Name,” to the Articles of Incorporation has been duly filed by the appropriate officers of the corporation that sets forth such new name, whereupon the name of the corporation shall be as set forth in such Certificate of Amendment.”</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amendment proposal is approved by our stockholders at the 2011 Annual Meeting, we will file Certificate of Amendment with the Secretary of State of the State of Nevada that contains the text of the amendment to Article I stated above. Upon selection of a new name by our Board of Directors, which we expect to occur as soon as practicable following the 2011 Annual Meeting, we will file a subsequent amendment of Article I that states the new name of the company.</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You will not experience any change in your rights as a stockholder as a result of this amendment. Any amendment to our Articles of Incorporation must receive the consent of the Series B preferred, and 10X Fund, as the holder, has consented to this amendment.</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Following the effective date of a new corporate name, our ticker symbol will change to a yet to be determined symbol. Stockholders will not be required to submit their stock certificates for exchange as a result of this proposed name change. Following the effective date of the name change, all new stock certificates issued by us will use our new name.</w:t>
      </w:r>
    </w:p>
    <w:p>
      <w:pPr>
        <w:spacing w:after="0" w:line="140" w:lineRule="exact"/>
        <w:rPr>
          <w:sz w:val="20"/>
          <w:szCs w:val="20"/>
          <w:color w:val="auto"/>
        </w:rPr>
      </w:pPr>
    </w:p>
    <w:p>
      <w:pPr>
        <w:ind w:right="960" w:firstLine="456"/>
        <w:spacing w:after="0" w:line="332" w:lineRule="auto"/>
        <w:rPr>
          <w:sz w:val="20"/>
          <w:szCs w:val="20"/>
          <w:color w:val="auto"/>
        </w:rPr>
      </w:pPr>
      <w:r>
        <w:rPr>
          <w:rFonts w:ascii="Arial" w:cs="Arial" w:eastAsia="Arial" w:hAnsi="Arial"/>
          <w:sz w:val="16"/>
          <w:szCs w:val="16"/>
          <w:b w:val="1"/>
          <w:bCs w:val="1"/>
          <w:i w:val="1"/>
          <w:iCs w:val="1"/>
          <w:color w:val="auto"/>
        </w:rPr>
        <w:t>OUR BOARD OF DIRECTORS RECOMMENDS A VOTE “FOR” THE APPROVAL OF THE AMENDMENT TO OUR ARTICLES OF INCORPORATION TO AUTHORIZE OUR BOARD OF DIRECTORS TO CHANGE THE NAME OF THE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of Directors has, subject to the ratification of the stockholders, appointed McGaldrey &amp; Pullen, LLP as our independent auditors for the fiscal year ending December 31, 2011. Effective July 20, 2010, McGladrey &amp; Pullen, LLP (“McGladrey”) acquired certain assets of Caturano and Company, Inc. (formerly Caturano and Company, P.C.), our independent registered public accounting firm (“Caturano”), and substantially all of the officers and employees of Caturano joined McGladrey. As a result, Caturano resigned and we appointed McGladrey as our new independent registered public accounting firm on September 29, 2010. The decision to engage McGladrey &amp; Pullen, LLP was recommended by the Company’s Audit Committee of the Board of Directors. Prior to the acquisition by McGladrey, Caturano had served as our independent auditors since April 10, 2008.</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expect that a representative from McGladrey will be present at the Annual Meeting, and accordingly, McGladrey will be given the opportunity to make a statement and respond to any questions.</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OUR BOARD OF DIRECTORS RECOMMENDS A VOTE “FOR” THE RATIFICATION OF THE APPOINTMENT OF MCGLADREY &amp; PULLEN, LLP, AS PRO-PHARMACEUTICALS’ INDEPENDENT PUBLIC ACCOUNTANTS FOR THE FISCAL YEAR ENDING DECEMBER 31, 2011.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PAID TO MCGLADREY &amp; PULLEN, LLP and CATURANO AND COMPANY, INC. (FORMERLY CATURANO AND COMPANY, P.C.)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w:t>
            </w:r>
          </w:p>
        </w:tc>
      </w:tr>
      <w:tr>
        <w:trPr>
          <w:trHeight w:val="161"/>
        </w:trPr>
        <w:tc>
          <w:tcPr>
            <w:tcW w:w="116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r>
      <w:tr>
        <w:trPr>
          <w:trHeight w:val="210"/>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$ 129,254</w:t>
            </w:r>
          </w:p>
        </w:tc>
        <w:tc>
          <w:tcPr>
            <w:tcW w:w="100" w:type="dxa"/>
            <w:vAlign w:val="bottom"/>
            <w:shd w:val="clear" w:color="auto" w:fill="CCEEFF"/>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Audit-Related Fees(3)</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Fees(4)</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Fees(5)</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2"/>
        </w:trPr>
        <w:tc>
          <w:tcPr>
            <w:tcW w:w="1060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$ 129,254</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3"/>
        </w:trPr>
        <w:tc>
          <w:tcPr>
            <w:tcW w:w="1160" w:type="dxa"/>
            <w:vAlign w:val="bottom"/>
          </w:tcPr>
          <w:p>
            <w:pPr>
              <w:spacing w:after="0"/>
              <w:rPr>
                <w:sz w:val="24"/>
                <w:szCs w:val="24"/>
                <w:color w:val="auto"/>
              </w:rPr>
            </w:pPr>
          </w:p>
        </w:tc>
        <w:tc>
          <w:tcPr>
            <w:tcW w:w="9440" w:type="dxa"/>
            <w:vAlign w:val="bottom"/>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w:t>
            </w:r>
          </w:p>
        </w:tc>
      </w:tr>
      <w:tr>
        <w:trPr>
          <w:trHeight w:val="161"/>
        </w:trPr>
        <w:tc>
          <w:tcPr>
            <w:tcW w:w="116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Fees(2)</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$ 150,225</w:t>
            </w:r>
          </w:p>
        </w:tc>
        <w:tc>
          <w:tcPr>
            <w:tcW w:w="100" w:type="dxa"/>
            <w:vAlign w:val="bottom"/>
            <w:shd w:val="clear" w:color="auto" w:fill="CCEEFF"/>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Audit-Related Fees(3)</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Fees(4)</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Fees(5)</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2"/>
        </w:trPr>
        <w:tc>
          <w:tcPr>
            <w:tcW w:w="1060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$ 150,225</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9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0" w:hanging="452"/>
        <w:spacing w:after="0" w:line="253"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These are fees for professional services for the audit of our annual financial statements dated December 31, 2010 included in our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and review of financial statements included in our Quarterly Reports on Form 10-Q. Additional amounts for our 2010 year end audit that were paid in 2011 and will be reported in the proxy statement for the 2012 annual meeting.</w:t>
      </w:r>
    </w:p>
    <w:p>
      <w:pPr>
        <w:ind w:left="460" w:right="4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These are fees for professional services for the audit of our annual financial statements dated December 31, 2009 included in our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and review of financial statements included in our Quarterly Reports on Form 10-Q. Additional amounts for our 2009 year end audit were paid in 2010 and have been reported in 2011.</w:t>
      </w:r>
    </w:p>
    <w:p>
      <w:pPr>
        <w:spacing w:after="0" w:line="1" w:lineRule="exact"/>
        <w:rPr>
          <w:rFonts w:ascii="Arial" w:cs="Arial" w:eastAsia="Arial" w:hAnsi="Arial"/>
          <w:sz w:val="18"/>
          <w:szCs w:val="18"/>
          <w:color w:val="auto"/>
        </w:rPr>
      </w:pPr>
    </w:p>
    <w:p>
      <w:pPr>
        <w:ind w:left="460" w:right="40" w:hanging="452"/>
        <w:spacing w:after="0" w:line="30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These are fees for assurance and related services that are reasonably related to the performance of the audit or review of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6" w:name="page37"/>
    <w:bookmarkEnd w:id="36"/>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Fees</w:t>
      </w:r>
      <w:r>
        <w:rPr>
          <w:rFonts w:ascii="Arial" w:cs="Arial" w:eastAsia="Arial" w:hAnsi="Arial"/>
          <w:sz w:val="18"/>
          <w:szCs w:val="18"/>
          <w:color w:val="auto"/>
        </w:rPr>
        <w:t>.  These are fees for professional services with respect to tax compliance, in particular, preparation of our corporate tax returns.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These are fees for all other products and services provided or performed which do not fall within one or more of the above categories.</w:t>
      </w:r>
    </w:p>
    <w:p>
      <w:pPr>
        <w:spacing w:after="0" w:line="18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Audit Committee has considered whether the provision of non-core audit services to Pro-Pharmaceuticals by McGladrey &amp; Pullen, LLP is compatible with maintaining independence.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 and Procedures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Audit Committee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Chief Financial Officer reports quarterly to the Audit Committee on the status of pre-approved services, including projected fees. All of the services reflected in the above table were approved by the Audit Committee.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The Audit Committee is responsible for providing independent, objective oversight of Pro-Pharmaceuticals’ accounting functions and internal control over financial reporting. The Audit Committee has reviewed and discussed audited financial statements for Pro-Pharmaceuticals with management. The Audit Committee also has discussed with McGladrey &amp; Pullen, LLP the matters required to be discussed by the Statement on Auditing Standards No. 61, </w:t>
      </w:r>
      <w:r>
        <w:rPr>
          <w:rFonts w:ascii="Arial" w:cs="Arial" w:eastAsia="Arial" w:hAnsi="Arial"/>
          <w:sz w:val="16"/>
          <w:szCs w:val="16"/>
          <w:i w:val="1"/>
          <w:iCs w:val="1"/>
          <w:color w:val="auto"/>
        </w:rPr>
        <w:t xml:space="preserve">Communication With Audit Committees </w:t>
      </w:r>
      <w:r>
        <w:rPr>
          <w:rFonts w:ascii="Arial" w:cs="Arial" w:eastAsia="Arial" w:hAnsi="Arial"/>
          <w:sz w:val="16"/>
          <w:szCs w:val="16"/>
          <w:color w:val="auto"/>
        </w:rPr>
        <w:t>(as amended), which includes, among other items, matters related to the conduct of the annual audit of our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The Audit Committee has also received and reviewed the written disclosures and the letter from McGladrey &amp; Pullen, LLP, required by applicable requirements of the Public Company Accounting Oversight Board regarding the communications by McGladrey &amp; Pullen, LLP with the Audit Committee concerning independence, and has discussed with McGladrey &amp; Pullen, LLP, its independence from Pro-Pharmaceuticals.</w:t>
      </w:r>
    </w:p>
    <w:p>
      <w:pPr>
        <w:spacing w:after="0" w:line="118" w:lineRule="exact"/>
        <w:rPr>
          <w:sz w:val="20"/>
          <w:szCs w:val="20"/>
          <w:color w:val="auto"/>
        </w:rPr>
      </w:pPr>
    </w:p>
    <w:p>
      <w:pPr>
        <w:jc w:val="both"/>
        <w:ind w:right="720" w:firstLine="456"/>
        <w:spacing w:after="0" w:line="370" w:lineRule="auto"/>
        <w:rPr>
          <w:sz w:val="20"/>
          <w:szCs w:val="20"/>
          <w:color w:val="auto"/>
        </w:rPr>
      </w:pPr>
      <w:r>
        <w:rPr>
          <w:rFonts w:ascii="Arial" w:cs="Arial" w:eastAsia="Arial" w:hAnsi="Arial"/>
          <w:sz w:val="15"/>
          <w:szCs w:val="15"/>
          <w:color w:val="auto"/>
        </w:rPr>
        <w:t>Based upon the review and discussions referred to above, the Audit Committee recommended to our Board of Directors that the audited financial statements of Pro-Pharmaceuticals for the 2010 fiscal year be included in the Annual Report filed on Form 10-K for the year ended December 31, 2010.</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Prelack, 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Colin Neill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Jerald K. Rome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Audit Committee Charter requires that members of the Audit Committee, all of whom are independent directors, conduct an appropriate review of, and be responsible for the oversight of, all related party transactions on an ongoing basis. There were no related party transactions in the fiscal year ended December 31, 2010, other than Dr. Traber serving as our interim Chief Medical Officer as previously disclosed.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7" w:name="page38"/>
    <w:bookmarkEnd w:id="37"/>
    <w:p>
      <w:pPr>
        <w:ind w:left="4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knows of no other matters that may be properly presented at the Annual Meeting.</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COMPLIANCE</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16(a) of the Exchange Act requires our officers and directors, and persons who beneficially own more than ten percent of our common stock, to file reports of ownership and changes of ownership of such securities with the SEC. All reports were timely filed other than that one Form 4 of Peter G. Traber that reported one transaction.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2012 ANNUAL MEETING</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Under SEC rules, if a stockholder wants us to include a proposal in our Proxy Statement and form of proxy for presentation at our 2012 annual meeting of stockholders, the proposal must be received by us, attention: Anthony D. Squeglia, Chief Financial Officer, at our principal executive offices by December 11, 2011. Also in accordance with SEC guidelines, if a stockholder notifies us of that stockholder’s intent to present a proposal at our 2012 annual meeting of stockholders after December 11, 2011, we may, acting through the persons named as proxies in the proxy materials for that meeting, exercise discretionary voting authority with respect to the proposal without including information about the proposal in our proxy materials. However, in either case, if the date of the 2012 annual meeting is changed by more than 30 days from the date of the 2011 Annual Meeting, then the deadline would be a reasonable time before we begin to print and mail our proxy materials.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VOTING MATERIALS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reduce the expenses of delivering duplicate voting materials to our stockholders who may have more than one Pro-Pharmaceuticals stock account, we are taking advantage of “house-holding” rules that permit us to deliver only one set of the Proxy Statement and our 2010 Annual Report to stockholders who share an address unless otherwise requested. If you hold your shares through a broker, you may have consented to reducing the number of copies of materials delivered to your address. If you wish to revoke a consent previously provided to your broker, you must contact the broker to do so. In any event, if you share an address with another stockholder and have received only one set of voting materials, you may write or call us to request a separate copy of these materials at no cost to you. For future annual meetings, you may request separate voting materials, or request that we send only one set of voting materials to you if you are receiving multiple copies, by either: (i) telephoning us at (617) 559-0033; (ii) sending a letter to us at 7 Wells Avenue, Suite 34, Newton, Massachusetts 02459, Attention: Chief Operating Officer; or (iii) sending an e-mail to us at foley@pro-pharmaceuticals.com. If you hold your shares through a broker, you can request a single copy of materials for future meetings by contacting the broker.</w:t>
      </w:r>
    </w:p>
    <w:p>
      <w:pPr>
        <w:spacing w:after="0" w:line="16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1303655" cy="6172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61722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April</w:t>
        <w:tab/>
        <w:t>, 2011</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Newton, Massachusetts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Peter G. Traber, M.D.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President</w:t>
      </w:r>
    </w:p>
    <w:p>
      <w:pPr>
        <w:spacing w:after="0" w:line="174"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274" w:right="23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PRO-PHARMACEUTICALS,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AMENDED AND RESTATED 2009 INCENTIVE COMPENSATION PLAN</w:t>
      </w:r>
    </w:p>
    <w:p>
      <w:pPr>
        <w:sectPr>
          <w:pgSz w:w="11900" w:h="16838" w:orient="portrait"/>
          <w:cols w:equalWidth="0" w:num="1">
            <w:col w:w="10220"/>
          </w:cols>
          <w:pgMar w:left="1440" w:top="274" w:right="239" w:bottom="1440" w:gutter="0" w:footer="0" w:header="0"/>
        </w:sectPr>
      </w:pPr>
    </w:p>
    <w:bookmarkStart w:id="39" w:name="page40"/>
    <w:bookmarkEnd w:id="3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PRO-PHARMACEUTICALS,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AMENDED AND RESTATED 2009 INCENTIVE COMPENSATION PLAN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1.</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Purpose</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A-1</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2.</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Definitions</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A-1</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3.</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Administration</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A-5</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4.</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Shares Subject to Plan</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A-6</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5.</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Eligibility; Per-Person Award Limitations</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A-6</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6.</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Specific Terms of Awards</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A-7</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7.</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Certain Provisions Applicable to Awards</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A-11</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8.</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Code Section 162(m) Provisions</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A-13</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9.</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Change in Control</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A-14</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10.</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General Provisions</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A-15</w:t>
            </w:r>
          </w:p>
        </w:tc>
      </w:tr>
    </w:tbl>
    <w:p>
      <w:pPr>
        <w:sectPr>
          <w:pgSz w:w="11900" w:h="16838" w:orient="portrait"/>
          <w:cols w:equalWidth="0" w:num="1">
            <w:col w:w="11320"/>
          </w:cols>
          <w:pgMar w:left="240" w:top="274"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2009 INCENTIVE COMPENSATION PLAN</w:t>
      </w:r>
    </w:p>
    <w:p>
      <w:pPr>
        <w:spacing w:after="0" w:line="165" w:lineRule="exact"/>
        <w:rPr>
          <w:sz w:val="20"/>
          <w:szCs w:val="20"/>
          <w:color w:val="auto"/>
        </w:rPr>
      </w:pPr>
    </w:p>
    <w:p>
      <w:pPr>
        <w:ind w:right="40" w:firstLine="464"/>
        <w:spacing w:after="0" w:line="254"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Purpose. </w:t>
      </w:r>
      <w:r>
        <w:rPr>
          <w:rFonts w:ascii="Arial" w:cs="Arial" w:eastAsia="Arial" w:hAnsi="Arial"/>
          <w:sz w:val="18"/>
          <w:szCs w:val="18"/>
          <w:color w:val="auto"/>
        </w:rPr>
        <w:t>The purpose of this amended and restated PRO-PHARMACEUTICALS, INC. 2009 INCENTIVE COMPENSATION PLAN (the “Plan”)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assist Pro-Pharmaceuticals, Inc., a Nevada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annual and long term performance incentives to expend their maximum efforts in the creation of shareholder value.</w:t>
      </w:r>
    </w:p>
    <w:p>
      <w:pPr>
        <w:spacing w:after="0" w:line="144" w:lineRule="exact"/>
        <w:rPr>
          <w:rFonts w:ascii="Arial" w:cs="Arial" w:eastAsia="Arial" w:hAnsi="Arial"/>
          <w:sz w:val="18"/>
          <w:szCs w:val="18"/>
          <w:color w:val="auto"/>
        </w:rPr>
      </w:pPr>
    </w:p>
    <w:p>
      <w:pPr>
        <w:ind w:right="80" w:firstLine="464"/>
        <w:spacing w:after="0" w:line="268"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For purposes of the Plan, the following terms shall be defined as set forth below, in addition to such terms defined in Section 1 hereof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elsewhere herein.</w:t>
      </w:r>
    </w:p>
    <w:p>
      <w:pPr>
        <w:spacing w:after="0" w:line="131" w:lineRule="exact"/>
        <w:rPr>
          <w:rFonts w:ascii="Arial" w:cs="Arial" w:eastAsia="Arial" w:hAnsi="Arial"/>
          <w:sz w:val="18"/>
          <w:szCs w:val="18"/>
          <w:color w:val="auto"/>
        </w:rPr>
      </w:pPr>
    </w:p>
    <w:p>
      <w:pPr>
        <w:ind w:firstLine="921"/>
        <w:spacing w:after="0" w:line="259" w:lineRule="auto"/>
        <w:tabs>
          <w:tab w:leader="none" w:pos="1152"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any written agreement, contract or other instrument or document evidencing any Award granted by the Committee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164" w:lineRule="exact"/>
        <w:rPr>
          <w:rFonts w:ascii="Arial" w:cs="Arial" w:eastAsia="Arial" w:hAnsi="Arial"/>
          <w:sz w:val="16"/>
          <w:szCs w:val="16"/>
          <w:color w:val="auto"/>
        </w:rPr>
      </w:pPr>
    </w:p>
    <w:p>
      <w:pPr>
        <w:ind w:right="240" w:firstLine="921"/>
        <w:spacing w:after="0" w:line="323" w:lineRule="auto"/>
        <w:tabs>
          <w:tab w:leader="none" w:pos="1152" w:val="left"/>
        </w:tabs>
        <w:numPr>
          <w:ilvl w:val="1"/>
          <w:numId w:val="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Beneficiary</w:t>
      </w:r>
      <w:r>
        <w:rPr>
          <w:rFonts w:ascii="Arial" w:cs="Arial" w:eastAsia="Arial" w:hAnsi="Arial"/>
          <w:sz w:val="15"/>
          <w:szCs w:val="15"/>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97" w:lineRule="exact"/>
        <w:rPr>
          <w:rFonts w:ascii="Arial" w:cs="Arial" w:eastAsia="Arial" w:hAnsi="Arial"/>
          <w:sz w:val="15"/>
          <w:szCs w:val="15"/>
          <w:color w:val="auto"/>
        </w:rPr>
      </w:pPr>
    </w:p>
    <w:p>
      <w:pPr>
        <w:ind w:right="180" w:firstLine="921"/>
        <w:spacing w:after="0" w:line="268" w:lineRule="auto"/>
        <w:tabs>
          <w:tab w:leader="none" w:pos="1162"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“Beneficial Ownership”</w:t>
      </w:r>
      <w:r>
        <w:rPr>
          <w:rFonts w:ascii="Arial" w:cs="Arial" w:eastAsia="Arial" w:hAnsi="Arial"/>
          <w:sz w:val="18"/>
          <w:szCs w:val="18"/>
          <w:color w:val="auto"/>
        </w:rPr>
        <w:t xml:space="preserve"> shall have the meaning ascribed to such term in Rule 13d-3 under the Exchange Act and any successor to such Rule.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171" w:lineRule="exact"/>
        <w:rPr>
          <w:rFonts w:ascii="Arial" w:cs="Arial" w:eastAsia="Arial" w:hAnsi="Arial"/>
          <w:sz w:val="18"/>
          <w:szCs w:val="18"/>
          <w:color w:val="auto"/>
        </w:rPr>
      </w:pPr>
    </w:p>
    <w:p>
      <w:pPr>
        <w:ind w:right="60" w:firstLine="921"/>
        <w:spacing w:after="0" w:line="287" w:lineRule="auto"/>
        <w:tabs>
          <w:tab w:leader="none" w:pos="1132" w:val="left"/>
        </w:tabs>
        <w:numPr>
          <w:ilvl w:val="1"/>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 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122" w:lineRule="exact"/>
        <w:rPr>
          <w:rFonts w:ascii="Arial" w:cs="Arial" w:eastAsia="Arial" w:hAnsi="Arial"/>
          <w:sz w:val="16"/>
          <w:szCs w:val="16"/>
          <w:color w:val="auto"/>
        </w:rPr>
      </w:pPr>
    </w:p>
    <w:p>
      <w:pPr>
        <w:ind w:left="1160" w:hanging="239"/>
        <w:spacing w:after="0"/>
        <w:tabs>
          <w:tab w:leader="none" w:pos="11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9(b) of the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41" w:name="page42"/>
    <w:bookmarkEnd w:id="41"/>
    <w:p>
      <w:pPr>
        <w:ind w:left="-8" w:right="60" w:firstLine="921"/>
        <w:spacing w:after="0" w:line="268" w:lineRule="auto"/>
        <w:tabs>
          <w:tab w:leader="none" w:pos="1154" w:val="left"/>
        </w:tabs>
        <w:numPr>
          <w:ilvl w:val="1"/>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31" w:lineRule="exact"/>
        <w:rPr>
          <w:rFonts w:ascii="Arial" w:cs="Arial" w:eastAsia="Arial" w:hAnsi="Arial"/>
          <w:sz w:val="18"/>
          <w:szCs w:val="18"/>
          <w:color w:val="auto"/>
        </w:rPr>
      </w:pPr>
    </w:p>
    <w:p>
      <w:pPr>
        <w:ind w:left="-8" w:right="120" w:firstLine="921"/>
        <w:spacing w:after="0" w:line="291" w:lineRule="auto"/>
        <w:tabs>
          <w:tab w:leader="none" w:pos="1115" w:val="left"/>
        </w:tabs>
        <w:numPr>
          <w:ilvl w:val="1"/>
          <w:numId w:val="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While it is intended that the Committee shall consist of at least two directors, each of whom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the failure of the Committee to be so comprised shall not invalidate any Award that otherwise satisfies the terms of the Plan.</w:t>
      </w:r>
    </w:p>
    <w:p>
      <w:pPr>
        <w:spacing w:after="0" w:line="120" w:lineRule="exact"/>
        <w:rPr>
          <w:rFonts w:ascii="Arial" w:cs="Arial" w:eastAsia="Arial" w:hAnsi="Arial"/>
          <w:sz w:val="16"/>
          <w:szCs w:val="16"/>
          <w:color w:val="auto"/>
        </w:rPr>
      </w:pPr>
    </w:p>
    <w:p>
      <w:pPr>
        <w:ind w:left="-8" w:right="260" w:firstLine="921"/>
        <w:spacing w:after="0" w:line="332" w:lineRule="auto"/>
        <w:tabs>
          <w:tab w:leader="none" w:pos="1115" w:val="left"/>
        </w:tabs>
        <w:numPr>
          <w:ilvl w:val="1"/>
          <w:numId w:val="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85" w:lineRule="exact"/>
        <w:rPr>
          <w:rFonts w:ascii="Arial" w:cs="Arial" w:eastAsia="Arial" w:hAnsi="Arial"/>
          <w:sz w:val="16"/>
          <w:szCs w:val="16"/>
          <w:color w:val="auto"/>
        </w:rPr>
      </w:pPr>
    </w:p>
    <w:p>
      <w:pPr>
        <w:ind w:left="-8" w:right="440" w:firstLine="921"/>
        <w:spacing w:after="0" w:line="305" w:lineRule="auto"/>
        <w:tabs>
          <w:tab w:leader="none" w:pos="1154" w:val="left"/>
        </w:tabs>
        <w:numPr>
          <w:ilvl w:val="1"/>
          <w:numId w:val="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Continuous Service</w:t>
      </w:r>
      <w:r>
        <w:rPr>
          <w:rFonts w:ascii="Arial" w:cs="Arial" w:eastAsia="Arial" w:hAnsi="Arial"/>
          <w:sz w:val="15"/>
          <w:szCs w:val="15"/>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w:t>
      </w:r>
    </w:p>
    <w:p>
      <w:pPr>
        <w:ind w:left="252" w:hanging="252"/>
        <w:spacing w:after="0"/>
        <w:tabs>
          <w:tab w:leader="none" w:pos="25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transfers among the Company, any Related Entities, or any successor entities, in any capacity of Employee, Director, Consultant or other service provider, or</w:t>
      </w:r>
    </w:p>
    <w:p>
      <w:pPr>
        <w:spacing w:after="0" w:line="32" w:lineRule="exact"/>
        <w:rPr>
          <w:rFonts w:ascii="Arial" w:cs="Arial" w:eastAsia="Arial" w:hAnsi="Arial"/>
          <w:sz w:val="16"/>
          <w:szCs w:val="16"/>
          <w:color w:val="auto"/>
        </w:rPr>
      </w:pPr>
    </w:p>
    <w:p>
      <w:pPr>
        <w:jc w:val="both"/>
        <w:ind w:left="-8" w:firstLine="8"/>
        <w:spacing w:after="0" w:line="255" w:lineRule="auto"/>
        <w:tabs>
          <w:tab w:leader="none" w:pos="2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44" w:lineRule="exact"/>
        <w:rPr>
          <w:rFonts w:ascii="Arial" w:cs="Arial" w:eastAsia="Arial" w:hAnsi="Arial"/>
          <w:sz w:val="18"/>
          <w:szCs w:val="18"/>
          <w:color w:val="auto"/>
        </w:rPr>
      </w:pPr>
    </w:p>
    <w:p>
      <w:pPr>
        <w:ind w:left="-8" w:right="100" w:firstLine="921"/>
        <w:spacing w:after="0" w:line="298" w:lineRule="auto"/>
        <w:tabs>
          <w:tab w:leader="none" w:pos="1115" w:val="left"/>
        </w:tabs>
        <w:numPr>
          <w:ilvl w:val="1"/>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Employee”</w:t>
      </w:r>
      <w:r>
        <w:rPr>
          <w:rFonts w:ascii="Arial" w:cs="Arial" w:eastAsia="Arial" w:hAnsi="Arial"/>
          <w:sz w:val="16"/>
          <w:szCs w:val="16"/>
          <w:color w:val="auto"/>
        </w:rPr>
        <w:t xml:space="preserve"> means the Person who, as of the end of the taxable year, either is the principal executive officer of the Company or is serving as the acting principal executive officer of the Company, and each other Person whose compensation is required to be disclosed in the Company’s filings with the Securities and Exchange Commission by reason of that person being among the three highest compensated officers of the Company as of the end of a taxable year, or such other person as shall be considered a “covered employee” for purposes of Section 162(m) of the Code.</w:t>
      </w:r>
    </w:p>
    <w:p>
      <w:pPr>
        <w:spacing w:after="0" w:line="112" w:lineRule="exact"/>
        <w:rPr>
          <w:rFonts w:ascii="Arial" w:cs="Arial" w:eastAsia="Arial" w:hAnsi="Arial"/>
          <w:sz w:val="16"/>
          <w:szCs w:val="16"/>
          <w:color w:val="auto"/>
        </w:rPr>
      </w:pPr>
    </w:p>
    <w:p>
      <w:pPr>
        <w:ind w:left="-8" w:right="180" w:firstLine="921"/>
        <w:spacing w:after="0" w:line="268" w:lineRule="auto"/>
        <w:tabs>
          <w:tab w:leader="none" w:pos="12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131" w:lineRule="exact"/>
        <w:rPr>
          <w:rFonts w:ascii="Arial" w:cs="Arial" w:eastAsia="Arial" w:hAnsi="Arial"/>
          <w:sz w:val="18"/>
          <w:szCs w:val="18"/>
          <w:color w:val="auto"/>
        </w:rPr>
      </w:pPr>
    </w:p>
    <w:p>
      <w:pPr>
        <w:ind w:left="1152" w:hanging="239"/>
        <w:spacing w:after="0"/>
        <w:tabs>
          <w:tab w:leader="none" w:pos="11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means an Award of Deferred Stock granted to a Participant under Section 6(e) hereof.</w:t>
      </w:r>
    </w:p>
    <w:p>
      <w:pPr>
        <w:spacing w:after="0" w:line="171" w:lineRule="exact"/>
        <w:rPr>
          <w:rFonts w:ascii="Arial" w:cs="Arial" w:eastAsia="Arial" w:hAnsi="Arial"/>
          <w:sz w:val="18"/>
          <w:szCs w:val="18"/>
          <w:color w:val="auto"/>
        </w:rPr>
      </w:pPr>
    </w:p>
    <w:p>
      <w:pPr>
        <w:ind w:left="1152" w:hanging="239"/>
        <w:spacing w:after="0"/>
        <w:tabs>
          <w:tab w:leader="none" w:pos="11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171" w:lineRule="exact"/>
        <w:rPr>
          <w:rFonts w:ascii="Arial" w:cs="Arial" w:eastAsia="Arial" w:hAnsi="Arial"/>
          <w:sz w:val="18"/>
          <w:szCs w:val="18"/>
          <w:color w:val="auto"/>
        </w:rPr>
      </w:pPr>
    </w:p>
    <w:p>
      <w:pPr>
        <w:ind w:left="-8" w:right="580" w:firstLine="921"/>
        <w:spacing w:after="0" w:line="268" w:lineRule="auto"/>
        <w:tabs>
          <w:tab w:leader="none" w:pos="1154"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31" w:lineRule="exact"/>
        <w:rPr>
          <w:rFonts w:ascii="Arial" w:cs="Arial" w:eastAsia="Arial" w:hAnsi="Arial"/>
          <w:sz w:val="18"/>
          <w:szCs w:val="18"/>
          <w:color w:val="auto"/>
        </w:rPr>
      </w:pPr>
    </w:p>
    <w:p>
      <w:pPr>
        <w:ind w:left="-8" w:right="100" w:firstLine="921"/>
        <w:spacing w:after="0" w:line="268" w:lineRule="auto"/>
        <w:tabs>
          <w:tab w:leader="none" w:pos="1154"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w:t>
      </w:r>
      <w:r>
        <w:rPr>
          <w:rFonts w:ascii="Arial" w:cs="Arial" w:eastAsia="Arial" w:hAnsi="Arial"/>
          <w:sz w:val="18"/>
          <w:szCs w:val="18"/>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131" w:lineRule="exact"/>
        <w:rPr>
          <w:rFonts w:ascii="Arial" w:cs="Arial" w:eastAsia="Arial" w:hAnsi="Arial"/>
          <w:sz w:val="18"/>
          <w:szCs w:val="18"/>
          <w:color w:val="auto"/>
        </w:rPr>
      </w:pPr>
    </w:p>
    <w:p>
      <w:pPr>
        <w:ind w:left="1132" w:hanging="219"/>
        <w:spacing w:after="0"/>
        <w:tabs>
          <w:tab w:leader="none" w:pos="1132"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February 12, 2009.</w:t>
      </w:r>
    </w:p>
    <w:p>
      <w:pPr>
        <w:spacing w:after="0" w:line="171" w:lineRule="exact"/>
        <w:rPr>
          <w:rFonts w:ascii="Arial" w:cs="Arial" w:eastAsia="Arial" w:hAnsi="Arial"/>
          <w:sz w:val="18"/>
          <w:szCs w:val="18"/>
          <w:color w:val="auto"/>
        </w:rPr>
      </w:pPr>
    </w:p>
    <w:p>
      <w:pPr>
        <w:ind w:left="-8" w:right="120" w:firstLine="921"/>
        <w:spacing w:after="0" w:line="259" w:lineRule="auto"/>
        <w:tabs>
          <w:tab w:leader="none" w:pos="1134"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92"/>
          </w:cols>
          <w:pgMar w:left="248" w:top="280" w:right="259" w:bottom="1440" w:gutter="0" w:footer="0" w:header="0"/>
        </w:sectPr>
      </w:pPr>
    </w:p>
    <w:bookmarkStart w:id="42" w:name="page43"/>
    <w:bookmarkEnd w:id="42"/>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w:t>
      </w:r>
    </w:p>
    <w:p>
      <w:pPr>
        <w:spacing w:after="0" w:line="140" w:lineRule="exact"/>
        <w:rPr>
          <w:sz w:val="20"/>
          <w:szCs w:val="20"/>
          <w:color w:val="auto"/>
        </w:rPr>
      </w:pPr>
    </w:p>
    <w:p>
      <w:pPr>
        <w:ind w:right="300" w:firstLine="921"/>
        <w:spacing w:after="0" w:line="268" w:lineRule="auto"/>
        <w:tabs>
          <w:tab w:leader="none" w:pos="11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131" w:lineRule="exact"/>
        <w:rPr>
          <w:rFonts w:ascii="Arial" w:cs="Arial" w:eastAsia="Arial" w:hAnsi="Arial"/>
          <w:sz w:val="18"/>
          <w:szCs w:val="18"/>
          <w:color w:val="auto"/>
        </w:rPr>
      </w:pPr>
    </w:p>
    <w:p>
      <w:pPr>
        <w:ind w:right="40" w:firstLine="921"/>
        <w:spacing w:after="0" w:line="268" w:lineRule="auto"/>
        <w:tabs>
          <w:tab w:leader="none" w:pos="11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31" w:lineRule="exact"/>
        <w:rPr>
          <w:rFonts w:ascii="Arial" w:cs="Arial" w:eastAsia="Arial" w:hAnsi="Arial"/>
          <w:sz w:val="18"/>
          <w:szCs w:val="18"/>
          <w:color w:val="auto"/>
        </w:rPr>
      </w:pPr>
    </w:p>
    <w:p>
      <w:pPr>
        <w:ind w:firstLine="921"/>
        <w:spacing w:after="0" w:line="294" w:lineRule="auto"/>
        <w:tabs>
          <w:tab w:leader="none" w:pos="1162"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the fair market value of Shares, Awards or other property as determined by the Committee, or under procedures established by the Committee. Unless otherwise determined by the Committee, the Fair Market Value of a Share as of any given date shall be (i) the last sale price of a Share on the principal national securities exchange on which the Common Stock is traded, if the Common Stock is then traded on a national securities exchange; or (ii) the average of the closing bid and asked prices for the Common Stock quoted by an established quotation service for over-the-counter securities, if the Common Stock is not then traded on a national securities exchange.</w:t>
      </w:r>
    </w:p>
    <w:p>
      <w:pPr>
        <w:spacing w:after="0" w:line="115" w:lineRule="exact"/>
        <w:rPr>
          <w:rFonts w:ascii="Arial" w:cs="Arial" w:eastAsia="Arial" w:hAnsi="Arial"/>
          <w:sz w:val="16"/>
          <w:szCs w:val="16"/>
          <w:color w:val="auto"/>
        </w:rPr>
      </w:pPr>
    </w:p>
    <w:p>
      <w:pPr>
        <w:ind w:firstLine="921"/>
        <w:spacing w:after="0" w:line="286" w:lineRule="auto"/>
        <w:tabs>
          <w:tab w:leader="none" w:pos="1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 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 duties or responsibilities, excluding for this purpose an isolated, insubstantial and inadvertent action not taken in bad faith and which is remedied by the Company or a Related Entity promptly after receipt of notice thereof given by the Participant; (ii) 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127" w:lineRule="exact"/>
        <w:rPr>
          <w:rFonts w:ascii="Arial" w:cs="Arial" w:eastAsia="Arial" w:hAnsi="Arial"/>
          <w:sz w:val="16"/>
          <w:szCs w:val="16"/>
          <w:color w:val="auto"/>
        </w:rPr>
      </w:pPr>
    </w:p>
    <w:p>
      <w:pPr>
        <w:ind w:right="360" w:firstLine="921"/>
        <w:spacing w:after="0" w:line="268" w:lineRule="auto"/>
        <w:tabs>
          <w:tab w:leader="none" w:pos="11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Independent</w:t>
      </w:r>
      <w:r>
        <w:rPr>
          <w:rFonts w:ascii="Arial" w:cs="Arial" w:eastAsia="Arial" w:hAnsi="Arial"/>
          <w:sz w:val="15"/>
          <w:szCs w:val="15"/>
          <w:color w:val="auto"/>
        </w:rPr>
        <w:t>”, when referring to either the Board or members of the Committee, shall have the same meaning as used in the rules of the Listing</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Market.</w:t>
      </w:r>
    </w:p>
    <w:p>
      <w:pPr>
        <w:spacing w:after="0" w:line="164" w:lineRule="exact"/>
        <w:rPr>
          <w:rFonts w:ascii="Arial" w:cs="Arial" w:eastAsia="Arial" w:hAnsi="Arial"/>
          <w:sz w:val="15"/>
          <w:szCs w:val="15"/>
          <w:color w:val="auto"/>
        </w:rPr>
      </w:pPr>
    </w:p>
    <w:p>
      <w:pPr>
        <w:ind w:left="1160" w:hanging="239"/>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9(b)(ii) hereof.</w:t>
      </w:r>
    </w:p>
    <w:p>
      <w:pPr>
        <w:spacing w:after="0" w:line="171" w:lineRule="exact"/>
        <w:rPr>
          <w:sz w:val="20"/>
          <w:szCs w:val="20"/>
          <w:color w:val="auto"/>
        </w:rPr>
      </w:pPr>
    </w:p>
    <w:p>
      <w:pPr>
        <w:ind w:right="200" w:firstLine="921"/>
        <w:spacing w:after="0" w:line="332" w:lineRule="auto"/>
        <w:tabs>
          <w:tab w:leader="none" w:pos="1229"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“Listing Market” </w:t>
      </w:r>
      <w:r>
        <w:rPr>
          <w:rFonts w:ascii="Arial" w:cs="Arial" w:eastAsia="Arial" w:hAnsi="Arial"/>
          <w:sz w:val="16"/>
          <w:szCs w:val="16"/>
          <w:color w:val="auto"/>
        </w:rPr>
        <w:t>means the OTC Bulletin Board or any other national securities exchange on which any securities of the Company are listed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trading, and if not listed for trading, by the rules of the Nasdaq Market.</w:t>
      </w:r>
    </w:p>
    <w:p>
      <w:pPr>
        <w:spacing w:after="0" w:line="85" w:lineRule="exact"/>
        <w:rPr>
          <w:rFonts w:ascii="Arial" w:cs="Arial" w:eastAsia="Arial" w:hAnsi="Arial"/>
          <w:sz w:val="16"/>
          <w:szCs w:val="16"/>
          <w:color w:val="auto"/>
        </w:rPr>
      </w:pPr>
    </w:p>
    <w:p>
      <w:pPr>
        <w:ind w:right="540" w:firstLine="921"/>
        <w:spacing w:after="0" w:line="268" w:lineRule="auto"/>
        <w:tabs>
          <w:tab w:leader="none" w:pos="1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6(b) hereof, to purchase Shares or other Awards at a specified price during specified time periods.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80" w:right="259" w:bottom="1440" w:gutter="0" w:footer="0" w:header="0"/>
        </w:sectPr>
      </w:pPr>
    </w:p>
    <w:bookmarkStart w:id="43" w:name="page44"/>
    <w:bookmarkEnd w:id="43"/>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(cc) “</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 person under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65" w:lineRule="exact"/>
        <w:rPr>
          <w:sz w:val="20"/>
          <w:szCs w:val="20"/>
          <w:color w:val="auto"/>
        </w:rPr>
      </w:pPr>
    </w:p>
    <w:p>
      <w:pPr>
        <w:ind w:left="1260" w:hanging="339"/>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 hereof.</w:t>
      </w:r>
    </w:p>
    <w:p>
      <w:pPr>
        <w:spacing w:after="0" w:line="171" w:lineRule="exact"/>
        <w:rPr>
          <w:rFonts w:ascii="Arial" w:cs="Arial" w:eastAsia="Arial" w:hAnsi="Arial"/>
          <w:sz w:val="18"/>
          <w:szCs w:val="18"/>
          <w:color w:val="auto"/>
        </w:rPr>
      </w:pPr>
    </w:p>
    <w:p>
      <w:pPr>
        <w:ind w:right="200" w:firstLine="921"/>
        <w:spacing w:after="0" w:line="332" w:lineRule="auto"/>
        <w:tabs>
          <w:tab w:leader="none" w:pos="123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who has been granted an Award under the Plan which remains outstanding, including a person who is no longer an Eligible Person.</w:t>
      </w:r>
    </w:p>
    <w:p>
      <w:pPr>
        <w:spacing w:after="0" w:line="85" w:lineRule="exact"/>
        <w:rPr>
          <w:rFonts w:ascii="Arial" w:cs="Arial" w:eastAsia="Arial" w:hAnsi="Arial"/>
          <w:sz w:val="16"/>
          <w:szCs w:val="16"/>
          <w:color w:val="auto"/>
        </w:rPr>
      </w:pPr>
    </w:p>
    <w:p>
      <w:pPr>
        <w:ind w:left="1200" w:hanging="279"/>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color w:val="auto"/>
        </w:rPr>
        <w:t>” means any Award of Performance Shares or Performance Units granted pursuant to Section 6(h) hereof.</w:t>
      </w:r>
    </w:p>
    <w:p>
      <w:pPr>
        <w:spacing w:after="0" w:line="171" w:lineRule="exact"/>
        <w:rPr>
          <w:rFonts w:ascii="Arial" w:cs="Arial" w:eastAsia="Arial" w:hAnsi="Arial"/>
          <w:sz w:val="18"/>
          <w:szCs w:val="18"/>
          <w:color w:val="auto"/>
        </w:rPr>
      </w:pPr>
    </w:p>
    <w:p>
      <w:pPr>
        <w:ind w:right="140" w:firstLine="921"/>
        <w:spacing w:after="0" w:line="268" w:lineRule="auto"/>
        <w:tabs>
          <w:tab w:leader="none" w:pos="1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31" w:lineRule="exact"/>
        <w:rPr>
          <w:rFonts w:ascii="Arial" w:cs="Arial" w:eastAsia="Arial" w:hAnsi="Arial"/>
          <w:sz w:val="18"/>
          <w:szCs w:val="18"/>
          <w:color w:val="auto"/>
        </w:rPr>
      </w:pPr>
    </w:p>
    <w:p>
      <w:pPr>
        <w:jc w:val="both"/>
        <w:ind w:right="220" w:firstLine="921"/>
        <w:spacing w:after="0" w:line="335" w:lineRule="auto"/>
        <w:tabs>
          <w:tab w:leader="none" w:pos="1249" w:val="left"/>
        </w:tabs>
        <w:numPr>
          <w:ilvl w:val="0"/>
          <w:numId w:val="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Performance Share</w:t>
      </w:r>
      <w:r>
        <w:rPr>
          <w:rFonts w:ascii="Arial" w:cs="Arial" w:eastAsia="Arial" w:hAnsi="Arial"/>
          <w:sz w:val="15"/>
          <w:szCs w:val="15"/>
          <w:color w:val="auto"/>
        </w:rPr>
        <w:t>” means any grant pursuant to Section 6(h) hereof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88" w:lineRule="exact"/>
        <w:rPr>
          <w:rFonts w:ascii="Arial" w:cs="Arial" w:eastAsia="Arial" w:hAnsi="Arial"/>
          <w:sz w:val="15"/>
          <w:szCs w:val="15"/>
          <w:color w:val="auto"/>
        </w:rPr>
      </w:pPr>
    </w:p>
    <w:p>
      <w:pPr>
        <w:ind w:right="40" w:firstLine="921"/>
        <w:spacing w:after="0" w:line="256" w:lineRule="auto"/>
        <w:tabs>
          <w:tab w:leader="none" w:pos="11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6(h) hereof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43" w:lineRule="exact"/>
        <w:rPr>
          <w:rFonts w:ascii="Arial" w:cs="Arial" w:eastAsia="Arial" w:hAnsi="Arial"/>
          <w:sz w:val="18"/>
          <w:szCs w:val="18"/>
          <w:color w:val="auto"/>
        </w:rPr>
      </w:pPr>
    </w:p>
    <w:p>
      <w:pPr>
        <w:ind w:right="100" w:firstLine="921"/>
        <w:spacing w:after="0" w:line="268" w:lineRule="auto"/>
        <w:tabs>
          <w:tab w:leader="none" w:pos="11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31" w:lineRule="exact"/>
        <w:rPr>
          <w:rFonts w:ascii="Arial" w:cs="Arial" w:eastAsia="Arial" w:hAnsi="Arial"/>
          <w:sz w:val="18"/>
          <w:szCs w:val="18"/>
          <w:color w:val="auto"/>
        </w:rPr>
      </w:pPr>
    </w:p>
    <w:p>
      <w:pPr>
        <w:ind w:right="180" w:firstLine="921"/>
        <w:spacing w:after="0" w:line="268" w:lineRule="auto"/>
        <w:tabs>
          <w:tab w:leader="none" w:pos="1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Board, in which the Company or a Subsidiary holds a substantial ownership interest, directly or indirectly.</w:t>
      </w:r>
    </w:p>
    <w:p>
      <w:pPr>
        <w:spacing w:after="0" w:line="131" w:lineRule="exact"/>
        <w:rPr>
          <w:rFonts w:ascii="Arial" w:cs="Arial" w:eastAsia="Arial" w:hAnsi="Arial"/>
          <w:sz w:val="18"/>
          <w:szCs w:val="18"/>
          <w:color w:val="auto"/>
        </w:rPr>
      </w:pPr>
    </w:p>
    <w:p>
      <w:pPr>
        <w:ind w:right="180" w:firstLine="921"/>
        <w:spacing w:after="0" w:line="268" w:lineRule="auto"/>
        <w:tabs>
          <w:tab w:leader="none" w:pos="1171"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 Period” </w:t>
      </w:r>
      <w:r>
        <w:rPr>
          <w:rFonts w:ascii="Arial" w:cs="Arial" w:eastAsia="Arial" w:hAnsi="Arial"/>
          <w:sz w:val="18"/>
          <w:szCs w:val="18"/>
          <w:color w:val="auto"/>
        </w:rPr>
        <w:t>means the period of time specified by the Committee that Restricted Stock Awards shall be subject to such restrictions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transferability, risk of forfeiture and other restrictions, if any, as the Committee may impose.</w:t>
      </w:r>
    </w:p>
    <w:p>
      <w:pPr>
        <w:spacing w:after="0" w:line="131" w:lineRule="exact"/>
        <w:rPr>
          <w:rFonts w:ascii="Arial" w:cs="Arial" w:eastAsia="Arial" w:hAnsi="Arial"/>
          <w:sz w:val="18"/>
          <w:szCs w:val="18"/>
          <w:color w:val="auto"/>
        </w:rPr>
      </w:pPr>
    </w:p>
    <w:p>
      <w:pPr>
        <w:jc w:val="both"/>
        <w:ind w:firstLine="921"/>
        <w:spacing w:after="0" w:line="256" w:lineRule="auto"/>
        <w:tabs>
          <w:tab w:leader="none" w:pos="13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43" w:lineRule="exact"/>
        <w:rPr>
          <w:rFonts w:ascii="Arial" w:cs="Arial" w:eastAsia="Arial" w:hAnsi="Arial"/>
          <w:sz w:val="18"/>
          <w:szCs w:val="18"/>
          <w:color w:val="auto"/>
        </w:rPr>
      </w:pPr>
    </w:p>
    <w:p>
      <w:pPr>
        <w:ind w:left="1260" w:hanging="339"/>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 hereof.</w:t>
      </w:r>
    </w:p>
    <w:p>
      <w:pPr>
        <w:spacing w:after="0" w:line="171" w:lineRule="exact"/>
        <w:rPr>
          <w:rFonts w:ascii="Arial" w:cs="Arial" w:eastAsia="Arial" w:hAnsi="Arial"/>
          <w:sz w:val="18"/>
          <w:szCs w:val="18"/>
          <w:color w:val="auto"/>
        </w:rPr>
      </w:pPr>
    </w:p>
    <w:p>
      <w:pPr>
        <w:ind w:right="240" w:firstLine="921"/>
        <w:spacing w:after="0" w:line="268" w:lineRule="auto"/>
        <w:tabs>
          <w:tab w:leader="none" w:pos="1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31" w:lineRule="exact"/>
        <w:rPr>
          <w:rFonts w:ascii="Arial" w:cs="Arial" w:eastAsia="Arial" w:hAnsi="Arial"/>
          <w:sz w:val="18"/>
          <w:szCs w:val="18"/>
          <w:color w:val="auto"/>
        </w:rPr>
      </w:pPr>
    </w:p>
    <w:p>
      <w:pPr>
        <w:ind w:right="40" w:firstLine="921"/>
        <w:spacing w:after="0" w:line="268" w:lineRule="auto"/>
        <w:tabs>
          <w:tab w:leader="none" w:pos="1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$0.001 per share, and such other securities as may be substituted (or re-substituted) for Shares pursuant to Section 10(c) hereof.</w:t>
      </w:r>
    </w:p>
    <w:p>
      <w:pPr>
        <w:spacing w:after="0" w:line="131" w:lineRule="exact"/>
        <w:rPr>
          <w:rFonts w:ascii="Arial" w:cs="Arial" w:eastAsia="Arial" w:hAnsi="Arial"/>
          <w:sz w:val="18"/>
          <w:szCs w:val="18"/>
          <w:color w:val="auto"/>
        </w:rPr>
      </w:pPr>
    </w:p>
    <w:p>
      <w:pPr>
        <w:ind w:left="1260" w:hanging="339"/>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 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80" w:right="239" w:bottom="1440" w:gutter="0" w:footer="0" w:header="0"/>
        </w:sectPr>
      </w:pPr>
    </w:p>
    <w:bookmarkStart w:id="44" w:name="page45"/>
    <w:bookmarkEnd w:id="44"/>
    <w:p>
      <w:pPr>
        <w:jc w:val="both"/>
        <w:ind w:left="-40" w:right="20" w:firstLine="921"/>
        <w:spacing w:after="0" w:line="306" w:lineRule="auto"/>
        <w:tabs>
          <w:tab w:leader="none" w:pos="1151" w:val="left"/>
        </w:tabs>
        <w:numPr>
          <w:ilvl w:val="1"/>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06" w:lineRule="exact"/>
        <w:rPr>
          <w:rFonts w:ascii="Arial" w:cs="Arial" w:eastAsia="Arial" w:hAnsi="Arial"/>
          <w:sz w:val="16"/>
          <w:szCs w:val="16"/>
          <w:color w:val="auto"/>
        </w:rPr>
      </w:pPr>
    </w:p>
    <w:p>
      <w:pPr>
        <w:jc w:val="both"/>
        <w:ind w:left="-40" w:right="380" w:firstLine="921"/>
        <w:spacing w:after="0" w:line="306" w:lineRule="auto"/>
        <w:tabs>
          <w:tab w:leader="none" w:pos="1170" w:val="left"/>
        </w:tabs>
        <w:numPr>
          <w:ilvl w:val="1"/>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Substitute Awards</w:t>
      </w:r>
      <w:r>
        <w:rPr>
          <w:rFonts w:ascii="Arial" w:cs="Arial" w:eastAsia="Arial" w:hAnsi="Arial"/>
          <w:sz w:val="16"/>
          <w:szCs w:val="16"/>
          <w:color w:val="auto"/>
        </w:rPr>
        <w:t>” means Awards granted or Shares issued by the Company in assumption of, or in substitution or exchange for, Awards previously granted, or the right or obligation to make future Awards, by a company (i) acquired by the Company or any Related Entity, (ii) which becomes a Related Entity after the date hereof, or (iii) with which the Company or any Related Entity combines.</w:t>
      </w:r>
    </w:p>
    <w:p>
      <w:pPr>
        <w:spacing w:after="0" w:line="106" w:lineRule="exact"/>
        <w:rPr>
          <w:rFonts w:ascii="Arial" w:cs="Arial" w:eastAsia="Arial" w:hAnsi="Arial"/>
          <w:sz w:val="16"/>
          <w:szCs w:val="16"/>
          <w:color w:val="auto"/>
        </w:rPr>
      </w:pPr>
    </w:p>
    <w:p>
      <w:pPr>
        <w:ind w:left="600" w:hanging="176"/>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p>
    <w:p>
      <w:pPr>
        <w:spacing w:after="0" w:line="171" w:lineRule="exact"/>
        <w:rPr>
          <w:rFonts w:ascii="Arial" w:cs="Arial" w:eastAsia="Arial" w:hAnsi="Arial"/>
          <w:sz w:val="18"/>
          <w:szCs w:val="18"/>
          <w:color w:val="auto"/>
        </w:rPr>
      </w:pPr>
    </w:p>
    <w:p>
      <w:pPr>
        <w:ind w:left="-40" w:right="20" w:firstLine="921"/>
        <w:spacing w:after="0" w:line="287" w:lineRule="auto"/>
        <w:tabs>
          <w:tab w:leader="none" w:pos="1112" w:val="left"/>
        </w:tabs>
        <w:numPr>
          <w:ilvl w:val="1"/>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Authority of the Committee. </w:t>
      </w:r>
      <w:r>
        <w:rPr>
          <w:rFonts w:ascii="Arial" w:cs="Arial" w:eastAsia="Arial" w:hAnsi="Arial"/>
          <w:sz w:val="16"/>
          <w:szCs w:val="16"/>
          <w:color w:val="auto"/>
        </w:rPr>
        <w:t>The Plan shall be administered by the Committee except to the extent (and subject to the limitations imposed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3(b) hereof) the Board elects to administer the Plan, in which case the Plan shall be administered by only those members of the Board who are Independent members of the Board,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any other Eligible Persons or Participants.</w:t>
      </w:r>
    </w:p>
    <w:p>
      <w:pPr>
        <w:spacing w:after="0" w:line="122" w:lineRule="exact"/>
        <w:rPr>
          <w:rFonts w:ascii="Arial" w:cs="Arial" w:eastAsia="Arial" w:hAnsi="Arial"/>
          <w:sz w:val="16"/>
          <w:szCs w:val="16"/>
          <w:color w:val="auto"/>
        </w:rPr>
      </w:pPr>
    </w:p>
    <w:p>
      <w:pPr>
        <w:ind w:left="-40" w:right="20" w:firstLine="921"/>
        <w:spacing w:after="0" w:line="286" w:lineRule="auto"/>
        <w:tabs>
          <w:tab w:leader="none" w:pos="1121" w:val="left"/>
        </w:tabs>
        <w:numPr>
          <w:ilvl w:val="1"/>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Manner of Exercise of Committee Authority. </w:t>
      </w:r>
      <w:r>
        <w:rPr>
          <w:rFonts w:ascii="Arial" w:cs="Arial" w:eastAsia="Arial" w:hAnsi="Arial"/>
          <w:sz w:val="16"/>
          <w:szCs w:val="16"/>
          <w:color w:val="auto"/>
        </w:rPr>
        <w:t>The Committee, and not the Board, shall exercise sole and exclusive discretion (i) on any matter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24" w:lineRule="exact"/>
        <w:rPr>
          <w:rFonts w:ascii="Arial" w:cs="Arial" w:eastAsia="Arial" w:hAnsi="Arial"/>
          <w:sz w:val="16"/>
          <w:szCs w:val="16"/>
          <w:color w:val="auto"/>
        </w:rPr>
      </w:pPr>
    </w:p>
    <w:p>
      <w:pPr>
        <w:ind w:left="-40" w:firstLine="921"/>
        <w:spacing w:after="0" w:line="294" w:lineRule="auto"/>
        <w:tabs>
          <w:tab w:leader="none" w:pos="1112" w:val="left"/>
        </w:tabs>
        <w:numPr>
          <w:ilvl w:val="1"/>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Limitation of Liability. </w:t>
      </w:r>
      <w:r>
        <w:rPr>
          <w:rFonts w:ascii="Arial" w:cs="Arial" w:eastAsia="Arial" w:hAnsi="Arial"/>
          <w:sz w:val="16"/>
          <w:szCs w:val="16"/>
          <w:color w:val="auto"/>
        </w:rPr>
        <w:t>The Committee and the Board, and each member thereof, shall be entitled to, in good faith, rely or act upon any report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40"/>
          </w:cols>
          <w:pgMar w:left="280" w:top="280" w:right="279" w:bottom="1440" w:gutter="0" w:footer="0" w:header="0"/>
        </w:sectPr>
      </w:pPr>
    </w:p>
    <w:bookmarkStart w:id="45" w:name="page46"/>
    <w:bookmarkEnd w:id="45"/>
    <w:p>
      <w:pPr>
        <w:ind w:left="632" w:hanging="176"/>
        <w:spacing w:after="0"/>
        <w:tabs>
          <w:tab w:leader="none" w:pos="632" w:val="left"/>
        </w:tabs>
        <w:numPr>
          <w:ilvl w:val="1"/>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Subject to Plan.</w:t>
      </w:r>
    </w:p>
    <w:p>
      <w:pPr>
        <w:spacing w:after="0" w:line="171" w:lineRule="exact"/>
        <w:rPr>
          <w:rFonts w:ascii="Arial" w:cs="Arial" w:eastAsia="Arial" w:hAnsi="Arial"/>
          <w:sz w:val="18"/>
          <w:szCs w:val="18"/>
          <w:color w:val="auto"/>
        </w:rPr>
      </w:pPr>
    </w:p>
    <w:p>
      <w:pPr>
        <w:jc w:val="both"/>
        <w:ind w:left="-8" w:right="240" w:firstLine="921"/>
        <w:spacing w:after="0" w:line="259" w:lineRule="auto"/>
        <w:tabs>
          <w:tab w:leader="none" w:pos="1144" w:val="left"/>
        </w:tabs>
        <w:numPr>
          <w:ilvl w:val="2"/>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Limitation on Overall Number of Shares Available for Delivery Under Plan. </w:t>
      </w:r>
      <w:r>
        <w:rPr>
          <w:rFonts w:ascii="Arial" w:cs="Arial" w:eastAsia="Arial" w:hAnsi="Arial"/>
          <w:sz w:val="18"/>
          <w:szCs w:val="18"/>
          <w:color w:val="auto"/>
        </w:rPr>
        <w:t>Subject to adjustment as provided in Section 10(c) hereof,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number of Shares reserved and available for delivery under the Plan shall be 20,000,000. Any Shares delivered under the Plan may consist, in whole or in part, of authorized and unissued shares or treasury shares.</w:t>
      </w:r>
    </w:p>
    <w:p>
      <w:pPr>
        <w:spacing w:after="0" w:line="140" w:lineRule="exact"/>
        <w:rPr>
          <w:rFonts w:ascii="Arial" w:cs="Arial" w:eastAsia="Arial" w:hAnsi="Arial"/>
          <w:sz w:val="18"/>
          <w:szCs w:val="18"/>
          <w:color w:val="auto"/>
        </w:rPr>
      </w:pPr>
    </w:p>
    <w:p>
      <w:pPr>
        <w:jc w:val="both"/>
        <w:ind w:left="-8" w:right="120" w:firstLine="921"/>
        <w:spacing w:after="0" w:line="255" w:lineRule="auto"/>
        <w:tabs>
          <w:tab w:leader="none" w:pos="1153" w:val="left"/>
        </w:tabs>
        <w:numPr>
          <w:ilvl w:val="2"/>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Application of Limitation to Grants of Awards. </w:t>
      </w:r>
      <w:r>
        <w:rPr>
          <w:rFonts w:ascii="Arial" w:cs="Arial" w:eastAsia="Arial" w:hAnsi="Arial"/>
          <w:sz w:val="18"/>
          <w:szCs w:val="18"/>
          <w:color w:val="auto"/>
        </w:rPr>
        <w:t>No Award may be granted if the number of Shares to be delivered in connection with such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42" w:lineRule="exact"/>
        <w:rPr>
          <w:rFonts w:ascii="Arial" w:cs="Arial" w:eastAsia="Arial" w:hAnsi="Arial"/>
          <w:sz w:val="18"/>
          <w:szCs w:val="18"/>
          <w:color w:val="auto"/>
        </w:rPr>
      </w:pPr>
    </w:p>
    <w:p>
      <w:pPr>
        <w:ind w:left="1152" w:hanging="239"/>
        <w:spacing w:after="0"/>
        <w:tabs>
          <w:tab w:leader="none" w:pos="1152" w:val="left"/>
        </w:tabs>
        <w:numPr>
          <w:ilvl w:val="2"/>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p>
    <w:p>
      <w:pPr>
        <w:spacing w:after="0" w:line="171" w:lineRule="exact"/>
        <w:rPr>
          <w:rFonts w:ascii="Arial" w:cs="Arial" w:eastAsia="Arial" w:hAnsi="Arial"/>
          <w:sz w:val="18"/>
          <w:szCs w:val="18"/>
          <w:color w:val="auto"/>
        </w:rPr>
      </w:pPr>
    </w:p>
    <w:p>
      <w:pPr>
        <w:jc w:val="both"/>
        <w:ind w:left="-8" w:right="120" w:firstLine="1492"/>
        <w:spacing w:after="0" w:line="303" w:lineRule="auto"/>
        <w:tabs>
          <w:tab w:leader="none" w:pos="1685" w:val="left"/>
        </w:tabs>
        <w:numPr>
          <w:ilvl w:val="3"/>
          <w:numId w:val="35"/>
        </w:numPr>
        <w:rPr>
          <w:rFonts w:ascii="Arial" w:cs="Arial" w:eastAsia="Arial" w:hAnsi="Arial"/>
          <w:sz w:val="15"/>
          <w:szCs w:val="15"/>
          <w:color w:val="auto"/>
        </w:rPr>
      </w:pPr>
      <w:r>
        <w:rPr>
          <w:rFonts w:ascii="Arial" w:cs="Arial" w:eastAsia="Arial" w:hAnsi="Arial"/>
          <w:sz w:val="15"/>
          <w:szCs w:val="15"/>
          <w:color w:val="auto"/>
        </w:rPr>
        <w:t>If any Awards are forfeited, expire or otherwise terminate without issuance of such Shares, or any Award is settled for cash or otherwise does not result in the issuance of all or a portion of the Shares subject to such Award, the Shares to which those Awards were subject, shall, to the extent of such forfeiture, expiration, termination, cash settlement or non-issuance, again be available for delivery with respect to Awards under the Plan, subject to Section 4(c)</w:t>
      </w:r>
    </w:p>
    <w:p>
      <w:pPr>
        <w:spacing w:after="0" w:line="1" w:lineRule="exact"/>
        <w:rPr>
          <w:rFonts w:ascii="Arial" w:cs="Arial" w:eastAsia="Arial" w:hAnsi="Arial"/>
          <w:sz w:val="15"/>
          <w:szCs w:val="15"/>
          <w:color w:val="auto"/>
        </w:rPr>
      </w:pPr>
    </w:p>
    <w:p>
      <w:pPr>
        <w:ind w:left="292" w:hanging="292"/>
        <w:spacing w:after="0"/>
        <w:tabs>
          <w:tab w:leader="none" w:pos="2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below.</w:t>
      </w:r>
    </w:p>
    <w:p>
      <w:pPr>
        <w:spacing w:after="0" w:line="164" w:lineRule="exact"/>
        <w:rPr>
          <w:rFonts w:ascii="Arial" w:cs="Arial" w:eastAsia="Arial" w:hAnsi="Arial"/>
          <w:sz w:val="18"/>
          <w:szCs w:val="18"/>
          <w:color w:val="auto"/>
        </w:rPr>
      </w:pPr>
    </w:p>
    <w:p>
      <w:pPr>
        <w:ind w:left="-8" w:right="120" w:firstLine="1492"/>
        <w:spacing w:after="0" w:line="298" w:lineRule="auto"/>
        <w:tabs>
          <w:tab w:leader="none" w:pos="1734" w:val="left"/>
        </w:tabs>
        <w:numPr>
          <w:ilvl w:val="3"/>
          <w:numId w:val="36"/>
        </w:numPr>
        <w:rPr>
          <w:rFonts w:ascii="Arial" w:cs="Arial" w:eastAsia="Arial" w:hAnsi="Arial"/>
          <w:sz w:val="16"/>
          <w:szCs w:val="16"/>
          <w:color w:val="auto"/>
        </w:rPr>
      </w:pPr>
      <w:r>
        <w:rPr>
          <w:rFonts w:ascii="Arial" w:cs="Arial" w:eastAsia="Arial" w:hAnsi="Arial"/>
          <w:sz w:val="16"/>
          <w:szCs w:val="16"/>
          <w:color w:val="auto"/>
        </w:rPr>
        <w:t>In the event that any Option or other Award granted hereunder is exercised through the tendering of Shares (either actually or by attestation)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w:t>
      </w:r>
    </w:p>
    <w:p>
      <w:pPr>
        <w:spacing w:after="0" w:line="112" w:lineRule="exact"/>
        <w:rPr>
          <w:rFonts w:ascii="Arial" w:cs="Arial" w:eastAsia="Arial" w:hAnsi="Arial"/>
          <w:sz w:val="16"/>
          <w:szCs w:val="16"/>
          <w:color w:val="auto"/>
        </w:rPr>
      </w:pPr>
    </w:p>
    <w:p>
      <w:pPr>
        <w:ind w:left="-8" w:firstLine="1492"/>
        <w:spacing w:after="0" w:line="290" w:lineRule="auto"/>
        <w:tabs>
          <w:tab w:leader="none" w:pos="1783" w:val="left"/>
        </w:tabs>
        <w:numPr>
          <w:ilvl w:val="3"/>
          <w:numId w:val="36"/>
        </w:numPr>
        <w:rPr>
          <w:rFonts w:ascii="Arial" w:cs="Arial" w:eastAsia="Arial" w:hAnsi="Arial"/>
          <w:sz w:val="16"/>
          <w:szCs w:val="16"/>
          <w:color w:val="auto"/>
        </w:rPr>
      </w:pPr>
      <w:r>
        <w:rPr>
          <w:rFonts w:ascii="Arial" w:cs="Arial" w:eastAsia="Arial" w:hAnsi="Arial"/>
          <w:sz w:val="16"/>
          <w:szCs w:val="16"/>
          <w:color w:val="auto"/>
        </w:rPr>
        <w:t>Substitute Awards shall not reduce the Shares authorized for delivery under the Plan or authorized for delivery to a Participant in any period. Additionally, in the event that a company acquired by the Company or any Related Entity or with which the Company or any Related Entity combines has shares available under a pre-existing plan approved by its shareholders,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w:t>
      </w:r>
    </w:p>
    <w:p>
      <w:pPr>
        <w:spacing w:after="0" w:line="118" w:lineRule="exact"/>
        <w:rPr>
          <w:rFonts w:ascii="Arial" w:cs="Arial" w:eastAsia="Arial" w:hAnsi="Arial"/>
          <w:sz w:val="16"/>
          <w:szCs w:val="16"/>
          <w:color w:val="auto"/>
        </w:rPr>
      </w:pPr>
    </w:p>
    <w:p>
      <w:pPr>
        <w:ind w:left="1772" w:hanging="288"/>
        <w:spacing w:after="0"/>
        <w:tabs>
          <w:tab w:leader="none" w:pos="1772" w:val="left"/>
        </w:tabs>
        <w:numPr>
          <w:ilvl w:val="3"/>
          <w:numId w:val="36"/>
        </w:numPr>
        <w:rPr>
          <w:rFonts w:ascii="Arial" w:cs="Arial" w:eastAsia="Arial" w:hAnsi="Arial"/>
          <w:sz w:val="18"/>
          <w:szCs w:val="18"/>
          <w:color w:val="auto"/>
        </w:rPr>
      </w:pPr>
      <w:r>
        <w:rPr>
          <w:rFonts w:ascii="Arial" w:cs="Arial" w:eastAsia="Arial" w:hAnsi="Arial"/>
          <w:sz w:val="18"/>
          <w:szCs w:val="18"/>
          <w:color w:val="auto"/>
        </w:rPr>
        <w:t>Any Share that again becomes available for delivery pursuant to this Section 4(c) shall be added back as one (1) Share.</w:t>
      </w:r>
    </w:p>
    <w:p>
      <w:pPr>
        <w:spacing w:after="0" w:line="171" w:lineRule="exact"/>
        <w:rPr>
          <w:rFonts w:ascii="Arial" w:cs="Arial" w:eastAsia="Arial" w:hAnsi="Arial"/>
          <w:sz w:val="18"/>
          <w:szCs w:val="18"/>
          <w:color w:val="auto"/>
        </w:rPr>
      </w:pPr>
    </w:p>
    <w:p>
      <w:pPr>
        <w:ind w:left="-8" w:firstLine="1492"/>
        <w:spacing w:after="0" w:line="332" w:lineRule="auto"/>
        <w:tabs>
          <w:tab w:leader="none" w:pos="1724" w:val="left"/>
        </w:tabs>
        <w:numPr>
          <w:ilvl w:val="3"/>
          <w:numId w:val="36"/>
        </w:numPr>
        <w:rPr>
          <w:rFonts w:ascii="Arial" w:cs="Arial" w:eastAsia="Arial" w:hAnsi="Arial"/>
          <w:sz w:val="16"/>
          <w:szCs w:val="16"/>
          <w:color w:val="auto"/>
        </w:rPr>
      </w:pPr>
      <w:r>
        <w:rPr>
          <w:rFonts w:ascii="Arial" w:cs="Arial" w:eastAsia="Arial" w:hAnsi="Arial"/>
          <w:sz w:val="16"/>
          <w:szCs w:val="16"/>
          <w:color w:val="auto"/>
        </w:rPr>
        <w:t>Notwithstanding anything in this Section 4(c) to the contrary but subject to adjustment as provided in Section 10(c) hereof, the maximum aggregate number of Shares that may be delivered under the Plan as a result of the exercise of the Incentive Stock Options shall be 20,000,000 Shares.</w:t>
      </w:r>
    </w:p>
    <w:p>
      <w:pPr>
        <w:spacing w:after="0" w:line="85" w:lineRule="exact"/>
        <w:rPr>
          <w:rFonts w:ascii="Arial" w:cs="Arial" w:eastAsia="Arial" w:hAnsi="Arial"/>
          <w:sz w:val="16"/>
          <w:szCs w:val="16"/>
          <w:color w:val="auto"/>
        </w:rPr>
      </w:pPr>
    </w:p>
    <w:p>
      <w:pPr>
        <w:ind w:left="-8" w:right="20" w:firstLine="464"/>
        <w:spacing w:after="0" w:line="294" w:lineRule="auto"/>
        <w:tabs>
          <w:tab w:leader="none" w:pos="624" w:val="left"/>
        </w:tabs>
        <w:numPr>
          <w:ilvl w:val="1"/>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Eligibility; Per-Person Award Limitations. </w:t>
      </w:r>
      <w:r>
        <w:rPr>
          <w:rFonts w:ascii="Arial" w:cs="Arial" w:eastAsia="Arial" w:hAnsi="Arial"/>
          <w:sz w:val="16"/>
          <w:szCs w:val="16"/>
          <w:color w:val="auto"/>
        </w:rPr>
        <w:t>Awards may be granted under the Plan only to Eligible Persons. Subject to adjustment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10(c), in any fiscal year of the Company during any part of which the Plan is in effect, no Participant may be granted (i) Options or Stock Appreciation Rights with respect to more than 2,000,000 Shares or (ii) Restricted Stock, Deferred Stock, Performance Shares and/or Other Stock-Based Awards with respect to more than 2,000,000 Shares. In addition, the maximum dollar value payable to any one Participant with respect to Performance Units is (x) $1,000,000 with respect to any 12 month Performance Period and (y) with respect to any Performance Period that is more than 12 months, $3,000,000.</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92"/>
          </w:cols>
          <w:pgMar w:left="248" w:top="280" w:right="259" w:bottom="1440" w:gutter="0" w:footer="0" w:header="0"/>
        </w:sectPr>
      </w:pPr>
    </w:p>
    <w:bookmarkStart w:id="46" w:name="page47"/>
    <w:bookmarkEnd w:id="46"/>
    <w:p>
      <w:pPr>
        <w:ind w:left="620" w:hanging="176"/>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Specific Terms of Awards.</w:t>
      </w:r>
    </w:p>
    <w:p>
      <w:pPr>
        <w:spacing w:after="0" w:line="171" w:lineRule="exact"/>
        <w:rPr>
          <w:rFonts w:ascii="Arial" w:cs="Arial" w:eastAsia="Arial" w:hAnsi="Arial"/>
          <w:sz w:val="18"/>
          <w:szCs w:val="18"/>
          <w:color w:val="auto"/>
        </w:rPr>
      </w:pPr>
    </w:p>
    <w:p>
      <w:pPr>
        <w:ind w:left="-20" w:firstLine="921"/>
        <w:spacing w:after="0" w:line="290" w:lineRule="auto"/>
        <w:tabs>
          <w:tab w:leader="none" w:pos="1132" w:val="left"/>
        </w:tabs>
        <w:numPr>
          <w:ilvl w:val="1"/>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Awards may be granted on the terms and conditions set forth in this Section 6. In addition, the Committee may impose on any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Massachusetts law, no consideration other than services may be required for the grant (as opposed to the exercise) of any Award.</w:t>
      </w:r>
    </w:p>
    <w:p>
      <w:pPr>
        <w:spacing w:after="0" w:line="118" w:lineRule="exact"/>
        <w:rPr>
          <w:rFonts w:ascii="Arial" w:cs="Arial" w:eastAsia="Arial" w:hAnsi="Arial"/>
          <w:sz w:val="16"/>
          <w:szCs w:val="16"/>
          <w:color w:val="auto"/>
        </w:rPr>
      </w:pPr>
    </w:p>
    <w:p>
      <w:pPr>
        <w:ind w:left="1140" w:hanging="239"/>
        <w:spacing w:after="0"/>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Options.  </w:t>
      </w:r>
      <w:r>
        <w:rPr>
          <w:rFonts w:ascii="Arial" w:cs="Arial" w:eastAsia="Arial" w:hAnsi="Arial"/>
          <w:sz w:val="18"/>
          <w:szCs w:val="18"/>
          <w:color w:val="auto"/>
        </w:rPr>
        <w:t>The Committee is authorized to grant Options to any Eligible Person on the following terms and conditions:</w:t>
      </w:r>
    </w:p>
    <w:p>
      <w:pPr>
        <w:spacing w:after="0" w:line="171" w:lineRule="exact"/>
        <w:rPr>
          <w:rFonts w:ascii="Arial" w:cs="Arial" w:eastAsia="Arial" w:hAnsi="Arial"/>
          <w:sz w:val="18"/>
          <w:szCs w:val="18"/>
          <w:color w:val="auto"/>
        </w:rPr>
      </w:pPr>
    </w:p>
    <w:p>
      <w:pPr>
        <w:ind w:left="-20" w:right="40" w:firstLine="1492"/>
        <w:spacing w:after="0" w:line="290" w:lineRule="auto"/>
        <w:tabs>
          <w:tab w:leader="none" w:pos="1673" w:val="left"/>
        </w:tabs>
        <w:numPr>
          <w:ilvl w:val="2"/>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Exercise Price. </w:t>
      </w:r>
      <w:r>
        <w:rPr>
          <w:rFonts w:ascii="Arial" w:cs="Arial" w:eastAsia="Arial" w:hAnsi="Arial"/>
          <w:sz w:val="16"/>
          <w:szCs w:val="16"/>
          <w:color w:val="auto"/>
        </w:rPr>
        <w:t>Other than in connection with Substitute Awards, the exercise price per Share purchasable under an Option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of a Share on the date such Incentive Stock Option is granted.</w:t>
      </w:r>
    </w:p>
    <w:p>
      <w:pPr>
        <w:spacing w:after="0" w:line="118" w:lineRule="exact"/>
        <w:rPr>
          <w:rFonts w:ascii="Arial" w:cs="Arial" w:eastAsia="Arial" w:hAnsi="Arial"/>
          <w:sz w:val="16"/>
          <w:szCs w:val="16"/>
          <w:color w:val="auto"/>
        </w:rPr>
      </w:pPr>
    </w:p>
    <w:p>
      <w:pPr>
        <w:ind w:left="-20" w:right="20" w:firstLine="1492"/>
        <w:spacing w:after="0" w:line="289" w:lineRule="auto"/>
        <w:tabs>
          <w:tab w:leader="none" w:pos="1722" w:val="left"/>
        </w:tabs>
        <w:numPr>
          <w:ilvl w:val="2"/>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Time and Method of Exercise. </w:t>
      </w:r>
      <w:r>
        <w:rPr>
          <w:rFonts w:ascii="Arial" w:cs="Arial" w:eastAsia="Arial" w:hAnsi="Arial"/>
          <w:sz w:val="16"/>
          <w:szCs w:val="16"/>
          <w:color w:val="auto"/>
        </w:rPr>
        <w:t>The Committee shall determine the time or times at which or the circumstances under which an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18" w:lineRule="exact"/>
        <w:rPr>
          <w:rFonts w:ascii="Arial" w:cs="Arial" w:eastAsia="Arial" w:hAnsi="Arial"/>
          <w:sz w:val="16"/>
          <w:szCs w:val="16"/>
          <w:color w:val="auto"/>
        </w:rPr>
      </w:pPr>
    </w:p>
    <w:p>
      <w:pPr>
        <w:ind w:left="-20" w:right="60" w:firstLine="1492"/>
        <w:spacing w:after="0" w:line="291" w:lineRule="auto"/>
        <w:tabs>
          <w:tab w:leader="none" w:pos="1771" w:val="left"/>
        </w:tabs>
        <w:numPr>
          <w:ilvl w:val="2"/>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Incentive Stock Options. </w:t>
      </w:r>
      <w:r>
        <w:rPr>
          <w:rFonts w:ascii="Arial" w:cs="Arial" w:eastAsia="Arial" w:hAnsi="Arial"/>
          <w:sz w:val="16"/>
          <w:szCs w:val="16"/>
          <w:color w:val="auto"/>
        </w:rPr>
        <w:t>The terms of any Incentive Stock Option granted under the Plan shall comply in all respects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120" w:lineRule="exact"/>
        <w:rPr>
          <w:rFonts w:ascii="Arial" w:cs="Arial" w:eastAsia="Arial" w:hAnsi="Arial"/>
          <w:sz w:val="16"/>
          <w:szCs w:val="16"/>
          <w:color w:val="auto"/>
        </w:rPr>
      </w:pPr>
    </w:p>
    <w:p>
      <w:pPr>
        <w:ind w:left="-20" w:right="120" w:firstLine="1948"/>
        <w:spacing w:after="0" w:line="306" w:lineRule="auto"/>
        <w:tabs>
          <w:tab w:leader="none" w:pos="2208" w:val="left"/>
        </w:tabs>
        <w:numPr>
          <w:ilvl w:val="3"/>
          <w:numId w:val="37"/>
        </w:numPr>
        <w:rPr>
          <w:rFonts w:ascii="Arial" w:cs="Arial" w:eastAsia="Arial" w:hAnsi="Arial"/>
          <w:sz w:val="16"/>
          <w:szCs w:val="16"/>
          <w:color w:val="auto"/>
        </w:rPr>
      </w:pPr>
      <w:r>
        <w:rPr>
          <w:rFonts w:ascii="Arial" w:cs="Arial" w:eastAsia="Arial" w:hAnsi="Arial"/>
          <w:sz w:val="16"/>
          <w:szCs w:val="16"/>
          <w:color w:val="auto"/>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60" w:top="280" w:right="239" w:bottom="1440" w:gutter="0" w:footer="0" w:header="0"/>
        </w:sectPr>
      </w:pPr>
    </w:p>
    <w:bookmarkStart w:id="47" w:name="page48"/>
    <w:bookmarkEnd w:id="47"/>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85" w:lineRule="exact"/>
        <w:rPr>
          <w:sz w:val="20"/>
          <w:szCs w:val="20"/>
          <w:color w:val="auto"/>
        </w:rPr>
      </w:pPr>
    </w:p>
    <w:p>
      <w:pPr>
        <w:ind w:right="120" w:firstLine="1948"/>
        <w:spacing w:after="0" w:line="298" w:lineRule="auto"/>
        <w:tabs>
          <w:tab w:leader="none" w:pos="2218" w:val="left"/>
        </w:tabs>
        <w:numPr>
          <w:ilvl w:val="2"/>
          <w:numId w:val="38"/>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w:t>
      </w:r>
    </w:p>
    <w:p>
      <w:pPr>
        <w:spacing w:after="0" w:line="112" w:lineRule="exact"/>
        <w:rPr>
          <w:rFonts w:ascii="Arial" w:cs="Arial" w:eastAsia="Arial" w:hAnsi="Arial"/>
          <w:sz w:val="16"/>
          <w:szCs w:val="16"/>
          <w:color w:val="auto"/>
        </w:rPr>
      </w:pPr>
    </w:p>
    <w:p>
      <w:pPr>
        <w:ind w:right="60" w:firstLine="921"/>
        <w:spacing w:after="0" w:line="256" w:lineRule="auto"/>
        <w:tabs>
          <w:tab w:leader="none" w:pos="1152"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color w:val="auto"/>
        </w:rPr>
        <w:t>The Committee may grant Stock Appreciation Rights to any Eligible Person in conjunction with all or part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143" w:lineRule="exact"/>
        <w:rPr>
          <w:rFonts w:ascii="Arial" w:cs="Arial" w:eastAsia="Arial" w:hAnsi="Arial"/>
          <w:sz w:val="18"/>
          <w:szCs w:val="18"/>
          <w:color w:val="auto"/>
        </w:rPr>
      </w:pPr>
    </w:p>
    <w:p>
      <w:pPr>
        <w:ind w:firstLine="1492"/>
        <w:spacing w:after="0" w:line="298" w:lineRule="auto"/>
        <w:tabs>
          <w:tab w:leader="none" w:pos="1693" w:val="left"/>
        </w:tabs>
        <w:numPr>
          <w:ilvl w:val="1"/>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Right to Payment. </w:t>
      </w:r>
      <w:r>
        <w:rPr>
          <w:rFonts w:ascii="Arial" w:cs="Arial" w:eastAsia="Arial" w:hAnsi="Arial"/>
          <w:sz w:val="16"/>
          <w:szCs w:val="16"/>
          <w:color w:val="auto"/>
        </w:rPr>
        <w:t>A Stock Appreciation Right shall confer on the Participant to whom it is granted a right to receive, upon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w:t>
      </w:r>
    </w:p>
    <w:p>
      <w:pPr>
        <w:spacing w:after="0" w:line="112" w:lineRule="exact"/>
        <w:rPr>
          <w:rFonts w:ascii="Arial" w:cs="Arial" w:eastAsia="Arial" w:hAnsi="Arial"/>
          <w:sz w:val="16"/>
          <w:szCs w:val="16"/>
          <w:color w:val="auto"/>
        </w:rPr>
      </w:pPr>
    </w:p>
    <w:p>
      <w:pPr>
        <w:ind w:firstLine="1492"/>
        <w:spacing w:after="0" w:line="291" w:lineRule="auto"/>
        <w:tabs>
          <w:tab w:leader="none" w:pos="1742" w:val="left"/>
        </w:tabs>
        <w:numPr>
          <w:ilvl w:val="1"/>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The Committee shall determine at the date of grant or thereafter, the time or times at which and the circumstances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20" w:lineRule="exact"/>
        <w:rPr>
          <w:rFonts w:ascii="Arial" w:cs="Arial" w:eastAsia="Arial" w:hAnsi="Arial"/>
          <w:sz w:val="16"/>
          <w:szCs w:val="16"/>
          <w:color w:val="auto"/>
        </w:rPr>
      </w:pPr>
    </w:p>
    <w:p>
      <w:pPr>
        <w:ind w:right="80" w:firstLine="1492"/>
        <w:spacing w:after="0" w:line="288" w:lineRule="auto"/>
        <w:tabs>
          <w:tab w:leader="none" w:pos="1791" w:val="left"/>
        </w:tabs>
        <w:numPr>
          <w:ilvl w:val="1"/>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Tandem Stock Appreciation Rights. </w:t>
      </w:r>
      <w:r>
        <w:rPr>
          <w:rFonts w:ascii="Arial" w:cs="Arial" w:eastAsia="Arial" w:hAnsi="Arial"/>
          <w:sz w:val="16"/>
          <w:szCs w:val="16"/>
          <w:color w:val="auto"/>
        </w:rPr>
        <w:t>Any Tandem Stock Appreciation Right may be granted at the same time as the related Option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119" w:lineRule="exact"/>
        <w:rPr>
          <w:rFonts w:ascii="Arial" w:cs="Arial" w:eastAsia="Arial" w:hAnsi="Arial"/>
          <w:sz w:val="16"/>
          <w:szCs w:val="16"/>
          <w:color w:val="auto"/>
        </w:rPr>
      </w:pPr>
    </w:p>
    <w:p>
      <w:pPr>
        <w:ind w:left="1160" w:hanging="239"/>
        <w:spacing w:after="0"/>
        <w:tabs>
          <w:tab w:leader="none" w:pos="116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Restricted Stock Awards.  </w:t>
      </w:r>
      <w:r>
        <w:rPr>
          <w:rFonts w:ascii="Arial" w:cs="Arial" w:eastAsia="Arial" w:hAnsi="Arial"/>
          <w:sz w:val="16"/>
          <w:szCs w:val="16"/>
          <w:color w:val="auto"/>
        </w:rPr>
        <w:t>The Committee is authorized to grant Restricted Stock Awards to any Eligible Person on the following terms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164" w:lineRule="exact"/>
        <w:rPr>
          <w:rFonts w:ascii="Arial" w:cs="Arial" w:eastAsia="Arial" w:hAnsi="Arial"/>
          <w:sz w:val="16"/>
          <w:szCs w:val="16"/>
          <w:color w:val="auto"/>
        </w:rPr>
      </w:pPr>
    </w:p>
    <w:p>
      <w:pPr>
        <w:ind w:right="200" w:firstLine="1492"/>
        <w:spacing w:after="0" w:line="306" w:lineRule="auto"/>
        <w:tabs>
          <w:tab w:leader="none" w:pos="1693" w:val="left"/>
        </w:tabs>
        <w:numPr>
          <w:ilvl w:val="1"/>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Grant and Restrictions. </w:t>
      </w:r>
      <w:r>
        <w:rPr>
          <w:rFonts w:ascii="Arial" w:cs="Arial" w:eastAsia="Arial" w:hAnsi="Arial"/>
          <w:sz w:val="16"/>
          <w:szCs w:val="16"/>
          <w:color w:val="auto"/>
        </w:rPr>
        <w:t>Restricted Stock Awards shall be subject to such restrictions on transferability, risk of forfeiture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if any, as the Committee may impose, or as otherwise provided in this Plan during the Restriction Period. The terms of any Restricted Stock Award granted under the Plan shall be set forth in a written Award Agreement which shall contain provisions determined by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280" w:right="259" w:bottom="1440" w:gutter="0" w:footer="0" w:header="0"/>
        </w:sectPr>
      </w:pPr>
    </w:p>
    <w:bookmarkStart w:id="48" w:name="page49"/>
    <w:bookmarkEnd w:id="4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Restriction Stock Award is subject to a risk of forfeiture, subject to Section 10(b) below and except as otherwise provided in the Award Agreement, the Restricted Stock may not be sold, transferred, pledged, hypothecated, margined or otherwise encumbered by the Participant.</w:t>
      </w:r>
    </w:p>
    <w:p>
      <w:pPr>
        <w:spacing w:after="0" w:line="118" w:lineRule="exact"/>
        <w:rPr>
          <w:sz w:val="20"/>
          <w:szCs w:val="20"/>
          <w:color w:val="auto"/>
        </w:rPr>
      </w:pPr>
    </w:p>
    <w:p>
      <w:pPr>
        <w:ind w:right="80" w:firstLine="1492"/>
        <w:spacing w:after="0" w:line="254" w:lineRule="auto"/>
        <w:tabs>
          <w:tab w:leader="none" w:pos="1742" w:val="left"/>
        </w:tabs>
        <w:numPr>
          <w:ilvl w:val="1"/>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Forfeiture. </w:t>
      </w:r>
      <w:r>
        <w:rPr>
          <w:rFonts w:ascii="Arial" w:cs="Arial" w:eastAsia="Arial" w:hAnsi="Arial"/>
          <w:sz w:val="18"/>
          <w:szCs w:val="18"/>
          <w:color w:val="auto"/>
        </w:rPr>
        <w:t>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Restriction Period, the Participant’s Restricted Stock that is at that time subject to a risk of forfeiture that has not lapsed or otherwise been satisfied shall be forfeited and reacquired by the Company; provided that, subject to the limitations set forth in Section 6(j)(ii) hereof, the Committee may provide, by rule or regulation or in any Award Agreement, or may determine in any individual case, that forfeiture conditions relating to Restricted Stock Awards shall be waived in whole or in part in the event of terminations resulting from specified causes, and the Committee may in other cases waive in whole or in part the forfeiture of Restricted Stock.</w:t>
      </w:r>
    </w:p>
    <w:p>
      <w:pPr>
        <w:spacing w:after="0" w:line="144" w:lineRule="exact"/>
        <w:rPr>
          <w:rFonts w:ascii="Arial" w:cs="Arial" w:eastAsia="Arial" w:hAnsi="Arial"/>
          <w:sz w:val="18"/>
          <w:szCs w:val="18"/>
          <w:color w:val="auto"/>
        </w:rPr>
      </w:pPr>
    </w:p>
    <w:p>
      <w:pPr>
        <w:jc w:val="both"/>
        <w:ind w:firstLine="1492"/>
        <w:spacing w:after="0" w:line="298" w:lineRule="auto"/>
        <w:tabs>
          <w:tab w:leader="none" w:pos="1791" w:val="left"/>
        </w:tabs>
        <w:numPr>
          <w:ilvl w:val="1"/>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Certificates for Stock. </w:t>
      </w:r>
      <w:r>
        <w:rPr>
          <w:rFonts w:ascii="Arial" w:cs="Arial" w:eastAsia="Arial" w:hAnsi="Arial"/>
          <w:sz w:val="16"/>
          <w:szCs w:val="16"/>
          <w:color w:val="auto"/>
        </w:rPr>
        <w:t>Restricted Stock granted under the Plan may be evidenced in such manner as the Committee shall determine.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12" w:lineRule="exact"/>
        <w:rPr>
          <w:rFonts w:ascii="Arial" w:cs="Arial" w:eastAsia="Arial" w:hAnsi="Arial"/>
          <w:sz w:val="16"/>
          <w:szCs w:val="16"/>
          <w:color w:val="auto"/>
        </w:rPr>
      </w:pPr>
    </w:p>
    <w:p>
      <w:pPr>
        <w:ind w:right="20" w:firstLine="1492"/>
        <w:spacing w:after="0" w:line="255" w:lineRule="auto"/>
        <w:tabs>
          <w:tab w:leader="none" w:pos="1781" w:val="left"/>
        </w:tabs>
        <w:numPr>
          <w:ilvl w:val="1"/>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Dividends and Splits. </w:t>
      </w:r>
      <w:r>
        <w:rPr>
          <w:rFonts w:ascii="Arial" w:cs="Arial" w:eastAsia="Arial" w:hAnsi="Arial"/>
          <w:sz w:val="18"/>
          <w:szCs w:val="18"/>
          <w:color w:val="auto"/>
        </w:rPr>
        <w:t>As a condition to the grant of a Restricted Stock Award, the Committee may require or permit a Participant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 that any cash dividends paid on a Share of Restricted Stock be automatically reinvested in additional Shares of Restricted Stock or applied to the purchase of additional Awards 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Deferred Stock Award.  </w:t>
      </w:r>
      <w:r>
        <w:rPr>
          <w:rFonts w:ascii="Arial" w:cs="Arial" w:eastAsia="Arial" w:hAnsi="Arial"/>
          <w:sz w:val="16"/>
          <w:szCs w:val="16"/>
          <w:color w:val="auto"/>
        </w:rPr>
        <w:t>The Committee is authorized to grant Deferred Stock Awards to any Eligible Person on the following terms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164" w:lineRule="exact"/>
        <w:rPr>
          <w:rFonts w:ascii="Arial" w:cs="Arial" w:eastAsia="Arial" w:hAnsi="Arial"/>
          <w:sz w:val="16"/>
          <w:szCs w:val="16"/>
          <w:color w:val="auto"/>
        </w:rPr>
      </w:pPr>
    </w:p>
    <w:p>
      <w:pPr>
        <w:ind w:right="20" w:firstLine="1492"/>
        <w:spacing w:after="0" w:line="290" w:lineRule="auto"/>
        <w:tabs>
          <w:tab w:leader="none" w:pos="1693"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Award and Restrictions. </w:t>
      </w:r>
      <w:r>
        <w:rPr>
          <w:rFonts w:ascii="Arial" w:cs="Arial" w:eastAsia="Arial" w:hAnsi="Arial"/>
          <w:sz w:val="16"/>
          <w:szCs w:val="16"/>
          <w:color w:val="auto"/>
        </w:rPr>
        <w:t>Satisfaction of a Deferred Stock Award shall occur upon expiration of the deferral period specified for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 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118" w:lineRule="exact"/>
        <w:rPr>
          <w:rFonts w:ascii="Arial" w:cs="Arial" w:eastAsia="Arial" w:hAnsi="Arial"/>
          <w:sz w:val="16"/>
          <w:szCs w:val="16"/>
          <w:color w:val="auto"/>
        </w:rPr>
      </w:pPr>
    </w:p>
    <w:p>
      <w:pPr>
        <w:ind w:right="20" w:firstLine="1492"/>
        <w:spacing w:after="0" w:line="259" w:lineRule="auto"/>
        <w:tabs>
          <w:tab w:leader="none" w:pos="1742" w:val="left"/>
        </w:tabs>
        <w:numPr>
          <w:ilvl w:val="1"/>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Forfeiture. </w:t>
      </w:r>
      <w:r>
        <w:rPr>
          <w:rFonts w:ascii="Arial" w:cs="Arial" w:eastAsia="Arial" w:hAnsi="Arial"/>
          <w:sz w:val="18"/>
          <w:szCs w:val="18"/>
          <w:color w:val="auto"/>
        </w:rPr>
        <w:t>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deferral period or portion thereof to which forfeiture conditions apply (as provided in the Award Agreement evidencing the Deferred Stock Award), the Participant’s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80" w:right="239" w:bottom="1440" w:gutter="0" w:footer="0" w:header="0"/>
        </w:sectPr>
      </w:pPr>
    </w:p>
    <w:bookmarkStart w:id="49" w:name="page50"/>
    <w:bookmarkEnd w:id="49"/>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Stock Award that is at that time subject to a risk of forfeiture that has not lapsed or otherwise been satisfied shall be forfeited; provided that, subject to the limitations set forth in Section 6(j)(ii) hereof, the Committee may provide, by rule or regulation or in any Award Agreement, or may determine in any individual case, that 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113" w:lineRule="exact"/>
        <w:rPr>
          <w:sz w:val="20"/>
          <w:szCs w:val="20"/>
          <w:color w:val="auto"/>
        </w:rPr>
      </w:pPr>
    </w:p>
    <w:p>
      <w:pPr>
        <w:ind w:right="60" w:firstLine="1492"/>
        <w:spacing w:after="0" w:line="253" w:lineRule="auto"/>
        <w:tabs>
          <w:tab w:leader="none" w:pos="1791" w:val="left"/>
        </w:tabs>
        <w:numPr>
          <w:ilvl w:val="1"/>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color w:val="auto"/>
        </w:rPr>
        <w:t>Unless otherwise determined by the Committee at the date of grant, any Dividend Equivalents that are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any Deferred Stock Award shall be either (A) paid with respect to such Deferred Stock Award at the dividend payment date in cash or in Shares of unrestricted stock having a Fair Market Value equal to the amount of such dividends, or (B) deferred with respect to such Deferred Stock Award and the amount or value thereof automatically deemed reinvested in additional Deferred Stock,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Stock Award, but in no event later than 12 months before the first date on which any portion of such Deferred Stock Award vests.</w:t>
      </w:r>
    </w:p>
    <w:p>
      <w:pPr>
        <w:spacing w:after="0" w:line="145" w:lineRule="exact"/>
        <w:rPr>
          <w:rFonts w:ascii="Arial" w:cs="Arial" w:eastAsia="Arial" w:hAnsi="Arial"/>
          <w:sz w:val="18"/>
          <w:szCs w:val="18"/>
          <w:color w:val="auto"/>
        </w:rPr>
      </w:pPr>
    </w:p>
    <w:p>
      <w:pPr>
        <w:ind w:right="220" w:firstLine="921"/>
        <w:spacing w:after="0" w:line="294" w:lineRule="auto"/>
        <w:tabs>
          <w:tab w:leader="none" w:pos="1132"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Bonus Stock and Awards in Lieu of Obligations. </w:t>
      </w:r>
      <w:r>
        <w:rPr>
          <w:rFonts w:ascii="Arial" w:cs="Arial" w:eastAsia="Arial" w:hAnsi="Arial"/>
          <w:sz w:val="16"/>
          <w:szCs w:val="16"/>
          <w:color w:val="auto"/>
        </w:rPr>
        <w:t>The Committee is authorized to grant Shares to any Eligible Persons as a bonus, or to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15" w:lineRule="exact"/>
        <w:rPr>
          <w:rFonts w:ascii="Arial" w:cs="Arial" w:eastAsia="Arial" w:hAnsi="Arial"/>
          <w:sz w:val="16"/>
          <w:szCs w:val="16"/>
          <w:color w:val="auto"/>
        </w:rPr>
      </w:pPr>
    </w:p>
    <w:p>
      <w:pPr>
        <w:ind w:firstLine="921"/>
        <w:spacing w:after="0" w:line="254" w:lineRule="auto"/>
        <w:tabs>
          <w:tab w:leader="none" w:pos="1161"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color w:val="auto"/>
        </w:rPr>
        <w:t>The Committee is authorized to grant Dividend Equivalents to any Eligible Person entitling the Eligible Person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cash, Shares, other Awards, or other property equal in value to the dividends paid with respect to a specified number of Shares, or other periodic payments. Dividend Equivalents may be awarded on a free-standing basis or in connection with another Award. The Committee may provide that Dividend Equivalents shall be paid or distributed when accrued or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w:t>
      </w:r>
    </w:p>
    <w:p>
      <w:pPr>
        <w:spacing w:after="0" w:line="144" w:lineRule="exact"/>
        <w:rPr>
          <w:rFonts w:ascii="Arial" w:cs="Arial" w:eastAsia="Arial" w:hAnsi="Arial"/>
          <w:sz w:val="18"/>
          <w:szCs w:val="18"/>
          <w:color w:val="auto"/>
        </w:rPr>
      </w:pPr>
    </w:p>
    <w:p>
      <w:pPr>
        <w:ind w:right="20" w:firstLine="921"/>
        <w:spacing w:after="0" w:line="287" w:lineRule="auto"/>
        <w:tabs>
          <w:tab w:leader="none" w:pos="1161"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Awards. </w:t>
      </w:r>
      <w:r>
        <w:rPr>
          <w:rFonts w:ascii="Arial" w:cs="Arial" w:eastAsia="Arial" w:hAnsi="Arial"/>
          <w:sz w:val="16"/>
          <w:szCs w:val="16"/>
          <w:color w:val="auto"/>
        </w:rPr>
        <w:t>The Committee is authorized to grant Performance Awards to any Eligible Person payable in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on 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provided, however, that a Performance Period shall not be shorter than 12 months nor longer than 5 years. Except as provided in Section 9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w:t>
      </w:r>
    </w:p>
    <w:p>
      <w:pPr>
        <w:spacing w:after="0" w:line="122" w:lineRule="exact"/>
        <w:rPr>
          <w:rFonts w:ascii="Arial" w:cs="Arial" w:eastAsia="Arial" w:hAnsi="Arial"/>
          <w:sz w:val="16"/>
          <w:szCs w:val="16"/>
          <w:color w:val="auto"/>
        </w:rPr>
      </w:pPr>
    </w:p>
    <w:p>
      <w:pPr>
        <w:ind w:right="40" w:firstLine="921"/>
        <w:spacing w:after="0" w:line="268" w:lineRule="auto"/>
        <w:tabs>
          <w:tab w:leader="none" w:pos="1122"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Stock-Based Awards. </w:t>
      </w:r>
      <w:r>
        <w:rPr>
          <w:rFonts w:ascii="Arial" w:cs="Arial" w:eastAsia="Arial" w:hAnsi="Arial"/>
          <w:sz w:val="18"/>
          <w:szCs w:val="18"/>
          <w:color w:val="auto"/>
        </w:rPr>
        <w:t>The Committee is authorized, subject to limitations under applicable law, to grant to any Eligible Person such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that may be denominated or payable in, valued in whole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280" w:right="239" w:bottom="1440" w:gutter="0" w:footer="0" w:header="0"/>
        </w:sectPr>
      </w:pPr>
    </w:p>
    <w:bookmarkStart w:id="50" w:name="page51"/>
    <w:bookmarkEnd w:id="5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Section 13(k) of the Exchange Act, or any rule or regulation adopted thereunder or any other applicable law) paid for at such times, by such methods, and in such forms, including, without limitation, cash, Shares, other Awards or other property, as the Committee shall determine.</w:t>
      </w:r>
    </w:p>
    <w:p>
      <w:pPr>
        <w:spacing w:after="0" w:line="118" w:lineRule="exact"/>
        <w:rPr>
          <w:sz w:val="20"/>
          <w:szCs w:val="20"/>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p>
    <w:p>
      <w:pPr>
        <w:spacing w:after="0" w:line="171" w:lineRule="exact"/>
        <w:rPr>
          <w:rFonts w:ascii="Arial" w:cs="Arial" w:eastAsia="Arial" w:hAnsi="Arial"/>
          <w:sz w:val="18"/>
          <w:szCs w:val="18"/>
          <w:color w:val="auto"/>
        </w:rPr>
      </w:pPr>
    </w:p>
    <w:p>
      <w:pPr>
        <w:ind w:firstLine="921"/>
        <w:spacing w:after="0" w:line="286" w:lineRule="auto"/>
        <w:tabs>
          <w:tab w:leader="none" w:pos="1152" w:val="left"/>
        </w:tabs>
        <w:numPr>
          <w:ilvl w:val="1"/>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Stand-Alone, Additional, Tandem, and Substitute Awards. </w:t>
      </w:r>
      <w:r>
        <w:rPr>
          <w:rFonts w:ascii="Arial" w:cs="Arial" w:eastAsia="Arial" w:hAnsi="Arial"/>
          <w:sz w:val="16"/>
          <w:szCs w:val="16"/>
          <w:color w:val="auto"/>
        </w:rPr>
        <w:t>Awards granted under the Plan may, in the discretion of the Committee, be granted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Shares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compliance with Section 409A of the Code.</w:t>
      </w:r>
    </w:p>
    <w:p>
      <w:pPr>
        <w:spacing w:after="0" w:line="127" w:lineRule="exact"/>
        <w:rPr>
          <w:rFonts w:ascii="Arial" w:cs="Arial" w:eastAsia="Arial" w:hAnsi="Arial"/>
          <w:sz w:val="16"/>
          <w:szCs w:val="16"/>
          <w:color w:val="auto"/>
        </w:rPr>
      </w:pPr>
    </w:p>
    <w:p>
      <w:pPr>
        <w:ind w:right="120" w:firstLine="921"/>
        <w:spacing w:after="0" w:line="259" w:lineRule="auto"/>
        <w:tabs>
          <w:tab w:leader="none" w:pos="1161" w:val="left"/>
        </w:tabs>
        <w:numPr>
          <w:ilvl w:val="1"/>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 of Awards. </w:t>
      </w:r>
      <w:r>
        <w:rPr>
          <w:rFonts w:ascii="Arial" w:cs="Arial" w:eastAsia="Arial" w:hAnsi="Arial"/>
          <w:sz w:val="18"/>
          <w:szCs w:val="18"/>
          <w:color w:val="auto"/>
        </w:rPr>
        <w:t>The term of each Award shall be for such period as may be determined by the Committee; provided that in no event shall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any Option or Stock Appreciation Right exceed a period of ten years (or in the case of an Incentive Stock Option such shorter term as may be required under Section 422 of the Code).</w:t>
      </w:r>
    </w:p>
    <w:p>
      <w:pPr>
        <w:spacing w:after="0" w:line="140" w:lineRule="exact"/>
        <w:rPr>
          <w:rFonts w:ascii="Arial" w:cs="Arial" w:eastAsia="Arial" w:hAnsi="Arial"/>
          <w:sz w:val="18"/>
          <w:szCs w:val="18"/>
          <w:color w:val="auto"/>
        </w:rPr>
      </w:pPr>
    </w:p>
    <w:p>
      <w:pPr>
        <w:ind w:firstLine="921"/>
        <w:spacing w:after="0" w:line="286" w:lineRule="auto"/>
        <w:tabs>
          <w:tab w:leader="none" w:pos="1152" w:val="left"/>
        </w:tabs>
        <w:numPr>
          <w:ilvl w:val="1"/>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Form and Timing of Payment Under Awards; Deferrals. </w:t>
      </w:r>
      <w:r>
        <w:rPr>
          <w:rFonts w:ascii="Arial" w:cs="Arial" w:eastAsia="Arial" w:hAnsi="Arial"/>
          <w:sz w:val="16"/>
          <w:szCs w:val="16"/>
          <w:color w:val="auto"/>
        </w:rPr>
        <w:t>Subject to the terms of the Plan and any applicable Award Agreement, payments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be subject to the Company’s compliance with applicable law and all applicable rules of the Listing Market, and in a manner intended to be exempt from or otherwise satisfy the requirements of Section 409A of the Code. Subject to Section 7(e) hereof, the settlement of any Award may be accelerated, and cash paid in lieu of Shares in connection with such settlement, in the sole discretion of the Committee or upon occurrence of one or more specified events (in addition to a Change in Control).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7(e) of the Plan, including the consent provisions thereof in the case of any deferral of an outstanding Award not provided for in the original Award Agreement) or permitted at the election of the Participant on terms and conditions established by the Committee. The Committee may, without limitation, make provision for the payment or crediting of a reasonable interest rate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280" w:right="259" w:bottom="1440" w:gutter="0" w:footer="0" w:header="0"/>
        </w:sectPr>
      </w:pPr>
    </w:p>
    <w:bookmarkStart w:id="51" w:name="page52"/>
    <w:bookmarkEnd w:id="51"/>
    <w:p>
      <w:pPr>
        <w:ind w:right="9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installment or deferred payments or the grant or crediting of Dividend Equivalents or other amounts in respect of installment or deferred payments denominated in Shares.</w:t>
      </w:r>
    </w:p>
    <w:p>
      <w:pPr>
        <w:spacing w:after="0" w:line="132" w:lineRule="exact"/>
        <w:rPr>
          <w:sz w:val="20"/>
          <w:szCs w:val="20"/>
          <w:color w:val="auto"/>
        </w:rPr>
      </w:pPr>
    </w:p>
    <w:p>
      <w:pPr>
        <w:ind w:right="180" w:firstLine="921"/>
        <w:spacing w:after="0" w:line="294" w:lineRule="auto"/>
        <w:tabs>
          <w:tab w:leader="none" w:pos="1161"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Exemptions from Section 16(b) Liability. </w:t>
      </w:r>
      <w:r>
        <w:rPr>
          <w:rFonts w:ascii="Arial" w:cs="Arial" w:eastAsia="Arial" w:hAnsi="Arial"/>
          <w:sz w:val="16"/>
          <w:szCs w:val="16"/>
          <w:color w:val="auto"/>
        </w:rPr>
        <w:t>If the It is the intent of the Company that the grant of any Awards to or other transaction by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p>
    <w:p>
      <w:pPr>
        <w:spacing w:after="0" w:line="171" w:lineRule="exact"/>
        <w:rPr>
          <w:rFonts w:ascii="Arial" w:cs="Arial" w:eastAsia="Arial" w:hAnsi="Arial"/>
          <w:sz w:val="18"/>
          <w:szCs w:val="18"/>
          <w:color w:val="auto"/>
        </w:rPr>
      </w:pPr>
    </w:p>
    <w:p>
      <w:pPr>
        <w:ind w:right="100" w:firstLine="1492"/>
        <w:spacing w:after="0" w:line="298" w:lineRule="auto"/>
        <w:tabs>
          <w:tab w:leader="none" w:pos="1693"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Award Agreement for any Award that the Committee reasonably determines to constitute a Section 409A Plan, and the provisions of the Plan applicable to that Award, shall be construed in a manner consistent with the applicable requirements of Section 409A,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12" w:lineRule="exact"/>
        <w:rPr>
          <w:rFonts w:ascii="Arial" w:cs="Arial" w:eastAsia="Arial" w:hAnsi="Arial"/>
          <w:sz w:val="16"/>
          <w:szCs w:val="16"/>
          <w:color w:val="auto"/>
        </w:rPr>
      </w:pPr>
    </w:p>
    <w:p>
      <w:pPr>
        <w:ind w:right="40" w:firstLine="1492"/>
        <w:spacing w:after="0" w:line="332" w:lineRule="auto"/>
        <w:tabs>
          <w:tab w:leader="none" w:pos="1742" w:val="left"/>
        </w:tabs>
        <w:numPr>
          <w:ilvl w:val="1"/>
          <w:numId w:val="45"/>
        </w:numPr>
        <w:rPr>
          <w:rFonts w:ascii="Arial" w:cs="Arial" w:eastAsia="Arial" w:hAnsi="Arial"/>
          <w:sz w:val="16"/>
          <w:szCs w:val="16"/>
          <w:color w:val="auto"/>
        </w:rPr>
      </w:pPr>
      <w:r>
        <w:rPr>
          <w:rFonts w:ascii="Arial" w:cs="Arial" w:eastAsia="Arial" w:hAnsi="Arial"/>
          <w:sz w:val="16"/>
          <w:szCs w:val="16"/>
          <w:color w:val="auto"/>
        </w:rPr>
        <w:t>If any Award constitutes a “nonqualified deferred compensation plan” under Section 409A of the Code (a “Section 409A Plan”), then the Award shall be subject to the following additional requirements, if and to the extent required to comply with Section 409A of the Code:</w:t>
      </w:r>
    </w:p>
    <w:p>
      <w:pPr>
        <w:spacing w:after="0" w:line="85" w:lineRule="exact"/>
        <w:rPr>
          <w:rFonts w:ascii="Arial" w:cs="Arial" w:eastAsia="Arial" w:hAnsi="Arial"/>
          <w:sz w:val="16"/>
          <w:szCs w:val="16"/>
          <w:color w:val="auto"/>
        </w:rPr>
      </w:pPr>
    </w:p>
    <w:p>
      <w:pPr>
        <w:ind w:right="60" w:firstLine="1948"/>
        <w:spacing w:after="0" w:line="298" w:lineRule="auto"/>
        <w:tabs>
          <w:tab w:leader="none" w:pos="2228" w:val="left"/>
        </w:tabs>
        <w:numPr>
          <w:ilvl w:val="2"/>
          <w:numId w:val="45"/>
        </w:numPr>
        <w:rPr>
          <w:rFonts w:ascii="Arial" w:cs="Arial" w:eastAsia="Arial" w:hAnsi="Arial"/>
          <w:sz w:val="16"/>
          <w:szCs w:val="16"/>
          <w:color w:val="auto"/>
        </w:rPr>
      </w:pPr>
      <w:r>
        <w:rPr>
          <w:rFonts w:ascii="Arial" w:cs="Arial" w:eastAsia="Arial" w:hAnsi="Arial"/>
          <w:sz w:val="16"/>
          <w:szCs w:val="16"/>
          <w:color w:val="auto"/>
        </w:rPr>
        <w:t>Payments under the Section 409A Plan may not be made earlier than the first to occur of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12" w:lineRule="exact"/>
        <w:rPr>
          <w:rFonts w:ascii="Arial" w:cs="Arial" w:eastAsia="Arial" w:hAnsi="Arial"/>
          <w:sz w:val="16"/>
          <w:szCs w:val="16"/>
          <w:color w:val="auto"/>
        </w:rPr>
      </w:pPr>
    </w:p>
    <w:p>
      <w:pPr>
        <w:ind w:right="460" w:firstLine="1948"/>
        <w:spacing w:after="0" w:line="268" w:lineRule="auto"/>
        <w:tabs>
          <w:tab w:leader="none" w:pos="2218"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131" w:lineRule="exact"/>
        <w:rPr>
          <w:rFonts w:ascii="Arial" w:cs="Arial" w:eastAsia="Arial" w:hAnsi="Arial"/>
          <w:sz w:val="18"/>
          <w:szCs w:val="18"/>
          <w:color w:val="auto"/>
        </w:rPr>
      </w:pPr>
    </w:p>
    <w:p>
      <w:pPr>
        <w:ind w:right="1000" w:firstLine="1948"/>
        <w:spacing w:after="0" w:line="268" w:lineRule="auto"/>
        <w:tabs>
          <w:tab w:leader="none" w:pos="2218" w:val="left"/>
        </w:tabs>
        <w:numPr>
          <w:ilvl w:val="2"/>
          <w:numId w:val="45"/>
        </w:numPr>
        <w:rPr>
          <w:rFonts w:ascii="Arial" w:cs="Arial" w:eastAsia="Arial" w:hAnsi="Arial"/>
          <w:sz w:val="18"/>
          <w:szCs w:val="18"/>
          <w:color w:val="auto"/>
        </w:rPr>
      </w:pPr>
      <w:r>
        <w:rPr>
          <w:rFonts w:ascii="Arial" w:cs="Arial" w:eastAsia="Arial" w:hAnsi="Arial"/>
          <w:sz w:val="18"/>
          <w:szCs w:val="18"/>
          <w:color w:val="auto"/>
        </w:rPr>
        <w:t>Any elections with respect to the deferral of such compensation or the time and form of distribution of such deferred compensation shall comply with the requirements of Section 409A(a)(4) of the Code; and</w:t>
      </w:r>
    </w:p>
    <w:p>
      <w:pPr>
        <w:spacing w:after="0" w:line="131" w:lineRule="exact"/>
        <w:rPr>
          <w:rFonts w:ascii="Arial" w:cs="Arial" w:eastAsia="Arial" w:hAnsi="Arial"/>
          <w:sz w:val="18"/>
          <w:szCs w:val="18"/>
          <w:color w:val="auto"/>
        </w:rPr>
      </w:pPr>
    </w:p>
    <w:p>
      <w:pPr>
        <w:ind w:firstLine="1948"/>
        <w:spacing w:after="0" w:line="282" w:lineRule="auto"/>
        <w:tabs>
          <w:tab w:leader="none" w:pos="2228" w:val="left"/>
        </w:tabs>
        <w:numPr>
          <w:ilvl w:val="2"/>
          <w:numId w:val="45"/>
        </w:numPr>
        <w:rPr>
          <w:rFonts w:ascii="Arial" w:cs="Arial" w:eastAsia="Arial" w:hAnsi="Arial"/>
          <w:sz w:val="16"/>
          <w:szCs w:val="16"/>
          <w:color w:val="auto"/>
        </w:rPr>
      </w:pPr>
      <w:r>
        <w:rPr>
          <w:rFonts w:ascii="Arial" w:cs="Arial" w:eastAsia="Arial" w:hAnsi="Arial"/>
          <w:sz w:val="16"/>
          <w:szCs w:val="16"/>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 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 The Company does not make any representation to the Participant that any Awards awarded under this Plan will be exempt from, or satisfy, the requirements of Section 409A, and the Company shall have no liability or other obligation to indemnify or hold harmless any Participant or Beneficiary for any tax, additional tax, interest or penalties that any Participant or Beneficiary may incur in the event that any provision of this Plan, any Award Agreement, or any amendment or modification thereof, or any other action taken with respect thereto, is deemed to violate any of the requirements of</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409A.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280" w:right="239" w:bottom="1440" w:gutter="0" w:footer="0" w:header="0"/>
        </w:sectPr>
      </w:pPr>
    </w:p>
    <w:bookmarkStart w:id="52" w:name="page53"/>
    <w:bookmarkEnd w:id="52"/>
    <w:p>
      <w:pPr>
        <w:ind w:left="-20" w:right="40" w:firstLine="1492"/>
        <w:spacing w:after="0" w:line="255" w:lineRule="auto"/>
        <w:tabs>
          <w:tab w:leader="none" w:pos="1771" w:val="left"/>
        </w:tabs>
        <w:numPr>
          <w:ilvl w:val="2"/>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the Company does not make any representation to any Participant or Beneficiary that any Awards made pursuant to this Plan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w:t>
      </w:r>
    </w:p>
    <w:p>
      <w:pPr>
        <w:spacing w:after="0" w:line="142" w:lineRule="exact"/>
        <w:rPr>
          <w:rFonts w:ascii="Arial" w:cs="Arial" w:eastAsia="Arial" w:hAnsi="Arial"/>
          <w:sz w:val="18"/>
          <w:szCs w:val="18"/>
          <w:color w:val="auto"/>
        </w:rPr>
      </w:pPr>
    </w:p>
    <w:p>
      <w:pPr>
        <w:ind w:left="620" w:hanging="176"/>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p>
    <w:p>
      <w:pPr>
        <w:spacing w:after="0" w:line="171" w:lineRule="exact"/>
        <w:rPr>
          <w:rFonts w:ascii="Arial" w:cs="Arial" w:eastAsia="Arial" w:hAnsi="Arial"/>
          <w:sz w:val="18"/>
          <w:szCs w:val="18"/>
          <w:color w:val="auto"/>
        </w:rPr>
      </w:pPr>
    </w:p>
    <w:p>
      <w:pPr>
        <w:ind w:left="-20" w:right="60" w:firstLine="921"/>
        <w:spacing w:after="0" w:line="259" w:lineRule="auto"/>
        <w:tabs>
          <w:tab w:leader="none" w:pos="1132" w:val="left"/>
        </w:tabs>
        <w:numPr>
          <w:ilvl w:val="1"/>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Covered Employees. </w:t>
      </w:r>
      <w:r>
        <w:rPr>
          <w:rFonts w:ascii="Arial" w:cs="Arial" w:eastAsia="Arial" w:hAnsi="Arial"/>
          <w:sz w:val="18"/>
          <w:szCs w:val="18"/>
          <w:color w:val="auto"/>
        </w:rPr>
        <w:t>Unless otherwise specified by the Committee,] the provisions of this Section 8 shall be applicable to any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granted to an Eligible Person who is, or is likely to be, as of the end of the tax year in which the Company would claim a tax deduction in connection with such Award, a Covered Employee.</w:t>
      </w:r>
    </w:p>
    <w:p>
      <w:pPr>
        <w:spacing w:after="0" w:line="140" w:lineRule="exact"/>
        <w:rPr>
          <w:rFonts w:ascii="Arial" w:cs="Arial" w:eastAsia="Arial" w:hAnsi="Arial"/>
          <w:sz w:val="18"/>
          <w:szCs w:val="18"/>
          <w:color w:val="auto"/>
        </w:rPr>
      </w:pPr>
    </w:p>
    <w:p>
      <w:pPr>
        <w:ind w:left="-20" w:firstLine="921"/>
        <w:spacing w:after="0" w:line="284" w:lineRule="auto"/>
        <w:tabs>
          <w:tab w:leader="none" w:pos="1141" w:val="left"/>
        </w:tabs>
        <w:numPr>
          <w:ilvl w:val="1"/>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Criteria. </w:t>
      </w:r>
      <w:r>
        <w:rPr>
          <w:rFonts w:ascii="Arial" w:cs="Arial" w:eastAsia="Arial" w:hAnsi="Arial"/>
          <w:sz w:val="16"/>
          <w:szCs w:val="16"/>
          <w:color w:val="auto"/>
        </w:rPr>
        <w:t>If a Performance Award is subject to this Section 8, then the payment or distribution thereof or the lapsing of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(14) market share; (15) entry into new markets, either geographically or by business unit; (16) customer retention and satisfaction; (17) strategic plan development and implementation, including turnaround plans; and/or (18) the Fair Market Value of a Share.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In determining the achievement of the performance goals, the Committee shall exclude the impact of any (i) restructurings, discontinued operations, extraordinary items, and other unusual or non-recurring charges, (ii) event either not directly related to the operations of the Company or not within the reasonable control of the Company’s management, or (iii) change in accounting standards required by generally accepted accounting principles.</w:t>
      </w:r>
    </w:p>
    <w:p>
      <w:pPr>
        <w:spacing w:after="0" w:line="131" w:lineRule="exact"/>
        <w:rPr>
          <w:rFonts w:ascii="Arial" w:cs="Arial" w:eastAsia="Arial" w:hAnsi="Arial"/>
          <w:sz w:val="16"/>
          <w:szCs w:val="16"/>
          <w:color w:val="auto"/>
        </w:rPr>
      </w:pPr>
    </w:p>
    <w:p>
      <w:pPr>
        <w:ind w:left="-20" w:right="60" w:firstLine="921"/>
        <w:spacing w:after="0" w:line="298" w:lineRule="auto"/>
        <w:tabs>
          <w:tab w:leader="none" w:pos="1132" w:val="left"/>
        </w:tabs>
        <w:numPr>
          <w:ilvl w:val="1"/>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Period; Timing For Establishing Performance Goals. </w:t>
      </w:r>
      <w:r>
        <w:rPr>
          <w:rFonts w:ascii="Arial" w:cs="Arial" w:eastAsia="Arial" w:hAnsi="Arial"/>
          <w:sz w:val="16"/>
          <w:szCs w:val="16"/>
          <w:color w:val="auto"/>
        </w:rPr>
        <w:t>Achievement of performance goals in respect of Performance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Section 162(m) of the Code.</w:t>
      </w:r>
    </w:p>
    <w:p>
      <w:pPr>
        <w:spacing w:after="0" w:line="112" w:lineRule="exact"/>
        <w:rPr>
          <w:rFonts w:ascii="Arial" w:cs="Arial" w:eastAsia="Arial" w:hAnsi="Arial"/>
          <w:sz w:val="16"/>
          <w:szCs w:val="16"/>
          <w:color w:val="auto"/>
        </w:rPr>
      </w:pPr>
    </w:p>
    <w:p>
      <w:pPr>
        <w:ind w:left="-20" w:right="40" w:firstLine="921"/>
        <w:spacing w:after="0" w:line="268" w:lineRule="auto"/>
        <w:tabs>
          <w:tab w:leader="none" w:pos="1141" w:val="left"/>
        </w:tabs>
        <w:numPr>
          <w:ilvl w:val="1"/>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Adjustments. </w:t>
      </w:r>
      <w:r>
        <w:rPr>
          <w:rFonts w:ascii="Arial" w:cs="Arial" w:eastAsia="Arial" w:hAnsi="Arial"/>
          <w:sz w:val="18"/>
          <w:szCs w:val="18"/>
          <w:color w:val="auto"/>
        </w:rPr>
        <w:t>The Committee may, in its discretion, reduce the amount of a settlement otherwise to be made in connection with Awards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this Section 8, but may not exercise discretion to increase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80"/>
          </w:cols>
          <w:pgMar w:left="260" w:top="280" w:right="259" w:bottom="1440" w:gutter="0" w:footer="0" w:header="0"/>
        </w:sectPr>
      </w:pPr>
    </w:p>
    <w:bookmarkStart w:id="53" w:name="page54"/>
    <w:bookmarkEnd w:id="53"/>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amount payable to a Covered Employee in respect of an Award subject to this Section 8. The Committee shall specify the circumstances in which such Awards shall be paid or forfeited in the event of termination of Continuous Service by the Participant prior to the end of a Performance Period or settlement of Awards.</w:t>
      </w:r>
    </w:p>
    <w:p>
      <w:pPr>
        <w:spacing w:after="0" w:line="140" w:lineRule="exact"/>
        <w:rPr>
          <w:sz w:val="20"/>
          <w:szCs w:val="20"/>
          <w:color w:val="auto"/>
        </w:rPr>
      </w:pPr>
    </w:p>
    <w:p>
      <w:pPr>
        <w:ind w:right="120" w:firstLine="921"/>
        <w:spacing w:after="0" w:line="306" w:lineRule="auto"/>
        <w:tabs>
          <w:tab w:leader="none" w:pos="1152" w:val="left"/>
        </w:tabs>
        <w:numPr>
          <w:ilvl w:val="1"/>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Committee Certification. </w:t>
      </w:r>
      <w:r>
        <w:rPr>
          <w:rFonts w:ascii="Arial" w:cs="Arial" w:eastAsia="Arial" w:hAnsi="Arial"/>
          <w:sz w:val="16"/>
          <w:szCs w:val="16"/>
          <w:color w:val="auto"/>
        </w:rPr>
        <w:t>No Participant shall receive any payment under the Plan that is subject to this Section 8 unless the Committee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p>
    <w:p>
      <w:pPr>
        <w:spacing w:after="0" w:line="171" w:lineRule="exact"/>
        <w:rPr>
          <w:rFonts w:ascii="Arial" w:cs="Arial" w:eastAsia="Arial" w:hAnsi="Arial"/>
          <w:sz w:val="18"/>
          <w:szCs w:val="18"/>
          <w:color w:val="auto"/>
        </w:rPr>
      </w:pPr>
    </w:p>
    <w:p>
      <w:pPr>
        <w:jc w:val="both"/>
        <w:ind w:right="480" w:firstLine="921"/>
        <w:spacing w:after="0" w:line="306" w:lineRule="auto"/>
        <w:tabs>
          <w:tab w:leader="none" w:pos="1152" w:val="left"/>
        </w:tabs>
        <w:numPr>
          <w:ilvl w:val="1"/>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 of “Change in Control.” </w:t>
      </w:r>
      <w:r>
        <w:rPr>
          <w:rFonts w:ascii="Arial" w:cs="Arial" w:eastAsia="Arial" w:hAnsi="Arial"/>
          <w:sz w:val="16"/>
          <w:szCs w:val="16"/>
          <w:color w:val="auto"/>
        </w:rPr>
        <w:t>If and only to the extent provided in any employment or other agreement between the Participant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any Related Entity, or in any Award Agreement, or to the extent otherwise determined by the Committee in its sole discretion and without any requirement that each Participant be treated consistently, upon the occurrence of a “Change in Control,” as defined in Section 9(b):</w:t>
      </w:r>
    </w:p>
    <w:p>
      <w:pPr>
        <w:spacing w:after="0" w:line="106" w:lineRule="exact"/>
        <w:rPr>
          <w:rFonts w:ascii="Arial" w:cs="Arial" w:eastAsia="Arial" w:hAnsi="Arial"/>
          <w:sz w:val="16"/>
          <w:szCs w:val="16"/>
          <w:color w:val="auto"/>
        </w:rPr>
      </w:pPr>
    </w:p>
    <w:p>
      <w:pPr>
        <w:ind w:right="360" w:firstLine="1492"/>
        <w:spacing w:after="0" w:line="268" w:lineRule="auto"/>
        <w:tabs>
          <w:tab w:leader="none" w:pos="1693" w:val="left"/>
        </w:tabs>
        <w:numPr>
          <w:ilvl w:val="2"/>
          <w:numId w:val="49"/>
        </w:numPr>
        <w:rPr>
          <w:rFonts w:ascii="Arial" w:cs="Arial" w:eastAsia="Arial" w:hAnsi="Arial"/>
          <w:sz w:val="18"/>
          <w:szCs w:val="18"/>
          <w:color w:val="auto"/>
        </w:rPr>
      </w:pPr>
      <w:r>
        <w:rPr>
          <w:rFonts w:ascii="Arial" w:cs="Arial" w:eastAsia="Arial" w:hAnsi="Arial"/>
          <w:sz w:val="18"/>
          <w:szCs w:val="18"/>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131" w:lineRule="exact"/>
        <w:rPr>
          <w:rFonts w:ascii="Arial" w:cs="Arial" w:eastAsia="Arial" w:hAnsi="Arial"/>
          <w:sz w:val="18"/>
          <w:szCs w:val="18"/>
          <w:color w:val="auto"/>
        </w:rPr>
      </w:pPr>
    </w:p>
    <w:p>
      <w:pPr>
        <w:ind w:right="200" w:firstLine="1492"/>
        <w:spacing w:after="0" w:line="306" w:lineRule="auto"/>
        <w:tabs>
          <w:tab w:leader="none" w:pos="1742" w:val="left"/>
        </w:tabs>
        <w:numPr>
          <w:ilvl w:val="2"/>
          <w:numId w:val="49"/>
        </w:numPr>
        <w:rPr>
          <w:rFonts w:ascii="Arial" w:cs="Arial" w:eastAsia="Arial" w:hAnsi="Arial"/>
          <w:sz w:val="16"/>
          <w:szCs w:val="16"/>
          <w:color w:val="auto"/>
        </w:rPr>
      </w:pPr>
      <w:r>
        <w:rPr>
          <w:rFonts w:ascii="Arial" w:cs="Arial" w:eastAsia="Arial" w:hAnsi="Arial"/>
          <w:sz w:val="16"/>
          <w:szCs w:val="16"/>
          <w:color w:val="auto"/>
        </w:rPr>
        <w:t>Any restrictions, deferral of settlement, and forfeiture conditions applicable to a Restricted Stock Award, Deferred Stock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 Section 10(a) hereof.</w:t>
      </w:r>
    </w:p>
    <w:p>
      <w:pPr>
        <w:spacing w:after="0" w:line="106" w:lineRule="exact"/>
        <w:rPr>
          <w:rFonts w:ascii="Arial" w:cs="Arial" w:eastAsia="Arial" w:hAnsi="Arial"/>
          <w:sz w:val="16"/>
          <w:szCs w:val="16"/>
          <w:color w:val="auto"/>
        </w:rPr>
      </w:pPr>
    </w:p>
    <w:p>
      <w:pPr>
        <w:ind w:right="60" w:firstLine="1492"/>
        <w:spacing w:after="0" w:line="268" w:lineRule="auto"/>
        <w:tabs>
          <w:tab w:leader="none" w:pos="1791" w:val="left"/>
        </w:tabs>
        <w:numPr>
          <w:ilvl w:val="2"/>
          <w:numId w:val="49"/>
        </w:numPr>
        <w:rPr>
          <w:rFonts w:ascii="Arial" w:cs="Arial" w:eastAsia="Arial" w:hAnsi="Arial"/>
          <w:sz w:val="18"/>
          <w:szCs w:val="18"/>
          <w:color w:val="auto"/>
        </w:rPr>
      </w:pPr>
      <w:r>
        <w:rPr>
          <w:rFonts w:ascii="Arial" w:cs="Arial" w:eastAsia="Arial" w:hAnsi="Arial"/>
          <w:sz w:val="18"/>
          <w:szCs w:val="18"/>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pacing w:after="0" w:line="131" w:lineRule="exact"/>
        <w:rPr>
          <w:rFonts w:ascii="Arial" w:cs="Arial" w:eastAsia="Arial" w:hAnsi="Arial"/>
          <w:sz w:val="18"/>
          <w:szCs w:val="18"/>
          <w:color w:val="auto"/>
        </w:rPr>
      </w:pPr>
    </w:p>
    <w:p>
      <w:pPr>
        <w:ind w:firstLine="921"/>
        <w:spacing w:after="0" w:line="268" w:lineRule="auto"/>
        <w:tabs>
          <w:tab w:leader="none" w:pos="1161" w:val="left"/>
        </w:tabs>
        <w:numPr>
          <w:ilvl w:val="1"/>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 of “Change in Control”. </w:t>
      </w:r>
      <w:r>
        <w:rPr>
          <w:rFonts w:ascii="Arial" w:cs="Arial" w:eastAsia="Arial" w:hAnsi="Arial"/>
          <w:sz w:val="18"/>
          <w:szCs w:val="18"/>
          <w:color w:val="auto"/>
        </w:rPr>
        <w:t>Unless otherwise specified in any employment agreement between the Participant and the Company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Entity, or in an Award Agreement, a “Change in Control” shall mean the occurrence of any of the following:</w:t>
      </w:r>
    </w:p>
    <w:p>
      <w:pPr>
        <w:spacing w:after="0" w:line="131" w:lineRule="exact"/>
        <w:rPr>
          <w:rFonts w:ascii="Arial" w:cs="Arial" w:eastAsia="Arial" w:hAnsi="Arial"/>
          <w:sz w:val="18"/>
          <w:szCs w:val="18"/>
          <w:color w:val="auto"/>
        </w:rPr>
      </w:pPr>
    </w:p>
    <w:p>
      <w:pPr>
        <w:ind w:right="20" w:firstLine="1492"/>
        <w:spacing w:after="0" w:line="283" w:lineRule="auto"/>
        <w:tabs>
          <w:tab w:leader="none" w:pos="1693" w:val="left"/>
        </w:tabs>
        <w:numPr>
          <w:ilvl w:val="2"/>
          <w:numId w:val="49"/>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w:t>
      </w:r>
    </w:p>
    <w:p>
      <w:pPr>
        <w:spacing w:after="0" w:line="2" w:lineRule="exact"/>
        <w:rPr>
          <w:rFonts w:ascii="Arial" w:cs="Arial" w:eastAsia="Arial" w:hAnsi="Arial"/>
          <w:sz w:val="16"/>
          <w:szCs w:val="16"/>
          <w:color w:val="auto"/>
        </w:rPr>
      </w:pPr>
    </w:p>
    <w:p>
      <w:pPr>
        <w:ind w:right="140"/>
        <w:spacing w:after="0" w:line="254" w:lineRule="auto"/>
        <w:rPr>
          <w:rFonts w:ascii="Arial" w:cs="Arial" w:eastAsia="Arial" w:hAnsi="Arial"/>
          <w:sz w:val="16"/>
          <w:szCs w:val="16"/>
          <w:color w:val="auto"/>
        </w:rPr>
      </w:pPr>
      <w:r>
        <w:rPr>
          <w:rFonts w:ascii="Arial" w:cs="Arial" w:eastAsia="Arial" w:hAnsi="Arial"/>
          <w:sz w:val="18"/>
          <w:szCs w:val="18"/>
          <w:color w:val="auto"/>
        </w:rPr>
        <w:t>Section 9(b),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Related Entity; or (z) any acquisition by any entity pursuant to a transaction which complies with clauses (A), (B) and (C) of subsection (iii) below; or</w:t>
      </w:r>
    </w:p>
    <w:p>
      <w:pPr>
        <w:spacing w:after="0" w:line="143" w:lineRule="exact"/>
        <w:rPr>
          <w:rFonts w:ascii="Arial" w:cs="Arial" w:eastAsia="Arial" w:hAnsi="Arial"/>
          <w:sz w:val="16"/>
          <w:szCs w:val="16"/>
          <w:color w:val="auto"/>
        </w:rPr>
      </w:pPr>
    </w:p>
    <w:p>
      <w:pPr>
        <w:ind w:right="240" w:firstLine="1492"/>
        <w:spacing w:after="0" w:line="256" w:lineRule="auto"/>
        <w:tabs>
          <w:tab w:leader="none" w:pos="1742" w:val="left"/>
        </w:tabs>
        <w:numPr>
          <w:ilvl w:val="2"/>
          <w:numId w:val="49"/>
        </w:numPr>
        <w:rPr>
          <w:rFonts w:ascii="Arial" w:cs="Arial" w:eastAsia="Arial" w:hAnsi="Arial"/>
          <w:sz w:val="18"/>
          <w:szCs w:val="18"/>
          <w:color w:val="auto"/>
        </w:rPr>
      </w:pPr>
      <w:r>
        <w:rPr>
          <w:rFonts w:ascii="Arial" w:cs="Arial" w:eastAsia="Arial" w:hAnsi="Arial"/>
          <w:sz w:val="18"/>
          <w:szCs w:val="18"/>
          <w:color w:val="auto"/>
        </w:rPr>
        <w:t>During any period of three (3)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280" w:right="239" w:bottom="1440" w:gutter="0" w:footer="0" w:header="0"/>
        </w:sectPr>
      </w:pPr>
    </w:p>
    <w:bookmarkStart w:id="54" w:name="page55"/>
    <w:bookmarkEnd w:id="54"/>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40" w:lineRule="exact"/>
        <w:rPr>
          <w:sz w:val="20"/>
          <w:szCs w:val="20"/>
          <w:color w:val="auto"/>
        </w:rPr>
      </w:pPr>
    </w:p>
    <w:p>
      <w:pPr>
        <w:ind w:firstLine="1492"/>
        <w:spacing w:after="0" w:line="285" w:lineRule="auto"/>
        <w:tabs>
          <w:tab w:leader="none" w:pos="1791" w:val="left"/>
        </w:tabs>
        <w:numPr>
          <w:ilvl w:val="2"/>
          <w:numId w:val="50"/>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transaction involving the Company or any of its Related Entities, a sale or other disposition of all or substantially all of the assets of the Company, or the acquisition of assets or equity of another entity by the Company or any of its Related Entities (each a “Business Combination”), in each case, unless, following such Business Combination, (A)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(B)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except to the extent that such ownership existed prior to the Business Combination and (C)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23" w:lineRule="exact"/>
        <w:rPr>
          <w:rFonts w:ascii="Arial" w:cs="Arial" w:eastAsia="Arial" w:hAnsi="Arial"/>
          <w:sz w:val="16"/>
          <w:szCs w:val="16"/>
          <w:color w:val="auto"/>
        </w:rPr>
      </w:pPr>
    </w:p>
    <w:p>
      <w:pPr>
        <w:ind w:left="1780" w:hanging="288"/>
        <w:spacing w:after="0"/>
        <w:tabs>
          <w:tab w:leader="none" w:pos="1780" w:val="left"/>
        </w:tabs>
        <w:numPr>
          <w:ilvl w:val="2"/>
          <w:numId w:val="50"/>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p>
    <w:p>
      <w:pPr>
        <w:spacing w:after="0" w:line="171" w:lineRule="exact"/>
        <w:rPr>
          <w:rFonts w:ascii="Arial" w:cs="Arial" w:eastAsia="Arial" w:hAnsi="Arial"/>
          <w:sz w:val="18"/>
          <w:szCs w:val="18"/>
          <w:color w:val="auto"/>
        </w:rPr>
      </w:pPr>
    </w:p>
    <w:p>
      <w:pPr>
        <w:ind w:right="100" w:firstLine="921"/>
        <w:spacing w:after="0" w:line="291" w:lineRule="auto"/>
        <w:tabs>
          <w:tab w:leader="none" w:pos="1152" w:val="left"/>
        </w:tabs>
        <w:numPr>
          <w:ilvl w:val="1"/>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Compliance With Legal and Other Requirements. </w:t>
      </w:r>
      <w:r>
        <w:rPr>
          <w:rFonts w:ascii="Arial" w:cs="Arial" w:eastAsia="Arial" w:hAnsi="Arial"/>
          <w:sz w:val="16"/>
          <w:szCs w:val="16"/>
          <w:color w:val="auto"/>
        </w:rPr>
        <w:t>The Company may, to the extent deemed necessary or advisable by the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20" w:lineRule="exact"/>
        <w:rPr>
          <w:rFonts w:ascii="Arial" w:cs="Arial" w:eastAsia="Arial" w:hAnsi="Arial"/>
          <w:sz w:val="16"/>
          <w:szCs w:val="16"/>
          <w:color w:val="auto"/>
        </w:rPr>
      </w:pPr>
    </w:p>
    <w:p>
      <w:pPr>
        <w:ind w:right="80" w:firstLine="921"/>
        <w:spacing w:after="0" w:line="291" w:lineRule="auto"/>
        <w:tabs>
          <w:tab w:leader="none" w:pos="1161" w:val="left"/>
        </w:tabs>
        <w:numPr>
          <w:ilvl w:val="1"/>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Limits on Transferability; Beneficiaries. </w:t>
      </w:r>
      <w:r>
        <w:rPr>
          <w:rFonts w:ascii="Arial" w:cs="Arial" w:eastAsia="Arial" w:hAnsi="Arial"/>
          <w:sz w:val="16"/>
          <w:szCs w:val="16"/>
          <w:color w:val="auto"/>
        </w:rPr>
        <w:t>No Award or other right or interest granted under the Plan shall be pledged, hypothecated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280" w:right="259" w:bottom="1440" w:gutter="0" w:footer="0" w:header="0"/>
        </w:sectPr>
      </w:pPr>
    </w:p>
    <w:bookmarkStart w:id="55" w:name="page56"/>
    <w:bookmarkEnd w:id="55"/>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of such Award, but only if and to the extent such transfers are permitted by the Committee pursuant to the express terms of an Award 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13" w:lineRule="exact"/>
        <w:rPr>
          <w:sz w:val="20"/>
          <w:szCs w:val="20"/>
          <w:color w:val="auto"/>
        </w:rPr>
      </w:pPr>
    </w:p>
    <w:p>
      <w:pPr>
        <w:ind w:left="1160" w:hanging="239"/>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p>
    <w:p>
      <w:pPr>
        <w:spacing w:after="0" w:line="171" w:lineRule="exact"/>
        <w:rPr>
          <w:rFonts w:ascii="Arial" w:cs="Arial" w:eastAsia="Arial" w:hAnsi="Arial"/>
          <w:sz w:val="18"/>
          <w:szCs w:val="18"/>
          <w:color w:val="auto"/>
        </w:rPr>
      </w:pPr>
    </w:p>
    <w:p>
      <w:pPr>
        <w:ind w:right="80" w:firstLine="1492"/>
        <w:spacing w:after="0" w:line="289" w:lineRule="auto"/>
        <w:tabs>
          <w:tab w:leader="none" w:pos="1693" w:val="left"/>
        </w:tabs>
        <w:numPr>
          <w:ilvl w:val="1"/>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Adjustments to Awards. </w:t>
      </w:r>
      <w:r>
        <w:rPr>
          <w:rFonts w:ascii="Arial" w:cs="Arial" w:eastAsia="Arial" w:hAnsi="Arial"/>
          <w:sz w:val="16"/>
          <w:szCs w:val="16"/>
          <w:color w:val="auto"/>
        </w:rPr>
        <w:t>In the event that any extraordinary dividend or other distribution (whether in the form of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 per-person Award limitations are measured under Section 4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w:t>
      </w:r>
    </w:p>
    <w:p>
      <w:pPr>
        <w:spacing w:after="0" w:line="118" w:lineRule="exact"/>
        <w:rPr>
          <w:rFonts w:ascii="Arial" w:cs="Arial" w:eastAsia="Arial" w:hAnsi="Arial"/>
          <w:sz w:val="16"/>
          <w:szCs w:val="16"/>
          <w:color w:val="auto"/>
        </w:rPr>
      </w:pPr>
    </w:p>
    <w:p>
      <w:pPr>
        <w:ind w:firstLine="1492"/>
        <w:spacing w:after="0" w:line="286" w:lineRule="auto"/>
        <w:tabs>
          <w:tab w:leader="none" w:pos="1742" w:val="left"/>
        </w:tabs>
        <w:numPr>
          <w:ilvl w:val="1"/>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Adjustments in Case of Certain Transactions. </w:t>
      </w:r>
      <w:r>
        <w:rPr>
          <w:rFonts w:ascii="Arial" w:cs="Arial" w:eastAsia="Arial" w:hAnsi="Arial"/>
          <w:sz w:val="16"/>
          <w:szCs w:val="16"/>
          <w:color w:val="auto"/>
        </w:rPr>
        <w:t>In the event of any merger, consolidation or other reorganization in which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does not survive, or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(a) the continuation of the outstanding Awards by the Company, if the Company is a surviving entity, (b) the assumption or substitution for, as those terms are defined in Section 9(a)(iv) hereof, the outstanding Awards by the surviving entity or its parent or subsidiary, (c) full exercisability or vesting and accelerated expiration of the outstanding Awards, or (d)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at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20" w:lineRule="exact"/>
        <w:rPr>
          <w:rFonts w:ascii="Arial" w:cs="Arial" w:eastAsia="Arial" w:hAnsi="Arial"/>
          <w:sz w:val="16"/>
          <w:szCs w:val="16"/>
          <w:color w:val="auto"/>
        </w:rPr>
      </w:pPr>
    </w:p>
    <w:p>
      <w:pPr>
        <w:ind w:right="80" w:firstLine="1492"/>
        <w:spacing w:after="0" w:line="289" w:lineRule="auto"/>
        <w:tabs>
          <w:tab w:leader="none" w:pos="1791" w:val="left"/>
        </w:tabs>
        <w:numPr>
          <w:ilvl w:val="1"/>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Adjustments. </w:t>
      </w:r>
      <w:r>
        <w:rPr>
          <w:rFonts w:ascii="Arial" w:cs="Arial" w:eastAsia="Arial" w:hAnsi="Arial"/>
          <w:sz w:val="16"/>
          <w:szCs w:val="16"/>
          <w:color w:val="auto"/>
        </w:rPr>
        <w:t>The Committee (and the Board if and only to the extent such authority is not required to be exercised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to comply with Section 162(m) of the Code) is authorized to make adjustments in the terms and conditions of, and the criteria included in, Awards (including Performance Awards, or performance goals and conditions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280" w:right="239" w:bottom="1440" w:gutter="0" w:footer="0" w:header="0"/>
        </w:sectPr>
      </w:pPr>
    </w:p>
    <w:bookmarkStart w:id="56" w:name="page57"/>
    <w:bookmarkEnd w:id="56"/>
    <w:p>
      <w:pPr>
        <w:ind w:right="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 Adjustments permitted hereby may include, without limitation, increasing the exercise price of Options and Stock Appreciation Rights, increasing performance goals, or other adjustments that may be adverse to the Participant.</w:t>
      </w:r>
    </w:p>
    <w:p>
      <w:pPr>
        <w:spacing w:after="0" w:line="98" w:lineRule="exact"/>
        <w:rPr>
          <w:sz w:val="20"/>
          <w:szCs w:val="20"/>
          <w:color w:val="auto"/>
        </w:rPr>
      </w:pPr>
    </w:p>
    <w:p>
      <w:pPr>
        <w:ind w:right="120" w:firstLine="921"/>
        <w:spacing w:after="0" w:line="291" w:lineRule="auto"/>
        <w:tabs>
          <w:tab w:leader="none" w:pos="1161" w:val="left"/>
        </w:tabs>
        <w:numPr>
          <w:ilvl w:val="1"/>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Taxes. </w:t>
      </w:r>
      <w:r>
        <w:rPr>
          <w:rFonts w:ascii="Arial" w:cs="Arial" w:eastAsia="Arial" w:hAnsi="Arial"/>
          <w:sz w:val="16"/>
          <w:szCs w:val="16"/>
          <w:color w:val="auto"/>
        </w:rPr>
        <w:t>The Company and any Related Entity are authorized to withhold from any Award granted, any payment relating to an Award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w:t>
      </w:r>
    </w:p>
    <w:p>
      <w:pPr>
        <w:spacing w:after="0" w:line="120" w:lineRule="exact"/>
        <w:rPr>
          <w:rFonts w:ascii="Arial" w:cs="Arial" w:eastAsia="Arial" w:hAnsi="Arial"/>
          <w:sz w:val="16"/>
          <w:szCs w:val="16"/>
          <w:color w:val="auto"/>
        </w:rPr>
      </w:pPr>
    </w:p>
    <w:p>
      <w:pPr>
        <w:ind w:right="120" w:firstLine="921"/>
        <w:spacing w:after="0" w:line="287" w:lineRule="auto"/>
        <w:tabs>
          <w:tab w:leader="none" w:pos="1152" w:val="left"/>
        </w:tabs>
        <w:numPr>
          <w:ilvl w:val="1"/>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Changes to the Plan and Awards. </w:t>
      </w:r>
      <w:r>
        <w:rPr>
          <w:rFonts w:ascii="Arial" w:cs="Arial" w:eastAsia="Arial" w:hAnsi="Arial"/>
          <w:sz w:val="16"/>
          <w:szCs w:val="16"/>
          <w:color w:val="auto"/>
        </w:rPr>
        <w:t>The Board may amend, alter, suspend, discontinue or terminate the Plan, or the Committee’s authority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except as otherwise permitted by the Plan or Award Agreement, without the consent of an affected Participant, no such Board action may materially and adversely affect the rights of such Participant under the terms of any previously granted and outstanding Award. The Committee may waive any conditions or rights under, or amend, alter, suspend, discontinue or terminate any Award theretofore granted and any Award Agreement relating thereto, except as otherwise provided in the Plan; provided that, except as otherwise permitted by the Plan or Award Agreement, without the consent of an affected Participant, no such Committee or the Board action may materially and adversely affect the rights of such Participant under terms of such Award.</w:t>
      </w:r>
    </w:p>
    <w:p>
      <w:pPr>
        <w:spacing w:after="0" w:line="122" w:lineRule="exact"/>
        <w:rPr>
          <w:rFonts w:ascii="Arial" w:cs="Arial" w:eastAsia="Arial" w:hAnsi="Arial"/>
          <w:sz w:val="16"/>
          <w:szCs w:val="16"/>
          <w:color w:val="auto"/>
        </w:rPr>
      </w:pPr>
    </w:p>
    <w:p>
      <w:pPr>
        <w:ind w:left="1140" w:hanging="219"/>
        <w:spacing w:after="0"/>
        <w:tabs>
          <w:tab w:leader="none" w:pos="1140" w:val="left"/>
        </w:tabs>
        <w:numPr>
          <w:ilvl w:val="1"/>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Limitation on Rights Conferred Under Plan.  </w:t>
      </w:r>
      <w:r>
        <w:rPr>
          <w:rFonts w:ascii="Arial" w:cs="Arial" w:eastAsia="Arial" w:hAnsi="Arial"/>
          <w:sz w:val="16"/>
          <w:szCs w:val="16"/>
          <w:color w:val="auto"/>
        </w:rPr>
        <w:t>Neither the Plan nor any action taken hereunder or under any Award shall be construed as</w:t>
      </w:r>
    </w:p>
    <w:p>
      <w:pPr>
        <w:spacing w:after="0" w:line="38" w:lineRule="exact"/>
        <w:rPr>
          <w:rFonts w:ascii="Arial" w:cs="Arial" w:eastAsia="Arial" w:hAnsi="Arial"/>
          <w:sz w:val="16"/>
          <w:szCs w:val="16"/>
          <w:color w:val="auto"/>
        </w:rPr>
      </w:pPr>
    </w:p>
    <w:p>
      <w:pPr>
        <w:ind w:firstLine="8"/>
        <w:spacing w:after="0" w:line="286" w:lineRule="auto"/>
        <w:tabs>
          <w:tab w:leader="none" w:pos="210" w:val="left"/>
        </w:tabs>
        <w:numPr>
          <w:ilvl w:val="0"/>
          <w:numId w:val="54"/>
        </w:numPr>
        <w:rPr>
          <w:rFonts w:ascii="Arial" w:cs="Arial" w:eastAsia="Arial" w:hAnsi="Arial"/>
          <w:sz w:val="16"/>
          <w:szCs w:val="16"/>
          <w:color w:val="auto"/>
        </w:rPr>
      </w:pPr>
      <w:r>
        <w:rPr>
          <w:rFonts w:ascii="Arial" w:cs="Arial" w:eastAsia="Arial" w:hAnsi="Arial"/>
          <w:sz w:val="16"/>
          <w:szCs w:val="16"/>
          <w:color w:val="auto"/>
        </w:rPr>
        <w:t>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 Award. None of the Company, its officers or its directors shall have any fiduciary obligation to the Participant with respect to any Awards unless and until the Participant is duly issued Shares pursuant to the Award on the stock books of the Company in accordance with the terms of an Award. Neither the Company nor any of the Company’s officers, directors, representatives or agents is granting any rights under the Plan to the Participant whatsoever, oral or written, express or implied, other than those rights expressly set forth in this Plan or the Award Agreement.</w:t>
      </w:r>
    </w:p>
    <w:p>
      <w:pPr>
        <w:spacing w:after="0" w:line="124" w:lineRule="exact"/>
        <w:rPr>
          <w:rFonts w:ascii="Arial" w:cs="Arial" w:eastAsia="Arial" w:hAnsi="Arial"/>
          <w:sz w:val="16"/>
          <w:szCs w:val="16"/>
          <w:color w:val="auto"/>
        </w:rPr>
      </w:pPr>
    </w:p>
    <w:p>
      <w:pPr>
        <w:ind w:right="160" w:firstLine="921"/>
        <w:spacing w:after="0" w:line="306" w:lineRule="auto"/>
        <w:tabs>
          <w:tab w:leader="none" w:pos="1161"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Unfunded Status of Awards; Creation of Trusts. </w:t>
      </w:r>
      <w:r>
        <w:rPr>
          <w:rFonts w:ascii="Arial" w:cs="Arial" w:eastAsia="Arial" w:hAnsi="Arial"/>
          <w:sz w:val="16"/>
          <w:szCs w:val="16"/>
          <w:color w:val="auto"/>
        </w:rPr>
        <w:t>The Plan is intended to constitute an “unfunded” plan for incentive and deferred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With respect to any payments not yet made to a Participant or obligation to deliver Shares pursuant to an Award, nothing contained in the Plan or any Award shall give any such Participant any rights that are greater than those of a general creditor of the Company;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280" w:right="239" w:bottom="1440" w:gutter="0" w:footer="0" w:header="0"/>
        </w:sectPr>
      </w:pPr>
    </w:p>
    <w:bookmarkStart w:id="57" w:name="page58"/>
    <w:bookmarkEnd w:id="5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13" w:lineRule="exact"/>
        <w:rPr>
          <w:sz w:val="20"/>
          <w:szCs w:val="20"/>
          <w:color w:val="auto"/>
        </w:rPr>
      </w:pPr>
    </w:p>
    <w:p>
      <w:pPr>
        <w:ind w:right="60" w:firstLine="921"/>
        <w:spacing w:after="0" w:line="306" w:lineRule="auto"/>
        <w:tabs>
          <w:tab w:leader="none" w:pos="1161"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Non-exclusivity of the Plan. </w:t>
      </w:r>
      <w:r>
        <w:rPr>
          <w:rFonts w:ascii="Arial" w:cs="Arial" w:eastAsia="Arial" w:hAnsi="Arial"/>
          <w:sz w:val="16"/>
          <w:szCs w:val="16"/>
          <w:color w:val="auto"/>
        </w:rPr>
        <w:t>Neither the adoption of the Plan by the Board nor its submission to the shareholders of the Company for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06" w:lineRule="exact"/>
        <w:rPr>
          <w:rFonts w:ascii="Arial" w:cs="Arial" w:eastAsia="Arial" w:hAnsi="Arial"/>
          <w:sz w:val="16"/>
          <w:szCs w:val="16"/>
          <w:color w:val="auto"/>
        </w:rPr>
      </w:pPr>
    </w:p>
    <w:p>
      <w:pPr>
        <w:ind w:right="280" w:firstLine="921"/>
        <w:spacing w:after="0" w:line="323" w:lineRule="auto"/>
        <w:tabs>
          <w:tab w:leader="none" w:pos="1122" w:val="left"/>
        </w:tabs>
        <w:numPr>
          <w:ilvl w:val="1"/>
          <w:numId w:val="5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Payments in the Event of Forfeitures; Fractional Shares. </w:t>
      </w:r>
      <w:r>
        <w:rPr>
          <w:rFonts w:ascii="Arial" w:cs="Arial" w:eastAsia="Arial" w:hAnsi="Arial"/>
          <w:sz w:val="15"/>
          <w:szCs w:val="15"/>
          <w:color w:val="auto"/>
        </w:rPr>
        <w:t>Unless otherwise determined by the Committee, in the event of a forfeiture of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97" w:lineRule="exact"/>
        <w:rPr>
          <w:rFonts w:ascii="Arial" w:cs="Arial" w:eastAsia="Arial" w:hAnsi="Arial"/>
          <w:sz w:val="15"/>
          <w:szCs w:val="15"/>
          <w:color w:val="auto"/>
        </w:rPr>
      </w:pPr>
    </w:p>
    <w:p>
      <w:pPr>
        <w:ind w:right="20" w:firstLine="921"/>
        <w:spacing w:after="0" w:line="332" w:lineRule="auto"/>
        <w:tabs>
          <w:tab w:leader="none" w:pos="1122"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Governing Law. </w:t>
      </w:r>
      <w:r>
        <w:rPr>
          <w:rFonts w:ascii="Arial" w:cs="Arial" w:eastAsia="Arial" w:hAnsi="Arial"/>
          <w:sz w:val="16"/>
          <w:szCs w:val="16"/>
          <w:color w:val="auto"/>
        </w:rPr>
        <w:t>The validity, construction and effect of the Plan, any rules and regulations under the Plan, and any Award Agreement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in accordance with the laws of the Commonwealth of Massachusetts without giving effect to principles of conflict of laws, and applicable federal law.</w:t>
      </w:r>
    </w:p>
    <w:p>
      <w:pPr>
        <w:spacing w:after="0" w:line="85" w:lineRule="exact"/>
        <w:rPr>
          <w:rFonts w:ascii="Arial" w:cs="Arial" w:eastAsia="Arial" w:hAnsi="Arial"/>
          <w:sz w:val="16"/>
          <w:szCs w:val="16"/>
          <w:color w:val="auto"/>
        </w:rPr>
      </w:pPr>
    </w:p>
    <w:p>
      <w:pPr>
        <w:jc w:val="both"/>
        <w:ind w:right="520" w:firstLine="921"/>
        <w:spacing w:after="0" w:line="306" w:lineRule="auto"/>
        <w:tabs>
          <w:tab w:leader="none" w:pos="1161"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Non-U.S. Laws. </w:t>
      </w:r>
      <w:r>
        <w:rPr>
          <w:rFonts w:ascii="Arial" w:cs="Arial" w:eastAsia="Arial" w:hAnsi="Arial"/>
          <w:sz w:val="16"/>
          <w:szCs w:val="16"/>
          <w:color w:val="auto"/>
        </w:rPr>
        <w:t>The Committee shall have the authority to adopt such modifications, procedures, and sub-plans as may be necessary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desirable to comply with provisions of the laws of foreign countries in which the Company or its Related Entities may operate to assure the viability of the benefits from Awards granted to Participants performing services in such countries and to meet the objectives of the Plan.</w:t>
      </w:r>
    </w:p>
    <w:p>
      <w:pPr>
        <w:spacing w:after="0" w:line="106" w:lineRule="exact"/>
        <w:rPr>
          <w:rFonts w:ascii="Arial" w:cs="Arial" w:eastAsia="Arial" w:hAnsi="Arial"/>
          <w:sz w:val="16"/>
          <w:szCs w:val="16"/>
          <w:color w:val="auto"/>
        </w:rPr>
      </w:pPr>
    </w:p>
    <w:p>
      <w:pPr>
        <w:ind w:right="40" w:firstLine="921"/>
        <w:spacing w:after="0" w:line="283" w:lineRule="auto"/>
        <w:tabs>
          <w:tab w:leader="none" w:pos="1122"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Plan Effective Date and Shareholder Approval; Termination of Plan. </w:t>
      </w:r>
      <w:r>
        <w:rPr>
          <w:rFonts w:ascii="Arial" w:cs="Arial" w:eastAsia="Arial" w:hAnsi="Arial"/>
          <w:sz w:val="16"/>
          <w:szCs w:val="16"/>
          <w:color w:val="auto"/>
        </w:rPr>
        <w:t>The Plan shall become effective on the Effective Date,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 approval, within 12 months of its adoption by the Board,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w:t>
      </w:r>
    </w:p>
    <w:p>
      <w:pPr>
        <w:spacing w:after="0" w:line="1" w:lineRule="exact"/>
        <w:rPr>
          <w:rFonts w:ascii="Arial" w:cs="Arial" w:eastAsia="Arial" w:hAnsi="Arial"/>
          <w:sz w:val="16"/>
          <w:szCs w:val="16"/>
          <w:color w:val="auto"/>
        </w:rPr>
      </w:pPr>
    </w:p>
    <w:p>
      <w:pPr>
        <w:ind w:right="80" w:firstLine="8"/>
        <w:spacing w:after="0" w:line="261" w:lineRule="auto"/>
        <w:tabs>
          <w:tab w:leader="none" w:pos="24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termination of this Plan by the Board, or (c) the tenth anniversary of the Effective Date. Awards outstanding upon expiration of the Plan shall remain in effect until they have been exercised or terminated, or have expired.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280"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CARD</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PRO-PHARMACEUTICALS, INC.</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appoints Peter G. Traber, M.D., Anthony D. Squeglia and Maureen Foley, and each of them, as proxies, each with the power of substitution, and authorizes each of them to represent and to vote, as designated on the reverse hereof, all of the shares of common stock of Pro-Pharmaceuticals, Inc. held of record by the undersigned at the close of business on March 31, 2011 at the 2011 Annual Meeting of Stockholders to be held at the Company’s office at 7 Wells Avenue, Suite 34, Newton, MA 02459 on May 26, 2011 at 9:00 A.M. EDT or at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PRO-PHARMACEUTICALS, INC.</w:t>
      </w:r>
    </w:p>
    <w:p>
      <w:pPr>
        <w:spacing w:after="0" w:line="218" w:lineRule="exact"/>
        <w:rPr>
          <w:sz w:val="20"/>
          <w:szCs w:val="20"/>
          <w:color w:val="auto"/>
        </w:rPr>
      </w:pPr>
    </w:p>
    <w:p>
      <w:pPr>
        <w:ind w:right="1460"/>
        <w:spacing w:after="0" w:line="332" w:lineRule="auto"/>
        <w:rPr>
          <w:sz w:val="20"/>
          <w:szCs w:val="20"/>
          <w:color w:val="auto"/>
        </w:rPr>
      </w:pPr>
      <w:r>
        <w:rPr>
          <w:rFonts w:ascii="Arial" w:cs="Arial" w:eastAsia="Arial" w:hAnsi="Arial"/>
          <w:sz w:val="16"/>
          <w:szCs w:val="16"/>
          <w:color w:val="auto"/>
        </w:rPr>
        <w:t>Important Notice Regarding the Availability of Proxy Materials for the 2011 Annual Meeting of Stockholders of Pro-Pharmaceuticals, Inc. to be held at the Company’s office at 7 Wells Avenue, Suite 34, Newton, MA on May 26, 2011 at 9:00 A.M. EDT.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To Vote Your Proxy</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sign and date your Proxy Card below, detach it and return it in the 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b w:val="1"/>
          <w:bCs w:val="1"/>
          <w:color w:val="auto"/>
        </w:rPr>
        <w:t>FOLD AND DETACH HERE AND READ THE REVERSE SIDE</w:t>
      </w:r>
      <w:r>
        <w:rPr>
          <w:rFonts w:ascii="Arial" w:cs="Arial" w:eastAsia="Arial" w:hAnsi="Arial"/>
          <w:sz w:val="18"/>
          <w:szCs w:val="18"/>
          <w:color w:val="auto"/>
        </w:rPr>
        <w:t xml:space="preserve"> q</w:t>
      </w:r>
    </w:p>
    <w:p>
      <w:pPr>
        <w:sectPr>
          <w:pgSz w:w="11900" w:h="16838" w:orient="portrait"/>
          <w:cols w:equalWidth="0" w:num="1">
            <w:col w:w="11340"/>
          </w:cols>
          <w:pgMar w:left="240" w:top="280" w:right="319" w:bottom="1440" w:gutter="0" w:footer="0" w:header="0"/>
        </w:sectPr>
      </w:pPr>
    </w:p>
    <w:bookmarkStart w:id="59" w:name="page60"/>
    <w:bookmarkEnd w:id="59"/>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80"/>
        <w:spacing w:after="0" w:line="321" w:lineRule="auto"/>
        <w:rPr>
          <w:sz w:val="20"/>
          <w:szCs w:val="20"/>
          <w:color w:val="auto"/>
        </w:rPr>
      </w:pPr>
      <w:r>
        <w:rPr>
          <w:rFonts w:ascii="Arial" w:cs="Arial" w:eastAsia="Arial" w:hAnsi="Arial"/>
          <w:sz w:val="12"/>
          <w:szCs w:val="12"/>
          <w:b w:val="1"/>
          <w:bCs w:val="1"/>
          <w:color w:val="auto"/>
        </w:rPr>
        <w:t>THIS PROXY WILL BE VOTED AS DIRECTED. IF NO DIRECTION IS INDICATED FOR PROPOSALS 3, 4 OR 5, EACH PROPOSAL WILL BE VOTED “FOR” THE PROPOSAL.</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280" w:type="dxa"/>
            <w:vAlign w:val="bottom"/>
          </w:tcPr>
          <w:p>
            <w:pPr>
              <w:jc w:val="center"/>
              <w:ind w:left="41"/>
              <w:spacing w:after="0"/>
              <w:rPr>
                <w:sz w:val="20"/>
                <w:szCs w:val="20"/>
                <w:color w:val="auto"/>
              </w:rPr>
            </w:pPr>
            <w:r>
              <w:rPr>
                <w:rFonts w:ascii="Arial" w:cs="Arial" w:eastAsia="Arial" w:hAnsi="Arial"/>
                <w:sz w:val="14"/>
                <w:szCs w:val="14"/>
                <w:b w:val="1"/>
                <w:bCs w:val="1"/>
                <w:color w:val="auto"/>
                <w:w w:val="99"/>
              </w:rPr>
              <w:t>VOTE FOR ALL</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WITHHOLD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ABSTAIN</w:t>
            </w:r>
          </w:p>
        </w:tc>
        <w:tc>
          <w:tcPr>
            <w:tcW w:w="0" w:type="dxa"/>
            <w:vAlign w:val="bottom"/>
          </w:tcPr>
          <w:p>
            <w:pPr>
              <w:spacing w:after="0"/>
              <w:rPr>
                <w:sz w:val="1"/>
                <w:szCs w:val="1"/>
                <w:color w:val="auto"/>
              </w:rPr>
            </w:pPr>
          </w:p>
        </w:tc>
      </w:tr>
      <w:tr>
        <w:trPr>
          <w:trHeight w:val="188"/>
        </w:trPr>
        <w:tc>
          <w:tcPr>
            <w:tcW w:w="268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1280" w:type="dxa"/>
            <w:vAlign w:val="bottom"/>
          </w:tcPr>
          <w:p>
            <w:pPr>
              <w:jc w:val="center"/>
              <w:ind w:left="41"/>
              <w:spacing w:after="0"/>
              <w:rPr>
                <w:sz w:val="20"/>
                <w:szCs w:val="20"/>
                <w:color w:val="auto"/>
              </w:rPr>
            </w:pPr>
            <w:r>
              <w:rPr>
                <w:rFonts w:ascii="Arial" w:cs="Arial" w:eastAsia="Arial" w:hAnsi="Arial"/>
                <w:sz w:val="14"/>
                <w:szCs w:val="14"/>
                <w:b w:val="1"/>
                <w:bCs w:val="1"/>
                <w:color w:val="auto"/>
                <w:w w:val="99"/>
              </w:rPr>
              <w:t>NOMINEES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AUTHORITY</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80" w:type="dxa"/>
            <w:vAlign w:val="bottom"/>
          </w:tcPr>
          <w:p>
            <w:pPr>
              <w:spacing w:after="0"/>
              <w:rPr>
                <w:sz w:val="20"/>
                <w:szCs w:val="20"/>
                <w:color w:val="auto"/>
              </w:rPr>
            </w:pPr>
            <w:r>
              <w:rPr>
                <w:rFonts w:ascii="Arial" w:cs="Arial" w:eastAsia="Arial" w:hAnsi="Arial"/>
                <w:sz w:val="14"/>
                <w:szCs w:val="14"/>
                <w:b w:val="1"/>
                <w:bCs w:val="1"/>
                <w:color w:val="auto"/>
                <w:w w:val="92"/>
              </w:rPr>
              <w:t>The Board of Directors recommends a vote</w:t>
            </w:r>
          </w:p>
        </w:tc>
        <w:tc>
          <w:tcPr>
            <w:tcW w:w="1280" w:type="dxa"/>
            <w:vAlign w:val="bottom"/>
            <w:vMerge w:val="restart"/>
          </w:tcPr>
          <w:p>
            <w:pPr>
              <w:jc w:val="center"/>
              <w:ind w:left="41"/>
              <w:spacing w:after="0" w:line="321" w:lineRule="exact"/>
              <w:rPr>
                <w:sz w:val="20"/>
                <w:szCs w:val="20"/>
                <w:color w:val="auto"/>
              </w:rPr>
            </w:pPr>
            <w:r>
              <w:rPr>
                <w:rFonts w:ascii="MS PGothic" w:cs="MS PGothic" w:eastAsia="MS PGothic" w:hAnsi="MS PGothic"/>
                <w:sz w:val="32"/>
                <w:szCs w:val="32"/>
                <w:color w:val="auto"/>
                <w:w w:val="93"/>
              </w:rPr>
              <w:t>☐</w:t>
            </w:r>
          </w:p>
        </w:tc>
        <w:tc>
          <w:tcPr>
            <w:tcW w:w="98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c>
          <w:tcPr>
            <w:tcW w:w="70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134"/>
        </w:trPr>
        <w:tc>
          <w:tcPr>
            <w:tcW w:w="2680" w:type="dxa"/>
            <w:vAlign w:val="bottom"/>
            <w:vMerge w:val="restart"/>
          </w:tcPr>
          <w:p>
            <w:pPr>
              <w:spacing w:after="0"/>
              <w:rPr>
                <w:sz w:val="20"/>
                <w:szCs w:val="20"/>
                <w:color w:val="auto"/>
              </w:rPr>
            </w:pPr>
            <w:r>
              <w:rPr>
                <w:rFonts w:ascii="Arial" w:cs="Arial" w:eastAsia="Arial" w:hAnsi="Arial"/>
                <w:sz w:val="14"/>
                <w:szCs w:val="14"/>
                <w:b w:val="1"/>
                <w:bCs w:val="1"/>
                <w:color w:val="auto"/>
              </w:rPr>
              <w:t>“FOR” the listed nominees.</w:t>
            </w:r>
          </w:p>
        </w:tc>
        <w:tc>
          <w:tcPr>
            <w:tcW w:w="12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680" w:type="dxa"/>
            <w:vAlign w:val="bottom"/>
            <w:vMerge w:val="continue"/>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240"/>
        <w:spacing w:after="0" w:line="241" w:lineRule="auto"/>
        <w:rPr>
          <w:sz w:val="20"/>
          <w:szCs w:val="20"/>
          <w:color w:val="auto"/>
        </w:rPr>
      </w:pPr>
      <w:r>
        <w:rPr>
          <w:rFonts w:ascii="Arial" w:cs="Arial" w:eastAsia="Arial" w:hAnsi="Arial"/>
          <w:sz w:val="14"/>
          <w:szCs w:val="14"/>
          <w:b w:val="1"/>
          <w:bCs w:val="1"/>
          <w:color w:val="auto"/>
        </w:rPr>
        <w:t>To withhold authority to vote for any individual nominee, strike a line through that nominee’s name below:</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00" w:type="dxa"/>
            <w:vAlign w:val="bottom"/>
          </w:tcPr>
          <w:p>
            <w:pPr>
              <w:spacing w:after="0"/>
              <w:rPr>
                <w:sz w:val="20"/>
                <w:szCs w:val="20"/>
                <w:color w:val="auto"/>
              </w:rPr>
            </w:pPr>
            <w:r>
              <w:rPr>
                <w:rFonts w:ascii="Arial" w:cs="Arial" w:eastAsia="Arial" w:hAnsi="Arial"/>
                <w:sz w:val="14"/>
                <w:szCs w:val="14"/>
                <w:color w:val="auto"/>
                <w:w w:val="93"/>
              </w:rPr>
              <w:t>Gilbert F. Amelio, Ph.D.</w:t>
            </w:r>
          </w:p>
        </w:tc>
        <w:tc>
          <w:tcPr>
            <w:tcW w:w="1280" w:type="dxa"/>
            <w:vAlign w:val="bottom"/>
          </w:tcPr>
          <w:p>
            <w:pPr>
              <w:ind w:left="80"/>
              <w:spacing w:after="0"/>
              <w:rPr>
                <w:sz w:val="20"/>
                <w:szCs w:val="20"/>
                <w:color w:val="auto"/>
              </w:rPr>
            </w:pPr>
            <w:r>
              <w:rPr>
                <w:rFonts w:ascii="Arial" w:cs="Arial" w:eastAsia="Arial" w:hAnsi="Arial"/>
                <w:sz w:val="14"/>
                <w:szCs w:val="14"/>
                <w:color w:val="auto"/>
              </w:rPr>
              <w:t>Steven Prelack</w:t>
            </w:r>
          </w:p>
        </w:tc>
        <w:tc>
          <w:tcPr>
            <w:tcW w:w="1600" w:type="dxa"/>
            <w:vAlign w:val="bottom"/>
          </w:tcPr>
          <w:p>
            <w:pPr>
              <w:spacing w:after="0"/>
              <w:rPr>
                <w:sz w:val="20"/>
                <w:szCs w:val="20"/>
                <w:color w:val="auto"/>
              </w:rPr>
            </w:pPr>
            <w:r>
              <w:rPr>
                <w:rFonts w:ascii="Arial" w:cs="Arial" w:eastAsia="Arial" w:hAnsi="Arial"/>
                <w:sz w:val="14"/>
                <w:szCs w:val="14"/>
                <w:color w:val="auto"/>
              </w:rPr>
              <w:t>Paul Pressler</w:t>
            </w:r>
          </w:p>
        </w:tc>
        <w:tc>
          <w:tcPr>
            <w:tcW w:w="1200" w:type="dxa"/>
            <w:vAlign w:val="bottom"/>
            <w:vMerge w:val="restart"/>
          </w:tcPr>
          <w:p>
            <w:pPr>
              <w:ind w:left="900"/>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149"/>
        </w:trPr>
        <w:tc>
          <w:tcPr>
            <w:tcW w:w="1400" w:type="dxa"/>
            <w:vAlign w:val="bottom"/>
          </w:tcPr>
          <w:p>
            <w:pPr>
              <w:spacing w:after="0" w:line="149" w:lineRule="exact"/>
              <w:rPr>
                <w:sz w:val="20"/>
                <w:szCs w:val="20"/>
                <w:color w:val="auto"/>
              </w:rPr>
            </w:pPr>
            <w:r>
              <w:rPr>
                <w:rFonts w:ascii="Arial" w:cs="Arial" w:eastAsia="Arial" w:hAnsi="Arial"/>
                <w:sz w:val="14"/>
                <w:szCs w:val="14"/>
                <w:color w:val="auto"/>
              </w:rPr>
              <w:t>Rod D. Martin</w:t>
            </w:r>
          </w:p>
        </w:tc>
        <w:tc>
          <w:tcPr>
            <w:tcW w:w="1280" w:type="dxa"/>
            <w:vAlign w:val="bottom"/>
          </w:tcPr>
          <w:p>
            <w:pPr>
              <w:ind w:left="100"/>
              <w:spacing w:after="0" w:line="149" w:lineRule="exact"/>
              <w:rPr>
                <w:sz w:val="20"/>
                <w:szCs w:val="20"/>
                <w:color w:val="auto"/>
              </w:rPr>
            </w:pPr>
            <w:r>
              <w:rPr>
                <w:rFonts w:ascii="Arial" w:cs="Arial" w:eastAsia="Arial" w:hAnsi="Arial"/>
                <w:sz w:val="14"/>
                <w:szCs w:val="14"/>
                <w:color w:val="auto"/>
              </w:rPr>
              <w:t>Jerald K. Rome</w:t>
            </w:r>
          </w:p>
        </w:tc>
        <w:tc>
          <w:tcPr>
            <w:tcW w:w="16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00" w:type="dxa"/>
            <w:vAlign w:val="bottom"/>
          </w:tcPr>
          <w:p>
            <w:pPr>
              <w:spacing w:after="0"/>
              <w:rPr>
                <w:sz w:val="20"/>
                <w:szCs w:val="20"/>
                <w:color w:val="auto"/>
              </w:rPr>
            </w:pPr>
            <w:r>
              <w:rPr>
                <w:rFonts w:ascii="Arial" w:cs="Arial" w:eastAsia="Arial" w:hAnsi="Arial"/>
                <w:sz w:val="14"/>
                <w:szCs w:val="14"/>
                <w:color w:val="auto"/>
              </w:rPr>
              <w:t>S. Colin Neill</w:t>
            </w:r>
          </w:p>
        </w:tc>
        <w:tc>
          <w:tcPr>
            <w:tcW w:w="1280" w:type="dxa"/>
            <w:vAlign w:val="bottom"/>
          </w:tcPr>
          <w:p>
            <w:pPr>
              <w:ind w:left="100"/>
              <w:spacing w:after="0"/>
              <w:rPr>
                <w:sz w:val="20"/>
                <w:szCs w:val="20"/>
                <w:color w:val="auto"/>
              </w:rPr>
            </w:pPr>
            <w:r>
              <w:rPr>
                <w:rFonts w:ascii="Arial" w:cs="Arial" w:eastAsia="Arial" w:hAnsi="Arial"/>
                <w:sz w:val="14"/>
                <w:szCs w:val="14"/>
                <w:color w:val="auto"/>
                <w:w w:val="86"/>
              </w:rPr>
              <w:t>Peter G. Traber, M.D.</w:t>
            </w:r>
          </w:p>
        </w:tc>
        <w:tc>
          <w:tcPr>
            <w:tcW w:w="16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951"/>
        <w:spacing w:after="0"/>
        <w:rPr>
          <w:sz w:val="20"/>
          <w:szCs w:val="20"/>
          <w:color w:val="auto"/>
        </w:rPr>
      </w:pPr>
      <w:r>
        <w:rPr>
          <w:rFonts w:ascii="Arial" w:cs="Arial" w:eastAsia="Arial" w:hAnsi="Arial"/>
          <w:sz w:val="14"/>
          <w:szCs w:val="14"/>
          <w:b w:val="1"/>
          <w:bCs w:val="1"/>
          <w:color w:val="auto"/>
        </w:rPr>
        <w:t>PROXY</w:t>
      </w:r>
    </w:p>
    <w:p>
      <w:pPr>
        <w:spacing w:after="0" w:line="200" w:lineRule="exact"/>
        <w:rPr>
          <w:sz w:val="20"/>
          <w:szCs w:val="20"/>
          <w:color w:val="auto"/>
        </w:rPr>
      </w:pPr>
    </w:p>
    <w:p>
      <w:pPr>
        <w:spacing w:after="0" w:line="355" w:lineRule="exact"/>
        <w:rPr>
          <w:sz w:val="20"/>
          <w:szCs w:val="20"/>
          <w:color w:val="auto"/>
        </w:rPr>
      </w:pPr>
    </w:p>
    <w:p>
      <w:pPr>
        <w:ind w:left="211" w:right="80" w:hanging="211"/>
        <w:spacing w:after="0" w:line="227" w:lineRule="auto"/>
        <w:tabs>
          <w:tab w:leader="none" w:pos="164" w:val="left"/>
        </w:tabs>
        <w:numPr>
          <w:ilvl w:val="0"/>
          <w:numId w:val="57"/>
        </w:numPr>
        <w:rPr>
          <w:rFonts w:ascii="Arial" w:cs="Arial" w:eastAsia="Arial" w:hAnsi="Arial"/>
          <w:sz w:val="14"/>
          <w:szCs w:val="14"/>
          <w:color w:val="auto"/>
        </w:rPr>
      </w:pPr>
      <w:r>
        <w:rPr>
          <w:rFonts w:ascii="Arial" w:cs="Arial" w:eastAsia="Arial" w:hAnsi="Arial"/>
          <w:sz w:val="14"/>
          <w:szCs w:val="14"/>
          <w:b w:val="1"/>
          <w:bCs w:val="1"/>
          <w:color w:val="auto"/>
        </w:rPr>
        <w:t>A PROPOSALTO APPROVE AN AMENDMENT OF OUR 2009 INCENTIVE COMPENSATION PLAN TO INCREASE THE NUMBER OF SHARES OF COMMON STOCK THAT MAY BE AWARDED UNDER THIS PLAN TO 20,000,000. The Board of Directors recommends a vote “FOR” this proposal</w:t>
      </w:r>
    </w:p>
    <w:p>
      <w:pPr>
        <w:spacing w:after="0" w:line="382" w:lineRule="exact"/>
        <w:rPr>
          <w:rFonts w:ascii="Arial" w:cs="Arial" w:eastAsia="Arial" w:hAnsi="Arial"/>
          <w:sz w:val="14"/>
          <w:szCs w:val="14"/>
          <w:color w:val="auto"/>
        </w:rPr>
      </w:pPr>
    </w:p>
    <w:p>
      <w:pPr>
        <w:ind w:left="211" w:hanging="211"/>
        <w:spacing w:after="0" w:line="279" w:lineRule="auto"/>
        <w:tabs>
          <w:tab w:leader="none" w:pos="198" w:val="left"/>
        </w:tabs>
        <w:numPr>
          <w:ilvl w:val="0"/>
          <w:numId w:val="57"/>
        </w:numPr>
        <w:rPr>
          <w:rFonts w:ascii="Arial" w:cs="Arial" w:eastAsia="Arial" w:hAnsi="Arial"/>
          <w:sz w:val="12"/>
          <w:szCs w:val="12"/>
          <w:color w:val="auto"/>
        </w:rPr>
      </w:pPr>
      <w:r>
        <w:rPr>
          <w:rFonts w:ascii="Arial" w:cs="Arial" w:eastAsia="Arial" w:hAnsi="Arial"/>
          <w:sz w:val="12"/>
          <w:szCs w:val="12"/>
          <w:b w:val="1"/>
          <w:bCs w:val="1"/>
          <w:color w:val="auto"/>
        </w:rPr>
        <w:t>A PROPOSAL TO AMEND OUR ARTICLES OF INCORPORATION TO PERMIT OUR BOARD OF DIRECTORS TO HAVE UP TO ELEVEN MEMBERS. The Board of Directors recommends a vote “FOR” this proposal</w:t>
      </w:r>
    </w:p>
    <w:p>
      <w:pPr>
        <w:spacing w:after="0" w:line="60" w:lineRule="exact"/>
        <w:rPr>
          <w:rFonts w:ascii="Arial" w:cs="Arial" w:eastAsia="Arial" w:hAnsi="Arial"/>
          <w:sz w:val="12"/>
          <w:szCs w:val="12"/>
          <w:color w:val="auto"/>
        </w:rPr>
      </w:pPr>
    </w:p>
    <w:p>
      <w:pPr>
        <w:ind w:left="211" w:right="160" w:hanging="211"/>
        <w:spacing w:after="0" w:line="229" w:lineRule="auto"/>
        <w:tabs>
          <w:tab w:leader="none" w:pos="198" w:val="left"/>
        </w:tabs>
        <w:numPr>
          <w:ilvl w:val="0"/>
          <w:numId w:val="57"/>
        </w:numPr>
        <w:rPr>
          <w:rFonts w:ascii="Arial" w:cs="Arial" w:eastAsia="Arial" w:hAnsi="Arial"/>
          <w:sz w:val="14"/>
          <w:szCs w:val="14"/>
          <w:color w:val="auto"/>
        </w:rPr>
      </w:pPr>
      <w:r>
        <w:rPr>
          <w:rFonts w:ascii="Arial" w:cs="Arial" w:eastAsia="Arial" w:hAnsi="Arial"/>
          <w:sz w:val="14"/>
          <w:szCs w:val="14"/>
          <w:b w:val="1"/>
          <w:bCs w:val="1"/>
          <w:color w:val="auto"/>
        </w:rPr>
        <w:t>A PROPOSAL TO AMEND OUR ARTICLES OF INCORPORATION TO AUTHORIZE OUR BOARD OF DIRECTORS TO CHANGE THE NAME OF THE COMPANY. The Board of Directors recommends a vote “FOR” this proposal</w:t>
      </w:r>
    </w:p>
    <w:p>
      <w:pPr>
        <w:spacing w:after="0" w:line="82" w:lineRule="exact"/>
        <w:rPr>
          <w:rFonts w:ascii="Arial" w:cs="Arial" w:eastAsia="Arial" w:hAnsi="Arial"/>
          <w:sz w:val="14"/>
          <w:szCs w:val="14"/>
          <w:color w:val="auto"/>
        </w:rPr>
      </w:pPr>
    </w:p>
    <w:p>
      <w:pPr>
        <w:ind w:left="211" w:hanging="211"/>
        <w:spacing w:after="0" w:line="272" w:lineRule="auto"/>
        <w:tabs>
          <w:tab w:leader="none" w:pos="198" w:val="left"/>
        </w:tabs>
        <w:numPr>
          <w:ilvl w:val="0"/>
          <w:numId w:val="57"/>
        </w:numPr>
        <w:rPr>
          <w:rFonts w:ascii="Arial" w:cs="Arial" w:eastAsia="Arial" w:hAnsi="Arial"/>
          <w:sz w:val="12"/>
          <w:szCs w:val="12"/>
          <w:color w:val="auto"/>
        </w:rPr>
      </w:pPr>
      <w:r>
        <w:rPr>
          <w:rFonts w:ascii="Arial" w:cs="Arial" w:eastAsia="Arial" w:hAnsi="Arial"/>
          <w:sz w:val="12"/>
          <w:szCs w:val="12"/>
          <w:b w:val="1"/>
          <w:bCs w:val="1"/>
          <w:color w:val="auto"/>
        </w:rPr>
        <w:t>A PROPOSAL TO RATIFY THE APPOINTMENT OF MCGLADREY &amp; PULLEN, LLP AS THE INDEPENDENT REGISTERED PUBLIC ACCOUNTING FIRM TO AUDIT THE FINANCIAL STATEMENTS FOR THE 2011 FISCAL YEAR. The Board of Directors recommends a vote “FOR” this proposal</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Arial" w:cs="Arial" w:eastAsia="Arial" w:hAnsi="Arial"/>
          <w:sz w:val="14"/>
          <w:szCs w:val="14"/>
          <w:color w:val="auto"/>
        </w:rPr>
        <w:t>Please mark</w:t>
      </w:r>
    </w:p>
    <w:p>
      <w:pPr>
        <w:ind w:left="480"/>
        <w:spacing w:after="0" w:line="381" w:lineRule="exact"/>
        <w:tabs>
          <w:tab w:leader="none" w:pos="1240" w:val="left"/>
        </w:tabs>
        <w:rPr>
          <w:sz w:val="20"/>
          <w:szCs w:val="20"/>
          <w:color w:val="auto"/>
        </w:rPr>
      </w:pPr>
      <w:r>
        <w:rPr>
          <w:rFonts w:ascii="Arial" w:cs="Arial" w:eastAsia="Arial" w:hAnsi="Arial"/>
          <w:sz w:val="26"/>
          <w:szCs w:val="26"/>
          <w:color w:val="auto"/>
          <w:vertAlign w:val="superscript"/>
        </w:rPr>
        <w:t>your</w:t>
      </w:r>
      <w:r>
        <w:rPr>
          <w:rFonts w:ascii="Arial" w:cs="Arial" w:eastAsia="Arial" w:hAnsi="Arial"/>
          <w:sz w:val="13"/>
          <w:szCs w:val="13"/>
          <w:color w:val="auto"/>
        </w:rPr>
        <w:t>likethis</w:t>
      </w:r>
      <w:r>
        <w:rPr>
          <w:rFonts w:ascii="Arial" w:cs="Arial" w:eastAsia="Arial" w:hAnsi="Arial"/>
          <w:sz w:val="26"/>
          <w:szCs w:val="26"/>
          <w:color w:val="auto"/>
          <w:vertAlign w:val="superscript"/>
        </w:rPr>
        <w:t>votes</w:t>
      </w:r>
      <w:r>
        <w:rPr>
          <w:sz w:val="20"/>
          <w:szCs w:val="20"/>
          <w:color w:val="auto"/>
        </w:rPr>
        <w:tab/>
      </w:r>
      <w:r>
        <w:rPr>
          <w:rFonts w:ascii="MS PGothic" w:cs="MS PGothic" w:eastAsia="MS PGothic" w:hAnsi="MS PGothic"/>
          <w:sz w:val="38"/>
          <w:szCs w:val="38"/>
          <w:color w:val="auto"/>
        </w:rPr>
        <w:t>☒</w:t>
      </w:r>
    </w:p>
    <w:p>
      <w:pPr>
        <w:spacing w:after="0" w:line="198" w:lineRule="exact"/>
        <w:rPr>
          <w:sz w:val="20"/>
          <w:szCs w:val="20"/>
          <w:color w:val="auto"/>
        </w:rPr>
      </w:pPr>
    </w:p>
    <w:p>
      <w:pPr>
        <w:spacing w:after="0"/>
        <w:tabs>
          <w:tab w:leader="none" w:pos="400" w:val="left"/>
          <w:tab w:leader="none" w:pos="1100" w:val="left"/>
        </w:tabs>
        <w:rPr>
          <w:sz w:val="20"/>
          <w:szCs w:val="20"/>
          <w:color w:val="auto"/>
        </w:rPr>
      </w:pPr>
      <w:r>
        <w:rPr>
          <w:rFonts w:ascii="Arial" w:cs="Arial" w:eastAsia="Arial" w:hAnsi="Arial"/>
          <w:sz w:val="14"/>
          <w:szCs w:val="14"/>
          <w:color w:val="auto"/>
        </w:rPr>
        <w:t>FOR</w:t>
        <w:tab/>
        <w:t>AGAINST</w:t>
      </w:r>
      <w:r>
        <w:rPr>
          <w:sz w:val="20"/>
          <w:szCs w:val="20"/>
          <w:color w:val="auto"/>
        </w:rPr>
        <w:tab/>
      </w:r>
      <w:r>
        <w:rPr>
          <w:rFonts w:ascii="Arial" w:cs="Arial" w:eastAsia="Arial" w:hAnsi="Arial"/>
          <w:sz w:val="12"/>
          <w:szCs w:val="12"/>
          <w:color w:val="auto"/>
        </w:rPr>
        <w:t>ABSTAIN</w:t>
      </w:r>
    </w:p>
    <w:p>
      <w:pPr>
        <w:spacing w:after="0" w:line="321" w:lineRule="exact"/>
        <w:tabs>
          <w:tab w:leader="none" w:pos="1240" w:val="left"/>
        </w:tabs>
        <w:rPr>
          <w:sz w:val="20"/>
          <w:szCs w:val="20"/>
          <w:color w:val="auto"/>
        </w:rPr>
      </w:pPr>
      <w:r>
        <w:rPr>
          <w:rFonts w:ascii="MS PGothic" w:cs="MS PGothic" w:eastAsia="MS PGothic" w:hAnsi="MS PGothic"/>
          <w:sz w:val="32"/>
          <w:szCs w:val="32"/>
          <w:color w:val="auto"/>
        </w:rPr>
        <w:t>☐ ☐</w:t>
      </w:r>
      <w:r>
        <w:rPr>
          <w:sz w:val="20"/>
          <w:szCs w:val="20"/>
          <w:color w:val="auto"/>
        </w:rPr>
        <w:tab/>
      </w:r>
      <w:r>
        <w:rPr>
          <w:rFonts w:ascii="MS PGothic" w:cs="MS PGothic" w:eastAsia="MS PGothic" w:hAnsi="MS PGothic"/>
          <w:sz w:val="30"/>
          <w:szCs w:val="30"/>
          <w:color w:val="auto"/>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321" w:lineRule="exact"/>
        <w:tabs>
          <w:tab w:leader="none" w:pos="1240" w:val="left"/>
        </w:tabs>
        <w:rPr>
          <w:sz w:val="20"/>
          <w:szCs w:val="20"/>
          <w:color w:val="auto"/>
        </w:rPr>
      </w:pPr>
      <w:r>
        <w:rPr>
          <w:rFonts w:ascii="MS PGothic" w:cs="MS PGothic" w:eastAsia="MS PGothic" w:hAnsi="MS PGothic"/>
          <w:sz w:val="32"/>
          <w:szCs w:val="32"/>
          <w:color w:val="auto"/>
        </w:rPr>
        <w:t>☐ ☐</w:t>
      </w:r>
      <w:r>
        <w:rPr>
          <w:sz w:val="20"/>
          <w:szCs w:val="20"/>
          <w:color w:val="auto"/>
        </w:rPr>
        <w:tab/>
      </w:r>
      <w:r>
        <w:rPr>
          <w:rFonts w:ascii="MS PGothic" w:cs="MS PGothic" w:eastAsia="MS PGothic" w:hAnsi="MS PGothic"/>
          <w:sz w:val="30"/>
          <w:szCs w:val="30"/>
          <w:color w:val="auto"/>
        </w:rPr>
        <w:t>☐</w:t>
      </w:r>
    </w:p>
    <w:p>
      <w:pPr>
        <w:spacing w:after="0" w:line="382" w:lineRule="exact"/>
        <w:rPr>
          <w:sz w:val="20"/>
          <w:szCs w:val="20"/>
          <w:color w:val="auto"/>
        </w:rPr>
      </w:pPr>
    </w:p>
    <w:p>
      <w:pPr>
        <w:spacing w:after="0" w:line="321" w:lineRule="exact"/>
        <w:tabs>
          <w:tab w:leader="none" w:pos="1240" w:val="left"/>
        </w:tabs>
        <w:rPr>
          <w:sz w:val="20"/>
          <w:szCs w:val="20"/>
          <w:color w:val="auto"/>
        </w:rPr>
      </w:pPr>
      <w:r>
        <w:rPr>
          <w:rFonts w:ascii="MS PGothic" w:cs="MS PGothic" w:eastAsia="MS PGothic" w:hAnsi="MS PGothic"/>
          <w:sz w:val="32"/>
          <w:szCs w:val="32"/>
          <w:color w:val="auto"/>
        </w:rPr>
        <w:t>☐ ☐</w:t>
      </w:r>
      <w:r>
        <w:rPr>
          <w:sz w:val="20"/>
          <w:szCs w:val="20"/>
          <w:color w:val="auto"/>
        </w:rPr>
        <w:tab/>
      </w:r>
      <w:r>
        <w:rPr>
          <w:rFonts w:ascii="MS PGothic" w:cs="MS PGothic" w:eastAsia="MS PGothic" w:hAnsi="MS PGothic"/>
          <w:sz w:val="30"/>
          <w:szCs w:val="30"/>
          <w:color w:val="auto"/>
        </w:rPr>
        <w:t>☐</w:t>
      </w:r>
    </w:p>
    <w:p>
      <w:pPr>
        <w:spacing w:after="0" w:line="200" w:lineRule="exact"/>
        <w:rPr>
          <w:sz w:val="20"/>
          <w:szCs w:val="20"/>
          <w:color w:val="auto"/>
        </w:rPr>
      </w:pPr>
    </w:p>
    <w:p>
      <w:pPr>
        <w:spacing w:after="0" w:line="331" w:lineRule="exact"/>
        <w:rPr>
          <w:sz w:val="20"/>
          <w:szCs w:val="20"/>
          <w:color w:val="auto"/>
        </w:rPr>
      </w:pPr>
    </w:p>
    <w:p>
      <w:pPr>
        <w:spacing w:after="0" w:line="321" w:lineRule="exact"/>
        <w:tabs>
          <w:tab w:leader="none" w:pos="1240" w:val="left"/>
        </w:tabs>
        <w:rPr>
          <w:sz w:val="20"/>
          <w:szCs w:val="20"/>
          <w:color w:val="auto"/>
        </w:rPr>
      </w:pPr>
      <w:r>
        <w:rPr>
          <w:rFonts w:ascii="MS PGothic" w:cs="MS PGothic" w:eastAsia="MS PGothic" w:hAnsi="MS PGothic"/>
          <w:sz w:val="32"/>
          <w:szCs w:val="32"/>
          <w:color w:val="auto"/>
        </w:rPr>
        <w:t>☐ ☐</w:t>
      </w:r>
      <w:r>
        <w:rPr>
          <w:sz w:val="20"/>
          <w:szCs w:val="20"/>
          <w:color w:val="auto"/>
        </w:rPr>
        <w:tab/>
      </w:r>
      <w:r>
        <w:rPr>
          <w:rFonts w:ascii="MS PGothic" w:cs="MS PGothic" w:eastAsia="MS PGothic" w:hAnsi="MS PGothic"/>
          <w:sz w:val="30"/>
          <w:szCs w:val="30"/>
          <w:color w:val="auto"/>
        </w:rPr>
        <w:t>☐</w:t>
      </w:r>
    </w:p>
    <w:p>
      <w:pPr>
        <w:spacing w:after="0" w:line="728" w:lineRule="exact"/>
        <w:rPr>
          <w:sz w:val="20"/>
          <w:szCs w:val="20"/>
          <w:color w:val="auto"/>
        </w:rPr>
      </w:pPr>
    </w:p>
    <w:p>
      <w:pPr>
        <w:sectPr>
          <w:pgSz w:w="11900" w:h="16838" w:orient="portrait"/>
          <w:cols w:equalWidth="0" w:num="3">
            <w:col w:w="5640" w:space="189"/>
            <w:col w:w="3711" w:space="180"/>
            <w:col w:w="1700"/>
          </w:cols>
          <w:pgMar w:left="240" w:top="249" w:right="239" w:bottom="1440" w:gutter="0" w:footer="0" w:header="0"/>
        </w:sectPr>
      </w:pPr>
    </w:p>
    <w:p>
      <w:pPr>
        <w:spacing w:after="0" w:line="19" w:lineRule="exact"/>
        <w:rPr>
          <w:sz w:val="20"/>
          <w:szCs w:val="20"/>
          <w:color w:val="auto"/>
        </w:rPr>
      </w:pPr>
    </w:p>
    <w:p>
      <w:pPr>
        <w:ind w:left="6040" w:right="260" w:hanging="211"/>
        <w:spacing w:after="0" w:line="239" w:lineRule="auto"/>
        <w:tabs>
          <w:tab w:leader="none" w:pos="6027"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Annual Meeting</w:t>
      </w:r>
    </w:p>
    <w:p>
      <w:pPr>
        <w:spacing w:after="0" w:line="177"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COMPANY ID:</w:t>
      </w:r>
    </w:p>
    <w:p>
      <w:pPr>
        <w:spacing w:after="0" w:line="352"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PROXY NUMBER:</w:t>
      </w:r>
    </w:p>
    <w:p>
      <w:pPr>
        <w:spacing w:after="0" w:line="352"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ACCOUNT NUMBER:</w:t>
      </w:r>
    </w:p>
    <w:p>
      <w:pPr>
        <w:spacing w:after="0" w:line="200" w:lineRule="exact"/>
        <w:rPr>
          <w:sz w:val="20"/>
          <w:szCs w:val="20"/>
          <w:color w:val="auto"/>
        </w:rPr>
      </w:pPr>
    </w:p>
    <w:p>
      <w:pPr>
        <w:spacing w:after="0" w:line="219" w:lineRule="exact"/>
        <w:rPr>
          <w:sz w:val="20"/>
          <w:szCs w:val="20"/>
          <w:color w:val="auto"/>
        </w:rPr>
      </w:pPr>
    </w:p>
    <w:p>
      <w:pPr>
        <w:spacing w:after="0"/>
        <w:tabs>
          <w:tab w:leader="none" w:pos="4240" w:val="left"/>
          <w:tab w:leader="none" w:pos="9260" w:val="left"/>
          <w:tab w:leader="none" w:pos="11060" w:val="left"/>
        </w:tabs>
        <w:rPr>
          <w:sz w:val="20"/>
          <w:szCs w:val="20"/>
          <w:color w:val="auto"/>
        </w:rPr>
      </w:pPr>
      <w:r>
        <w:rPr>
          <w:rFonts w:ascii="Arial" w:cs="Arial" w:eastAsia="Arial" w:hAnsi="Arial"/>
          <w:sz w:val="27"/>
          <w:szCs w:val="27"/>
          <w:b w:val="1"/>
          <w:bCs w:val="1"/>
          <w:color w:val="auto"/>
          <w:vertAlign w:val="superscript"/>
        </w:rPr>
        <w:t>Signature:</w:t>
      </w:r>
      <w:r>
        <w:rPr>
          <w:sz w:val="20"/>
          <w:szCs w:val="20"/>
          <w:color w:val="auto"/>
        </w:rPr>
        <w:tab/>
      </w:r>
      <w:r>
        <w:rPr>
          <w:rFonts w:ascii="Arial" w:cs="Arial" w:eastAsia="Arial" w:hAnsi="Arial"/>
          <w:sz w:val="14"/>
          <w:szCs w:val="14"/>
          <w:b w:val="1"/>
          <w:bCs w:val="1"/>
          <w:color w:val="auto"/>
        </w:rPr>
        <w:t>Signature (if joint):</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2"/>
          <w:szCs w:val="12"/>
          <w:b w:val="1"/>
          <w:bCs w:val="1"/>
          <w:color w:val="auto"/>
        </w:rPr>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-7620</wp:posOffset>
            </wp:positionV>
            <wp:extent cx="64490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49" w:lineRule="exact"/>
        <w:rPr>
          <w:sz w:val="20"/>
          <w:szCs w:val="20"/>
          <w:color w:val="auto"/>
        </w:rPr>
      </w:pPr>
    </w:p>
    <w:p>
      <w:pPr>
        <w:ind w:right="200"/>
        <w:spacing w:after="0" w:line="297" w:lineRule="auto"/>
        <w:rPr>
          <w:sz w:val="20"/>
          <w:szCs w:val="20"/>
          <w:color w:val="auto"/>
        </w:rPr>
      </w:pPr>
      <w:r>
        <w:rPr>
          <w:rFonts w:ascii="Arial" w:cs="Arial" w:eastAsia="Arial" w:hAnsi="Arial"/>
          <w:sz w:val="12"/>
          <w:szCs w:val="12"/>
          <w:color w:val="auto"/>
        </w:rPr>
        <w:t>Please sign exactly as name appears hereon. When shares are held by joint owners, both should sign. When signing as attorney, executor, administrator, personal representative, trustee or guardian, please give title as such. If a corporation, please sign in full corporate name by President or other authorized officer. If a partnership, please sign in partnership name by authorized person.</w:t>
      </w:r>
    </w:p>
    <w:sectPr>
      <w:pgSz w:w="11900" w:h="16838" w:orient="portrait"/>
      <w:cols w:equalWidth="0" w:num="1">
        <w:col w:w="11420"/>
      </w:cols>
      <w:pgMar w:left="240" w:top="24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lvl w:ilvl="1">
      <w:lvlJc w:val="left"/>
      <w:lvlText w:val="(%2)"/>
      <w:numFmt w:val="decimal"/>
      <w:start w:val="1"/>
    </w:lvl>
  </w:abstractNum>
  <w:abstractNum w:abstractNumId="4">
    <w:nsid w:val="737B8DDC"/>
    <w:multiLevelType w:val="hybridMultilevel"/>
    <w:lvl w:ilvl="0">
      <w:lvlJc w:val="left"/>
      <w:lvlText w:val="\emdash "/>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1)"/>
      <w:numFmt w:val="decimal"/>
      <w:start w:val="6"/>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lowerRoman"/>
      <w:start w:val="2"/>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3"/>
    </w:lvl>
  </w:abstractNum>
  <w:abstractNum w:abstractNumId="17">
    <w:nsid w:val="5C482A97"/>
    <w:multiLevelType w:val="hybridMultilevel"/>
    <w:lvl w:ilvl="0">
      <w:lvlJc w:val="left"/>
      <w:lvlText w:val="(%1)"/>
      <w:numFmt w:val="decimal"/>
      <w:start w:val="6"/>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2"/>
    </w:lvl>
  </w:abstractNum>
  <w:abstractNum w:abstractNumId="20">
    <w:nsid w:val="51EAD36B"/>
    <w:multiLevelType w:val="hybridMultilevel"/>
    <w:lvl w:ilvl="0">
      <w:lvlJc w:val="left"/>
      <w:lvlText w:val="(%1)"/>
      <w:numFmt w:val="decimal"/>
      <w:start w:val="6"/>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5"/>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4"/>
    </w:lvl>
  </w:abstractNum>
  <w:abstractNum w:abstractNumId="26">
    <w:nsid w:val="6A2342EC"/>
    <w:multiLevelType w:val="hybridMultilevel"/>
    <w:lvl w:ilvl="0">
      <w:lvlJc w:val="left"/>
      <w:lvlText w:val="%1."/>
      <w:numFmt w:val="decimal"/>
      <w:start w:val="1"/>
    </w:lvl>
    <w:lvl w:ilvl="1">
      <w:lvlJc w:val="left"/>
      <w:lvlText w:val="(%2)"/>
      <w:numFmt w:val="lowerLetter"/>
      <w:start w:val="1"/>
    </w:lvl>
  </w:abstractNum>
  <w:abstractNum w:abstractNumId="27">
    <w:nsid w:val="2A487CB0"/>
    <w:multiLevelType w:val="hybridMultilevel"/>
    <w:lvl w:ilvl="0">
      <w:lvlJc w:val="left"/>
      <w:lvlText w:val="%1"/>
      <w:numFmt w:val="lowerRoman"/>
      <w:start w:val="1"/>
    </w:lvl>
    <w:lvl w:ilvl="1">
      <w:lvlJc w:val="left"/>
      <w:lvlText w:val="(%2)"/>
      <w:numFmt w:val="lowerLetter"/>
      <w:start w:val="8"/>
    </w:lvl>
  </w:abstractNum>
  <w:abstractNum w:abstractNumId="28">
    <w:nsid w:val="1D4ED43B"/>
    <w:multiLevelType w:val="hybridMultilevel"/>
    <w:lvl w:ilvl="0">
      <w:lvlJc w:val="left"/>
      <w:lvlText w:val="(%1)"/>
      <w:numFmt w:val="lowerRoman"/>
      <w:start w:val="2"/>
    </w:lvl>
    <w:lvl w:ilvl="1">
      <w:lvlJc w:val="left"/>
      <w:lvlText w:val="(%2)"/>
      <w:numFmt w:val="lowerLetter"/>
      <w:start w:val="12"/>
    </w:lvl>
  </w:abstractNum>
  <w:abstractNum w:abstractNumId="29">
    <w:nsid w:val="725A06FB"/>
    <w:multiLevelType w:val="hybridMultilevel"/>
    <w:lvl w:ilvl="0">
      <w:lvlJc w:val="left"/>
      <w:lvlText w:val="(%1)"/>
      <w:numFmt w:val="lowerLetter"/>
      <w:start w:val="20"/>
    </w:lvl>
  </w:abstractNum>
  <w:abstractNum w:abstractNumId="30">
    <w:nsid w:val="2CD89A32"/>
    <w:multiLevelType w:val="hybridMultilevel"/>
    <w:lvl w:ilvl="0">
      <w:lvlJc w:val="left"/>
      <w:lvlText w:val="(%1)"/>
      <w:numFmt w:val="lowerLetter"/>
      <w:start w:val="27"/>
    </w:lvl>
  </w:abstractNum>
  <w:abstractNum w:abstractNumId="31">
    <w:nsid w:val="57E4CCAF"/>
    <w:multiLevelType w:val="hybridMultilevel"/>
    <w:lvl w:ilvl="0">
      <w:lvlJc w:val="left"/>
      <w:lvlText w:val="(%1)"/>
      <w:numFmt w:val="lowerLetter"/>
      <w:start w:val="30"/>
    </w:lvl>
  </w:abstractNum>
  <w:abstractNum w:abstractNumId="32">
    <w:nsid w:val="7A6D8D3C"/>
    <w:multiLevelType w:val="hybridMultilevel"/>
    <w:lvl w:ilvl="0">
      <w:lvlJc w:val="left"/>
      <w:lvlText w:val="%1"/>
      <w:numFmt w:val="decimal"/>
      <w:start w:val="1"/>
    </w:lvl>
    <w:lvl w:ilvl="1">
      <w:lvlJc w:val="left"/>
      <w:lvlText w:val="(%2)"/>
      <w:numFmt w:val="lowerLetter"/>
      <w:start w:val="44"/>
    </w:lvl>
  </w:abstractNum>
  <w:abstractNum w:abstractNumId="33">
    <w:nsid w:val="4B588F54"/>
    <w:multiLevelType w:val="hybridMultilevel"/>
    <w:lvl w:ilvl="0">
      <w:lvlJc w:val="left"/>
      <w:lvlText w:val="%1."/>
      <w:numFmt w:val="decimal"/>
      <w:start w:val="3"/>
    </w:lvl>
    <w:lvl w:ilvl="1">
      <w:lvlJc w:val="left"/>
      <w:lvlText w:val="(%2)"/>
      <w:numFmt w:val="lowerLetter"/>
      <w:start w:val="1"/>
    </w:lvl>
  </w:abstractNum>
  <w:abstractNum w:abstractNumId="34">
    <w:nsid w:val="542289EC"/>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35">
    <w:nsid w:val="6DE91B18"/>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1"/>
    </w:lvl>
    <w:lvl w:ilvl="3">
      <w:lvlJc w:val="left"/>
      <w:lvlText w:val="(%4)"/>
      <w:numFmt w:val="lowerRoman"/>
      <w:start w:val="2"/>
    </w:lvl>
  </w:abstractNum>
  <w:abstractNum w:abstractNumId="36">
    <w:nsid w:val="38437FD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7">
    <w:nsid w:val="7644A4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8">
    <w:nsid w:val="32FFF90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9">
    <w:nsid w:val="684A481A"/>
    <w:multiLevelType w:val="hybridMultilevel"/>
    <w:lvl w:ilvl="0">
      <w:lvlJc w:val="left"/>
      <w:lvlText w:val="%1"/>
      <w:numFmt w:val="lowerLetter"/>
      <w:start w:val="1"/>
    </w:lvl>
    <w:lvl w:ilvl="1">
      <w:lvlJc w:val="left"/>
      <w:lvlText w:val="(%2)"/>
      <w:numFmt w:val="lowerRoman"/>
      <w:start w:val="2"/>
    </w:lvl>
  </w:abstractNum>
  <w:abstractNum w:abstractNumId="40">
    <w:nsid w:val="579478FE"/>
    <w:multiLevelType w:val="hybridMultilevel"/>
    <w:lvl w:ilvl="0">
      <w:lvlJc w:val="left"/>
      <w:lvlText w:val="(%1)"/>
      <w:numFmt w:val="lowerLetter"/>
      <w:start w:val="5"/>
    </w:lvl>
    <w:lvl w:ilvl="1">
      <w:lvlJc w:val="left"/>
      <w:lvlText w:val="(%2)"/>
      <w:numFmt w:val="lowerRoman"/>
      <w:start w:val="1"/>
    </w:lvl>
  </w:abstractNum>
  <w:abstractNum w:abstractNumId="41">
    <w:nsid w:val="749ABB43"/>
    <w:multiLevelType w:val="hybridMultilevel"/>
    <w:lvl w:ilvl="0">
      <w:lvlJc w:val="left"/>
      <w:lvlText w:val="%1"/>
      <w:numFmt w:val="lowerLetter"/>
      <w:start w:val="1"/>
    </w:lvl>
    <w:lvl w:ilvl="1">
      <w:lvlJc w:val="left"/>
      <w:lvlText w:val="(%2)"/>
      <w:numFmt w:val="lowerLetter"/>
      <w:start w:val="61"/>
    </w:lvl>
  </w:abstractNum>
  <w:abstractNum w:abstractNumId="42">
    <w:nsid w:val="3DC240FB"/>
    <w:multiLevelType w:val="hybridMultilevel"/>
    <w:lvl w:ilvl="0">
      <w:lvlJc w:val="left"/>
      <w:lvlText w:val="(%1)"/>
      <w:numFmt w:val="lowerLetter"/>
      <w:start w:val="6"/>
    </w:lvl>
    <w:lvl w:ilvl="1">
      <w:lvlJc w:val="left"/>
      <w:lvlText w:val="%2"/>
      <w:numFmt w:val="lowerLetter"/>
      <w:start w:val="1"/>
    </w:lvl>
  </w:abstractNum>
  <w:abstractNum w:abstractNumId="43">
    <w:nsid w:val="1BA026FA"/>
    <w:multiLevelType w:val="hybridMultilevel"/>
    <w:lvl w:ilvl="0">
      <w:lvlJc w:val="left"/>
      <w:lvlText w:val="%1."/>
      <w:numFmt w:val="decimal"/>
      <w:start w:val="7"/>
    </w:lvl>
    <w:lvl w:ilvl="1">
      <w:lvlJc w:val="left"/>
      <w:lvlText w:val="(%2)"/>
      <w:numFmt w:val="lowerLetter"/>
      <w:start w:val="1"/>
    </w:lvl>
  </w:abstractNum>
  <w:abstractNum w:abstractNumId="44">
    <w:nsid w:val="79A1DEA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5">
    <w:nsid w:val="75C6C3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6">
    <w:nsid w:val="12E685FB"/>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47">
    <w:nsid w:val="70C6A52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8">
    <w:nsid w:val="520EEDD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9">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0">
    <w:nsid w:val="4F4EF00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1">
    <w:nsid w:val="23F9C13C"/>
    <w:multiLevelType w:val="hybridMultilevel"/>
    <w:lvl w:ilvl="0">
      <w:lvlJc w:val="left"/>
      <w:lvlText w:val="(%1)"/>
      <w:numFmt w:val="lowerLetter"/>
      <w:start w:val="3"/>
    </w:lvl>
    <w:lvl w:ilvl="1">
      <w:lvlJc w:val="left"/>
      <w:lvlText w:val="(%2)"/>
      <w:numFmt w:val="lowerRoman"/>
      <w:start w:val="1"/>
    </w:lvl>
  </w:abstractNum>
  <w:abstractNum w:abstractNumId="52">
    <w:nsid w:val="649BB77C"/>
    <w:multiLevelType w:val="hybridMultilevel"/>
    <w:lvl w:ilvl="0">
      <w:lvlJc w:val="left"/>
      <w:lvlText w:val="%1"/>
      <w:numFmt w:val="lowerLetter"/>
      <w:start w:val="1"/>
    </w:lvl>
    <w:lvl w:ilvl="1">
      <w:lvlJc w:val="left"/>
      <w:lvlText w:val="(%2)"/>
      <w:numFmt w:val="lowerLetter"/>
      <w:start w:val="4"/>
    </w:lvl>
  </w:abstractNum>
  <w:abstractNum w:abstractNumId="53">
    <w:nsid w:val="275AC794"/>
    <w:multiLevelType w:val="hybridMultilevel"/>
    <w:lvl w:ilvl="0">
      <w:lvlJc w:val="left"/>
      <w:lvlText w:val="(%1)"/>
      <w:numFmt w:val="lowerLetter"/>
      <w:start w:val="9"/>
    </w:lvl>
    <w:lvl w:ilvl="1">
      <w:lvlJc w:val="left"/>
      <w:lvlText w:val="(%2)"/>
      <w:numFmt w:val="lowerLetter"/>
      <w:start w:val="7"/>
    </w:lvl>
  </w:abstractNum>
  <w:abstractNum w:abstractNumId="54">
    <w:nsid w:val="39386575"/>
    <w:multiLevelType w:val="hybridMultilevel"/>
    <w:lvl w:ilvl="0">
      <w:lvlJc w:val="left"/>
      <w:lvlText w:val="%1"/>
      <w:numFmt w:val="lowerLetter"/>
      <w:start w:val="1"/>
    </w:lvl>
    <w:lvl w:ilvl="1">
      <w:lvlJc w:val="left"/>
      <w:lvlText w:val="(%2)"/>
      <w:numFmt w:val="lowerLetter"/>
      <w:start w:val="8"/>
    </w:lvl>
  </w:abstractNum>
  <w:abstractNum w:abstractNumId="55">
    <w:nsid w:val="1CF10FD8"/>
    <w:multiLevelType w:val="hybridMultilevel"/>
    <w:lvl w:ilvl="0">
      <w:lvlJc w:val="left"/>
      <w:lvlText w:val="(%1)"/>
      <w:numFmt w:val="lowerLetter"/>
      <w:start w:val="2"/>
    </w:lvl>
    <w:lvl w:ilvl="1">
      <w:lvlJc w:val="left"/>
      <w:lvlText w:val="%2"/>
      <w:numFmt w:val="lowerLetter"/>
      <w:start w:val="1"/>
    </w:lvl>
  </w:abstractNum>
  <w:abstractNum w:abstractNumId="56">
    <w:nsid w:val="180115BE"/>
    <w:multiLevelType w:val="hybridMultilevel"/>
    <w:lvl w:ilvl="0">
      <w:lvlJc w:val="left"/>
      <w:lvlText w:val="%1."/>
      <w:numFmt w:val="decimal"/>
      <w:start w:val="2"/>
    </w:lvl>
  </w:abstractNum>
  <w:abstractNum w:abstractNumId="57">
    <w:nsid w:val="235BA861"/>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2019-12-10T21:22:32Z</dcterms:created>
  <dcterms:modified xsi:type="dcterms:W3CDTF">2019-12-10T21:22:32Z</dcterms:modified>
</cp:coreProperties>
</file>