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3880" w:right="3880" w:hanging="3872"/>
        <w:spacing w:after="0" w:line="515" w:lineRule="auto"/>
        <w:tabs>
          <w:tab w:leader="none" w:pos="462"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June 30, 2022</w:t>
      </w:r>
    </w:p>
    <w:p>
      <w:pPr>
        <w:spacing w:after="0" w:line="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-5080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172720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36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0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04-3562325</w:t>
            </w:r>
          </w:p>
        </w:tc>
      </w:tr>
      <w:tr>
        <w:trPr>
          <w:trHeight w:val="238"/>
        </w:trPr>
        <w:tc>
          <w:tcPr>
            <w:tcW w:w="36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50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36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4960 Peachtree Industrial Blvd.,</w:t>
            </w:r>
          </w:p>
        </w:tc>
        <w:tc>
          <w:tcPr>
            <w:tcW w:w="5020" w:type="dxa"/>
            <w:vAlign w:val="bottom"/>
          </w:tcPr>
          <w:p>
            <w:pPr>
              <w:spacing w:after="0"/>
              <w:rPr>
                <w:sz w:val="24"/>
                <w:szCs w:val="24"/>
                <w:color w:val="auto"/>
              </w:rPr>
            </w:pPr>
          </w:p>
        </w:tc>
      </w:tr>
      <w:tr>
        <w:trPr>
          <w:trHeight w:val="216"/>
        </w:trPr>
        <w:tc>
          <w:tcPr>
            <w:tcW w:w="36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Suite 240, Norcross, GA</w:t>
            </w:r>
          </w:p>
        </w:tc>
        <w:tc>
          <w:tcPr>
            <w:tcW w:w="502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30071</w:t>
            </w:r>
          </w:p>
        </w:tc>
      </w:tr>
      <w:tr>
        <w:trPr>
          <w:trHeight w:val="238"/>
        </w:trPr>
        <w:tc>
          <w:tcPr>
            <w:tcW w:w="36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502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32"/>
        </w:trPr>
        <w:tc>
          <w:tcPr>
            <w:tcW w:w="3680" w:type="dxa"/>
            <w:vAlign w:val="bottom"/>
          </w:tcPr>
          <w:p>
            <w:pPr>
              <w:spacing w:after="0"/>
              <w:rPr>
                <w:sz w:val="24"/>
                <w:szCs w:val="24"/>
                <w:color w:val="auto"/>
              </w:rPr>
            </w:pPr>
          </w:p>
        </w:tc>
        <w:tc>
          <w:tcPr>
            <w:tcW w:w="5020" w:type="dxa"/>
            <w:vAlign w:val="bottom"/>
          </w:tcPr>
          <w:p>
            <w:pPr>
              <w:jc w:val="right"/>
              <w:ind w:right="3510"/>
              <w:spacing w:after="0"/>
              <w:rPr>
                <w:sz w:val="20"/>
                <w:szCs w:val="20"/>
                <w:color w:val="auto"/>
              </w:rPr>
            </w:pPr>
            <w:r>
              <w:rPr>
                <w:rFonts w:ascii="Times New Roman" w:cs="Times New Roman" w:eastAsia="Times New Roman" w:hAnsi="Times New Roman"/>
                <w:sz w:val="18"/>
                <w:szCs w:val="18"/>
                <w:b w:val="1"/>
                <w:bCs w:val="1"/>
                <w:color w:val="auto"/>
              </w:rPr>
              <w:t>(678) 620 -3186</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32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0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3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0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3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32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GALT</w:t>
            </w:r>
          </w:p>
        </w:tc>
        <w:tc>
          <w:tcPr>
            <w:tcW w:w="40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75"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7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No</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August 10, 2022 was 59,395,805.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00" w:type="dxa"/>
            <w:vAlign w:val="bottom"/>
            <w:gridSpan w:val="10"/>
          </w:tcPr>
          <w:p>
            <w:pPr>
              <w:jc w:val="center"/>
              <w:ind w:right="276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 (unaudited)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2022 and December 31, 2021</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2022 and 2021</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2022 and 2021</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rPr>
                <w:sz w:val="15"/>
                <w:szCs w:val="15"/>
                <w:color w:val="auto"/>
              </w:rPr>
            </w:pP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Redeemable Convertible Preferred Stock and Stockholders’ Equity (Deficit)</w:t>
            </w: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9200" w:type="dxa"/>
            <w:vAlign w:val="bottom"/>
            <w:tcBorders>
              <w:top w:val="single" w:sz="8" w:color="0000EE"/>
            </w:tcBorders>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for the Three and Six Months Ended June 30, 2022 and 2021</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900" w:type="dxa"/>
            <w:vAlign w:val="bottom"/>
            <w:gridSpan w:val="10"/>
            <w:shd w:val="clear" w:color="auto" w:fill="CCEEFF"/>
          </w:tcPr>
          <w:p>
            <w:pPr>
              <w:jc w:val="center"/>
              <w:ind w:right="278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0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4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39,648</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868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dividends payable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 payable and accrued interest, net of debt discount – related party (Note 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29,048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(Note 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 redeemable convertible preferred stock; 1,000 shares authorized, 176 shares issued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June 30, 2022 and December 31, 2021, redemption value: $8,388,000, liquidation value: $1,760,000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June 30, 2022</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Undesignated stock, $0.01 par value; 20,000,000 shares authorized, 20,000,000 designated at June 30, 2022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 12% convertible preferred stock; 1,742,500 shares authorized, 1,260,000 and 1,302,500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outstanding at June 30, 2022 and December 31, 2021, respectively; liquidation value $1,260,000 and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$1,302,500 at June 30, 2022 and December 31, 2021, respectively</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at June 30, 2022 and December 31, 2021,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59,395,805 and 59,341,305 issued and outstanding at June 30, 2022 and December 31, 2021, respectively</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271,001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deficit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(290,287)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(270,694)</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(16,946)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6"/>
                <w:szCs w:val="16"/>
                <w:color w:val="auto"/>
              </w:rPr>
            </w:pPr>
          </w:p>
        </w:tc>
        <w:tc>
          <w:tcPr>
            <w:tcW w:w="13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except per share</w:t>
            </w:r>
          </w:p>
        </w:tc>
        <w:tc>
          <w:tcPr>
            <w:tcW w:w="220" w:type="dxa"/>
            <w:vAlign w:val="bottom"/>
          </w:tcPr>
          <w:p>
            <w:pPr>
              <w:spacing w:after="0"/>
              <w:rPr>
                <w:sz w:val="16"/>
                <w:szCs w:val="16"/>
                <w:color w:val="auto"/>
              </w:rPr>
            </w:pPr>
          </w:p>
        </w:tc>
        <w:tc>
          <w:tcPr>
            <w:tcW w:w="11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3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except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142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data)</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16,132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11,349</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3,465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loss</w:t>
            </w:r>
          </w:p>
        </w:tc>
        <w:tc>
          <w:tcPr>
            <w:tcW w:w="240" w:type="dxa"/>
            <w:vAlign w:val="bottom"/>
          </w:tcPr>
          <w:p>
            <w:pPr>
              <w:spacing w:after="0"/>
              <w:rPr>
                <w:sz w:val="19"/>
                <w:szCs w:val="19"/>
                <w:color w:val="auto"/>
              </w:rPr>
            </w:pPr>
          </w:p>
        </w:tc>
        <w:tc>
          <w:tcPr>
            <w:tcW w:w="11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(9,662)</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(8,193)</w:t>
            </w:r>
          </w:p>
        </w:tc>
        <w:tc>
          <w:tcPr>
            <w:tcW w:w="24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(19,597)</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(14,510)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240" w:type="dxa"/>
            <w:vAlign w:val="bottom"/>
          </w:tcPr>
          <w:p>
            <w:pPr>
              <w:spacing w:after="0"/>
              <w:rPr>
                <w:sz w:val="19"/>
                <w:szCs w:val="19"/>
                <w:color w:val="auto"/>
              </w:rPr>
            </w:pPr>
          </w:p>
        </w:tc>
        <w:tc>
          <w:tcPr>
            <w:tcW w:w="11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504</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(9,613)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(19,545)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(14,787)</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(9,677)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(19,593)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(14,854)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40" w:type="dxa"/>
            <w:vAlign w:val="bottom"/>
          </w:tcPr>
          <w:p>
            <w:pPr>
              <w:spacing w:after="0"/>
              <w:rPr>
                <w:sz w:val="20"/>
                <w:szCs w:val="20"/>
                <w:color w:val="auto"/>
              </w:rPr>
            </w:pPr>
          </w:p>
        </w:tc>
        <w:tc>
          <w:tcPr>
            <w:tcW w:w="11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59,389</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58,312</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59,372</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57,725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(19,545)</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(14,787)</w:t>
            </w:r>
          </w:p>
        </w:tc>
        <w:tc>
          <w:tcPr>
            <w:tcW w:w="0" w:type="dxa"/>
            <w:vAlign w:val="bottom"/>
          </w:tcPr>
          <w:p>
            <w:pPr>
              <w:spacing w:after="0"/>
              <w:rPr>
                <w:sz w:val="1"/>
                <w:szCs w:val="1"/>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8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right to use lease asset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8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2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(504)</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3"/>
        </w:trPr>
        <w:tc>
          <w:tcPr>
            <w:tcW w:w="8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interest on convertible notes payable - related party</w:t>
            </w: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86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(15,470)</w:t>
            </w:r>
          </w:p>
        </w:tc>
        <w:tc>
          <w:tcPr>
            <w:tcW w:w="2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convertible note payable – related party</w:t>
            </w: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3"/>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24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(15,470)</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4,456</w:t>
            </w: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24,178</w:t>
            </w:r>
          </w:p>
        </w:tc>
        <w:tc>
          <w:tcPr>
            <w:tcW w:w="2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31,598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preferred stock dividends in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derivative related to related party convertible note payable</w:t>
            </w: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Reclassification of accrued bonus to additional paid in capital</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right to use lease asset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Series C Super</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Redeemable</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45"/>
        </w:trPr>
        <w:tc>
          <w:tcPr>
            <w:tcW w:w="8680" w:type="dxa"/>
            <w:vAlign w:val="bottom"/>
          </w:tcPr>
          <w:p>
            <w:pPr>
              <w:spacing w:after="0"/>
              <w:rPr>
                <w:sz w:val="21"/>
                <w:szCs w:val="21"/>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1,723</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44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Series A 12%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4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4220" w:type="dxa"/>
            <w:vAlign w:val="bottom"/>
          </w:tcPr>
          <w:p>
            <w:pPr>
              <w:spacing w:after="0"/>
              <w:rPr>
                <w:sz w:val="21"/>
                <w:szCs w:val="21"/>
                <w:color w:val="auto"/>
              </w:rPr>
            </w:pPr>
          </w:p>
        </w:tc>
        <w:tc>
          <w:tcPr>
            <w:tcW w:w="18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4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9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5"/>
        </w:trPr>
        <w:tc>
          <w:tcPr>
            <w:tcW w:w="4220" w:type="dxa"/>
            <w:vAlign w:val="bottom"/>
          </w:tcPr>
          <w:p>
            <w:pPr>
              <w:spacing w:after="0"/>
              <w:rPr>
                <w:sz w:val="21"/>
                <w:szCs w:val="21"/>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1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527</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57,186,655</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262,264</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(246,336)</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16,511</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Series A 12% convertible preferred stock dividend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 redeemable convertible preferred</w:t>
            </w:r>
          </w:p>
        </w:tc>
        <w:tc>
          <w:tcPr>
            <w:tcW w:w="8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dividend</w:t>
            </w: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845,214</w:t>
            </w:r>
          </w:p>
        </w:tc>
        <w:tc>
          <w:tcPr>
            <w:tcW w:w="52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3,864</w:t>
            </w: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 exercise of warrants and</w:t>
            </w:r>
          </w:p>
        </w:tc>
        <w:tc>
          <w:tcPr>
            <w:tcW w:w="8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1,243,162</w:t>
            </w:r>
          </w:p>
        </w:tc>
        <w:tc>
          <w:tcPr>
            <w:tcW w:w="5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2,951</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(8,449)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(8,449)</w:t>
            </w:r>
          </w:p>
        </w:tc>
      </w:tr>
      <w:tr>
        <w:trPr>
          <w:trHeight w:val="27"/>
        </w:trPr>
        <w:tc>
          <w:tcPr>
            <w:tcW w:w="42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140" w:type="dxa"/>
            <w:vAlign w:val="bottom"/>
          </w:tcPr>
          <w:p>
            <w:pPr>
              <w:spacing w:after="0"/>
              <w:rPr>
                <w:sz w:val="18"/>
                <w:szCs w:val="18"/>
                <w:color w:val="auto"/>
              </w:rPr>
            </w:pPr>
          </w:p>
        </w:tc>
        <w:tc>
          <w:tcPr>
            <w:tcW w:w="460" w:type="dxa"/>
            <w:vAlign w:val="bottom"/>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527</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59,275,031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269,657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(254,850) $</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15,393</w:t>
            </w:r>
          </w:p>
        </w:tc>
      </w:tr>
      <w:tr>
        <w:trPr>
          <w:trHeight w:val="20"/>
        </w:trPr>
        <w:tc>
          <w:tcPr>
            <w:tcW w:w="4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527</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59,388,518</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272,108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(280,610)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(7,916)</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Series A 12% convertible preferred stock dividend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 redeemable convertible preferred</w:t>
            </w:r>
          </w:p>
        </w:tc>
        <w:tc>
          <w:tcPr>
            <w:tcW w:w="8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dividend</w:t>
            </w: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 conversion of Series A</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(42,500)</w:t>
            </w:r>
          </w:p>
        </w:tc>
        <w:tc>
          <w:tcPr>
            <w:tcW w:w="46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7,287</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647</w:t>
            </w: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(9,613)</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(9,613)</w:t>
            </w: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1,260,000</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510</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59,395,805</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272,772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(290,287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(16,946)</w:t>
            </w:r>
          </w:p>
        </w:tc>
        <w:tc>
          <w:tcPr>
            <w:tcW w:w="80" w:type="dxa"/>
            <w:vAlign w:val="bottom"/>
            <w:tcBorders>
              <w:bottom w:val="single" w:sz="8" w:color="CCEEFF"/>
            </w:tcBorders>
            <w:shd w:val="clear" w:color="auto" w:fill="CCEEFF"/>
          </w:tcPr>
          <w:p>
            <w:pPr>
              <w:spacing w:after="0"/>
              <w:rPr>
                <w:sz w:val="22"/>
                <w:szCs w:val="22"/>
                <w:color w:val="auto"/>
              </w:rPr>
            </w:pPr>
          </w:p>
        </w:tc>
      </w:tr>
      <w:tr>
        <w:trPr>
          <w:trHeight w:val="564"/>
        </w:trPr>
        <w:tc>
          <w:tcPr>
            <w:tcW w:w="4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
        </w:trPr>
        <w:tc>
          <w:tcPr>
            <w:tcW w:w="4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4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Series A 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4220" w:type="dxa"/>
            <w:vAlign w:val="bottom"/>
          </w:tcPr>
          <w:p>
            <w:pPr>
              <w:spacing w:after="0"/>
              <w:rPr>
                <w:sz w:val="21"/>
                <w:szCs w:val="21"/>
                <w:color w:val="auto"/>
              </w:rPr>
            </w:pPr>
          </w:p>
        </w:tc>
        <w:tc>
          <w:tcPr>
            <w:tcW w:w="18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4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98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5"/>
        </w:trPr>
        <w:tc>
          <w:tcPr>
            <w:tcW w:w="4220" w:type="dxa"/>
            <w:vAlign w:val="bottom"/>
          </w:tcPr>
          <w:p>
            <w:pPr>
              <w:spacing w:after="0"/>
              <w:rPr>
                <w:sz w:val="21"/>
                <w:szCs w:val="21"/>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527</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57,077,055</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261,883</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(239,996)</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22,470</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Series A 12% convertible preferred stock dividend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13,025</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 redeemable convertible preferred</w:t>
            </w:r>
          </w:p>
        </w:tc>
        <w:tc>
          <w:tcPr>
            <w:tcW w:w="8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dividend</w:t>
            </w: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17,600</w:t>
            </w: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845,214</w:t>
            </w:r>
          </w:p>
        </w:tc>
        <w:tc>
          <w:tcPr>
            <w:tcW w:w="52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3,864</w:t>
            </w: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 exercise of warrants and</w:t>
            </w:r>
          </w:p>
        </w:tc>
        <w:tc>
          <w:tcPr>
            <w:tcW w:w="8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1,289,444</w:t>
            </w:r>
          </w:p>
        </w:tc>
        <w:tc>
          <w:tcPr>
            <w:tcW w:w="5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2,951</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32,693</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(14,787)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(14,787)</w:t>
            </w:r>
          </w:p>
        </w:tc>
      </w:tr>
      <w:tr>
        <w:trPr>
          <w:trHeight w:val="27"/>
        </w:trPr>
        <w:tc>
          <w:tcPr>
            <w:tcW w:w="422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140" w:type="dxa"/>
            <w:vAlign w:val="bottom"/>
          </w:tcPr>
          <w:p>
            <w:pPr>
              <w:spacing w:after="0"/>
              <w:rPr>
                <w:sz w:val="18"/>
                <w:szCs w:val="18"/>
                <w:color w:val="auto"/>
              </w:rPr>
            </w:pP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527</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59,275,031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269,657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(254,850) $</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15,393</w:t>
            </w:r>
          </w:p>
        </w:tc>
      </w:tr>
      <w:tr>
        <w:trPr>
          <w:trHeight w:val="20"/>
        </w:trPr>
        <w:tc>
          <w:tcPr>
            <w:tcW w:w="4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527</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59,341,305</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271,001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(270,694)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Series A 12% convertible preferred stock dividend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13,025</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 redeemable convertible preferred</w:t>
            </w:r>
          </w:p>
        </w:tc>
        <w:tc>
          <w:tcPr>
            <w:tcW w:w="8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dividend</w:t>
            </w: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17,600</w:t>
            </w: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 conversion of Series A</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(42,500)</w:t>
            </w:r>
          </w:p>
        </w:tc>
        <w:tc>
          <w:tcPr>
            <w:tcW w:w="44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7,287</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16,588</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1,705</w:t>
            </w: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(19,545)</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(19,545)</w:t>
            </w:r>
          </w:p>
        </w:tc>
      </w:tr>
      <w:tr>
        <w:trPr>
          <w:trHeight w:val="256"/>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1,260,000</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510</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59,395,805</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272,772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(290,287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(16,946)</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0"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reported in this Quarterly Report on Form 10-Q reflect all adjustments which are, in the opinion of management, necessary to present fairly the financial position of the Company as of June 30, 2022 and the results of its operations for the three and six months ended June 30, 2022 and 2021 and its cash flows for the three and six months ended June 30, 2022 and 2021. All adjustments made to the interim financial statements include all those of a normal and recurring nature. Amounts presented in the condensed consolidated balance sheet as of December 31, 2021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2021.</w:t>
      </w:r>
    </w:p>
    <w:p>
      <w:pPr>
        <w:spacing w:after="0" w:line="124"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The Company has operated at a loss since its inception and has had no revenues. The Company anticipates that losses will continue for the foreseeable future. At June 30, 2022, the company had $24,178,000 of unrestricted cash and cash equivalents available to fund future operations. In July 2022, the Company entered into a $60 million unsecured line of credit financing with its chairman, Richard E. Uihlein (See Note 12). The Company believes there is sufficient cash, including availability of the line of credit, to fund currently planned operations at least through December 31, 2024.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88"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Accrued Expenses and Other</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 and 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6,359</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including personnel costs, allocated facility costs, lab supplies, 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ectPr>
          <w:pgSz w:w="11900" w:h="16838" w:orient="portrait"/>
          <w:cols w:equalWidth="0" w:num="1">
            <w:col w:w="11240"/>
          </w:cols>
          <w:pgMar w:left="320" w:top="115" w:right="3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Convertible Notes Payable – Related Party</w:t>
      </w:r>
    </w:p>
    <w:p>
      <w:pPr>
        <w:spacing w:after="0" w:line="229" w:lineRule="exact"/>
        <w:rPr>
          <w:sz w:val="20"/>
          <w:szCs w:val="20"/>
          <w:color w:val="auto"/>
        </w:rPr>
      </w:pPr>
    </w:p>
    <w:p>
      <w:pPr>
        <w:ind w:right="460" w:firstLine="441"/>
        <w:spacing w:after="0" w:line="266" w:lineRule="auto"/>
        <w:rPr>
          <w:sz w:val="20"/>
          <w:szCs w:val="20"/>
          <w:color w:val="auto"/>
        </w:rPr>
      </w:pPr>
      <w:r>
        <w:rPr>
          <w:rFonts w:ascii="Times New Roman" w:cs="Times New Roman" w:eastAsia="Times New Roman" w:hAnsi="Times New Roman"/>
          <w:sz w:val="18"/>
          <w:szCs w:val="18"/>
          <w:color w:val="auto"/>
        </w:rPr>
        <w:t>On April 16, 2021, the Company and Richard E. Uihlein entered into a debt financing arrangement whereby Mr. Uihlein loaned $10,000,000 to Company. In consideration for the loan, the Company issued a convertible promissory note (the “April Note”) in the principal amount of ten million dollars.</w:t>
      </w:r>
    </w:p>
    <w:p>
      <w:pPr>
        <w:spacing w:after="0" w:line="176"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April Note has a maturity date of April 16, 2025, is prepayable at the option of the Company in whole or in part at any time and is convertible into the Company’s common stock at a conversion price equal to $5.00 per share at the option of the noteholder. The April Note bears interest at the rate of two percent (2%) per annum, compounded annually. For the six months ended June 30, 2022, approximately $100,000 of interest expense was accrued and included with the principal in the financial statements. Inception to June 30, 2022, approximately $241,000 of interest expense has been accrued and included with the principal balance.</w:t>
      </w:r>
    </w:p>
    <w:p>
      <w:pPr>
        <w:spacing w:after="0" w:line="183"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The April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Note at its inception. The fair value of the contingent interest derivative liability was $420,000 and $276,000 at note inception (April 16, 2021) and June 30, 2022, respectively, and is recognized as a derivative liability in the consolidated balance sheet. The change in the fair value of the derivative liability from December 31, 2021 to June 30, 2022 of ($219,000) was charged to other income for the six months ended June 30, 2022. The amortization of the debt discount of $420,000 recorded initially upon note inception of $52,000 was recorded as additional interest expense for the for the six months ended June 30, 2022.</w:t>
      </w:r>
    </w:p>
    <w:p>
      <w:pPr>
        <w:spacing w:after="0" w:line="188"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On September 17, 2021, the Company and Mr. Uihlein entered into a loan agreement in the aggregate of $20,000,000 (the “Loan Agreement”) to be funded in two closings and evidenced by two separate unsecured convertible promissory notes. The first of the two promissory notes was also executed and delivered on September 17, 2021, (the “September Note”) to evidence the first loan in the principal amount of $10,000,000. The second closing under the Loan Agreement for the remaining $10,000,000 occurred on December 20, 2021.</w:t>
      </w:r>
    </w:p>
    <w:p>
      <w:pPr>
        <w:spacing w:after="0" w:line="180"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The September Note has a maturity date of September 17, 2025, is prepayable at the option of the Company in whole or in part at any time and is convertible into the Company’s common stock at a conversion price equal to $8.64 per share at the option of the noteholder. The September Note bears interest at the rate of two percent (2%) per annum, compounded annually. For the six months ended June 30, 2022, approximately $100,000 of interest expense was accrued and included with the principal in the financial statements. Inception to June 30, 2022, approximately $157,000 of interest expense has been accrued and included with the principal balance.</w:t>
      </w:r>
    </w:p>
    <w:p>
      <w:pPr>
        <w:spacing w:after="0" w:line="183"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September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 The fair value of the contingent interest derivative liability was $433,000 and $131,000 at note inception (September 17, 2021) and June 30, 2022, respectively, and is recognized as a derivative liability in the consolidated balance sheet. The change in the fair value of the derivative liability from December 31, 2021 to June 30, 2022 of ($119,000) was recorded to other income for the six months ended June 30, 2022. The amortization of the debt discount of $433,000 recorded initially upon note inception of $54,000 was recorded as additional interest expense for the six months ended June 30, 2022.</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60" w:firstLine="441"/>
        <w:spacing w:after="0" w:line="256" w:lineRule="auto"/>
        <w:rPr>
          <w:sz w:val="20"/>
          <w:szCs w:val="20"/>
          <w:color w:val="auto"/>
        </w:rPr>
      </w:pPr>
      <w:r>
        <w:rPr>
          <w:rFonts w:ascii="Times New Roman" w:cs="Times New Roman" w:eastAsia="Times New Roman" w:hAnsi="Times New Roman"/>
          <w:sz w:val="18"/>
          <w:szCs w:val="18"/>
          <w:color w:val="auto"/>
        </w:rPr>
        <w:t>On December 20, 2021, the second of the two promissory notes under the Loan Agreement was executed and delivered, (the “December Note”) to evidence the second loan in the principal amount of $10,000,000. The December Note has a maturity date of December 20, 2025,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For the six months ended June 30, 2022, approximately $100,000 of interest expense was accrued and included with the principal in the financial statements. Inception to June 30, 2022, approximately $106,000 of interest expense has been accrued and included with the principal balance.</w:t>
      </w:r>
    </w:p>
    <w:p>
      <w:pPr>
        <w:spacing w:after="0" w:line="187"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December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December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December Note at its inception. The fair value of the contingent interest derivative liability was $415,000 and $219,000 at note inception (December 20, 2021) and June 30, 2022, respectively, and is recognized as a derivative liability in the consolidated balance sheet. The change in the fair value of the derivative liability from December 31, 2021 to June 30, 2022 of ($166,000) was recorded to other income for six months ended June 30, 2022. The amortization of the debt discount of $415,000 recorded initially upon note inception of $52,000 was recorded as additional interest expense for the for six months ended June 30, 2022.</w:t>
      </w:r>
    </w:p>
    <w:p>
      <w:pPr>
        <w:spacing w:after="0" w:line="194" w:lineRule="exact"/>
        <w:rPr>
          <w:sz w:val="20"/>
          <w:szCs w:val="20"/>
          <w:color w:val="auto"/>
        </w:rPr>
      </w:pPr>
    </w:p>
    <w:p>
      <w:pPr>
        <w:ind w:right="60" w:firstLine="441"/>
        <w:spacing w:after="0" w:line="289" w:lineRule="auto"/>
        <w:rPr>
          <w:sz w:val="20"/>
          <w:szCs w:val="20"/>
          <w:color w:val="auto"/>
        </w:rPr>
      </w:pPr>
      <w:r>
        <w:rPr>
          <w:rFonts w:ascii="Times New Roman" w:cs="Times New Roman" w:eastAsia="Times New Roman" w:hAnsi="Times New Roman"/>
          <w:sz w:val="17"/>
          <w:szCs w:val="17"/>
          <w:color w:val="auto"/>
        </w:rPr>
        <w:t>The Company’s contractual cash obligations related to the outstanding convertible notes payable is a repayment of the April Note of the $10,000,000 plus accrued interest on April 16, 2025 and a repayment of the September Note of the $10,000,000 plus accrued interest on September 17, 2025 and a repayment of the December Note of the $10,000,000 plus accrued interest on December 30, 2025, unless converted at the option of the noteholder.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29"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assets or liabilities at June 30, 2022 or December 31, 2021. See below for Fair Value of Derivatives related to Convertible Notes Payable at June 30, 2022 and December 31, 2021, which are level 3 liabilities.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and liabilities measured and recorded at fair value on a recurring basis at June 30,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April Note</w:t>
            </w:r>
          </w:p>
        </w:tc>
        <w:tc>
          <w:tcPr>
            <w:tcW w:w="17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276,000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276,000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September Note</w:t>
            </w:r>
          </w:p>
        </w:tc>
        <w:tc>
          <w:tcPr>
            <w:tcW w:w="17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131,000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131,000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December Note</w:t>
            </w:r>
          </w:p>
        </w:tc>
        <w:tc>
          <w:tcPr>
            <w:tcW w:w="17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219,000</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219,000</w:t>
            </w:r>
          </w:p>
        </w:tc>
      </w:tr>
    </w:tbl>
    <w:p>
      <w:pPr>
        <w:spacing w:after="0" w:line="198" w:lineRule="exact"/>
        <w:rPr>
          <w:sz w:val="20"/>
          <w:szCs w:val="20"/>
          <w:color w:val="auto"/>
        </w:rPr>
      </w:pPr>
    </w:p>
    <w:p>
      <w:pPr>
        <w:ind w:right="820" w:firstLine="486"/>
        <w:spacing w:after="0" w:line="282" w:lineRule="auto"/>
        <w:rPr>
          <w:sz w:val="20"/>
          <w:szCs w:val="20"/>
          <w:color w:val="auto"/>
        </w:rPr>
      </w:pPr>
      <w:r>
        <w:rPr>
          <w:rFonts w:ascii="Times New Roman" w:cs="Times New Roman" w:eastAsia="Times New Roman" w:hAnsi="Times New Roman"/>
          <w:sz w:val="18"/>
          <w:szCs w:val="18"/>
          <w:color w:val="auto"/>
        </w:rPr>
        <w:t>The April Note derivative liability – contingent interest was valued using a Monte Carlo Geometric Brownian Stock Path Model. The key assumptions used in the model at inception, and at June 30,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430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60" w:type="dxa"/>
            <w:vAlign w:val="bottom"/>
          </w:tcPr>
          <w:p>
            <w:pPr>
              <w:spacing w:after="0"/>
              <w:rPr>
                <w:sz w:val="21"/>
                <w:szCs w:val="21"/>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4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 years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2.79 years</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0.59%</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355"/>
        </w:trPr>
        <w:tc>
          <w:tcPr>
            <w:tcW w:w="4300" w:type="dxa"/>
            <w:vAlign w:val="bottom"/>
          </w:tcPr>
          <w:p>
            <w:pPr>
              <w:spacing w:after="0"/>
              <w:rPr>
                <w:sz w:val="24"/>
                <w:szCs w:val="24"/>
                <w:color w:val="auto"/>
              </w:rPr>
            </w:pPr>
          </w:p>
        </w:tc>
        <w:tc>
          <w:tcPr>
            <w:tcW w:w="4300" w:type="dxa"/>
            <w:vAlign w:val="bottom"/>
          </w:tcPr>
          <w:p>
            <w:pPr>
              <w:jc w:val="right"/>
              <w:ind w:right="2599"/>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4300" w:type="dxa"/>
            <w:vAlign w:val="bottom"/>
            <w:tcBorders>
              <w:bottom w:val="single" w:sz="8" w:color="auto"/>
            </w:tcBorders>
          </w:tcPr>
          <w:p>
            <w:pPr>
              <w:spacing w:after="0"/>
              <w:rPr>
                <w:sz w:val="3"/>
                <w:szCs w:val="3"/>
                <w:color w:val="auto"/>
              </w:rPr>
            </w:pPr>
          </w:p>
        </w:tc>
        <w:tc>
          <w:tcPr>
            <w:tcW w:w="4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601"/>
        </w:trPr>
        <w:tc>
          <w:tcPr>
            <w:tcW w:w="440" w:type="dxa"/>
            <w:vAlign w:val="bottom"/>
          </w:tcPr>
          <w:p>
            <w:pPr>
              <w:spacing w:after="0"/>
              <w:rPr>
                <w:sz w:val="24"/>
                <w:szCs w:val="24"/>
                <w:color w:val="auto"/>
              </w:rPr>
            </w:pPr>
          </w:p>
        </w:tc>
        <w:tc>
          <w:tcPr>
            <w:tcW w:w="9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roll forward of the April Note derivative liability – contingent interest is as follows: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April convertible note payable – related party</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8"/>
                <w:szCs w:val="18"/>
                <w:color w:val="auto"/>
              </w:rPr>
            </w:pPr>
          </w:p>
        </w:tc>
      </w:tr>
      <w:tr>
        <w:trPr>
          <w:trHeight w:val="223"/>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1002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00" w:type="dxa"/>
            <w:vAlign w:val="bottom"/>
            <w:tcBorders>
              <w:top w:val="single" w:sz="8" w:color="CCEEFF"/>
            </w:tcBorders>
          </w:tcPr>
          <w:p>
            <w:pPr>
              <w:spacing w:after="0"/>
              <w:rPr>
                <w:sz w:val="18"/>
                <w:szCs w:val="18"/>
                <w:color w:val="auto"/>
              </w:rPr>
            </w:pPr>
          </w:p>
        </w:tc>
      </w:tr>
      <w:tr>
        <w:trPr>
          <w:trHeight w:val="223"/>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(219,000)</w:t>
            </w:r>
          </w:p>
        </w:tc>
      </w:tr>
      <w:tr>
        <w:trPr>
          <w:trHeight w:val="223"/>
        </w:trPr>
        <w:tc>
          <w:tcPr>
            <w:tcW w:w="1002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276,000</w:t>
            </w:r>
          </w:p>
        </w:tc>
        <w:tc>
          <w:tcPr>
            <w:tcW w:w="100" w:type="dxa"/>
            <w:vAlign w:val="bottom"/>
            <w:tcBorders>
              <w:top w:val="single" w:sz="8" w:color="CCEEFF"/>
            </w:tcBorders>
          </w:tcPr>
          <w:p>
            <w:pPr>
              <w:spacing w:after="0"/>
              <w:rPr>
                <w:sz w:val="19"/>
                <w:szCs w:val="19"/>
                <w:color w:val="auto"/>
              </w:rPr>
            </w:pPr>
          </w:p>
        </w:tc>
      </w:tr>
    </w:tbl>
    <w:p>
      <w:pPr>
        <w:spacing w:after="0" w:line="198"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September Note derivative liability – contingent interest was valued using a Monte Carlo Geometric Brownian Stock Path Model. The key assumptions used in the model at inception, and at June 30,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 years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 years</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8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roll forward of the September Note derivative liability – contingent interest is as follows: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September convertible note payable – related party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433,000</w:t>
            </w:r>
          </w:p>
        </w:tc>
        <w:tc>
          <w:tcPr>
            <w:tcW w:w="100" w:type="dxa"/>
            <w:vAlign w:val="bottom"/>
          </w:tcPr>
          <w:p>
            <w:pPr>
              <w:spacing w:after="0"/>
              <w:rPr>
                <w:sz w:val="18"/>
                <w:szCs w:val="18"/>
                <w:color w:val="auto"/>
              </w:rPr>
            </w:pPr>
          </w:p>
        </w:tc>
      </w:tr>
      <w:tr>
        <w:trPr>
          <w:trHeight w:val="223"/>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(183,000)</w:t>
            </w:r>
          </w:p>
        </w:tc>
      </w:tr>
      <w:tr>
        <w:trPr>
          <w:trHeight w:val="216"/>
        </w:trPr>
        <w:tc>
          <w:tcPr>
            <w:tcW w:w="8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top w:val="single" w:sz="8" w:color="CCEEFF"/>
            </w:tcBorders>
          </w:tcPr>
          <w:p>
            <w:pPr>
              <w:spacing w:after="0"/>
              <w:rPr>
                <w:sz w:val="18"/>
                <w:szCs w:val="18"/>
                <w:color w:val="auto"/>
              </w:rPr>
            </w:pPr>
          </w:p>
        </w:tc>
      </w:tr>
      <w:tr>
        <w:trPr>
          <w:trHeight w:val="223"/>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(119,000)</w:t>
            </w:r>
          </w:p>
        </w:tc>
      </w:tr>
      <w:tr>
        <w:trPr>
          <w:trHeight w:val="223"/>
        </w:trPr>
        <w:tc>
          <w:tcPr>
            <w:tcW w:w="8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1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100" w:type="dxa"/>
            <w:vAlign w:val="bottom"/>
            <w:tcBorders>
              <w:top w:val="single" w:sz="8" w:color="CCEEFF"/>
            </w:tcBorders>
          </w:tcPr>
          <w:p>
            <w:pPr>
              <w:spacing w:after="0"/>
              <w:rPr>
                <w:sz w:val="19"/>
                <w:szCs w:val="19"/>
                <w:color w:val="auto"/>
              </w:rPr>
            </w:pPr>
          </w:p>
        </w:tc>
      </w:tr>
    </w:tbl>
    <w:p>
      <w:pPr>
        <w:spacing w:after="0" w:line="198"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December Note derivative liability – contingent interest was valued using a Monte Carlo Geometric Brownian Stock Path Model. The key assumptions used in the model at inception, and at June 30,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 years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 years</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8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roll forward of the December Note derivative liability – contingent interest is as follows: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September convertible note payable – related party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415,000</w:t>
            </w: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100" w:type="dxa"/>
            <w:vAlign w:val="bottom"/>
            <w:tcBorders>
              <w:top w:val="single" w:sz="8" w:color="CCEEFF"/>
            </w:tcBorders>
          </w:tcPr>
          <w:p>
            <w:pPr>
              <w:spacing w:after="0"/>
              <w:rPr>
                <w:sz w:val="18"/>
                <w:szCs w:val="18"/>
                <w:color w:val="auto"/>
              </w:rPr>
            </w:pP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(166,000)</w:t>
            </w:r>
          </w:p>
        </w:tc>
      </w:tr>
      <w:tr>
        <w:trPr>
          <w:trHeight w:val="223"/>
        </w:trPr>
        <w:tc>
          <w:tcPr>
            <w:tcW w:w="8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1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219,000</w:t>
            </w:r>
          </w:p>
        </w:tc>
        <w:tc>
          <w:tcPr>
            <w:tcW w:w="100" w:type="dxa"/>
            <w:vAlign w:val="bottom"/>
            <w:tcBorders>
              <w:top w:val="single" w:sz="8" w:color="CCEEFF"/>
            </w:tcBorders>
          </w:tcPr>
          <w:p>
            <w:pPr>
              <w:spacing w:after="0"/>
              <w:rPr>
                <w:sz w:val="19"/>
                <w:szCs w:val="19"/>
                <w:color w:val="auto"/>
              </w:rPr>
            </w:pPr>
          </w:p>
        </w:tc>
      </w:tr>
      <w:tr>
        <w:trPr>
          <w:trHeight w:val="570"/>
        </w:trPr>
        <w:tc>
          <w:tcPr>
            <w:tcW w:w="8600" w:type="dxa"/>
            <w:vAlign w:val="bottom"/>
          </w:tcPr>
          <w:p>
            <w:pPr>
              <w:ind w:left="5560"/>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8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22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Following is the stock-based compensation expense related to common stock options, restricted common stock, common stock warrants and deferred stock units: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2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in the Company’s equity incentive plans, including non-plan grants to Company executives, from December 31, 2021 through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4,895,561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(195,000)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June 30, 2022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5,645,561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bl>
    <w:p>
      <w:pPr>
        <w:spacing w:after="0" w:line="198"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As of June 30, 2022, there was $3,343,648 of unrecognized compensation related to 2,809,583 unvested options, which is expected to be recognized over a weighted–average period of approximately 1.6 years. The weighted-average grant date fair value for options granted during the six months ended June 30, 2022 was $1.37. The Company granted 945,000 stock options during the six months ended June 30, 2022.</w:t>
      </w:r>
    </w:p>
    <w:p>
      <w:pPr>
        <w:spacing w:after="0" w:line="176"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The fair value of all other options granted is determined using the Black-Scholes option-pricing model. The following weighted average assumptions were used: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Six</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45"/>
        </w:trPr>
        <w:tc>
          <w:tcPr>
            <w:tcW w:w="86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23"/>
        </w:trPr>
        <w:tc>
          <w:tcPr>
            <w:tcW w:w="8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the options</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 years</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of the underlying stock</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In January 2022, one director elected to take a restricted stock grant in lieu of cash retainers for 2022. A total of 17,677 shares of restricted stock valued at approximately $35,000 is being amortized to expense on a straight-line basis until December 31, 2022 when the stock vests in full.</w:t>
      </w:r>
    </w:p>
    <w:p>
      <w:pPr>
        <w:spacing w:after="0" w:line="162"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In March 2021, one director elected to take a restricted stock grant in lieu of cash retainers for 2021. A total of 16,588 shares of restricted stock valued at approximately $35,000 is being amortized to expense on a straight-line basis until December 31, 2021 when the stock vested in full.</w:t>
      </w:r>
    </w:p>
    <w:p>
      <w:pPr>
        <w:spacing w:after="0" w:line="162"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In September 2020, the Company entered into an employment agreement with its new Chief Executive Officer whereby 20% of his base salary and performance bonuses will be paid in cash, and 80% will be paid in the form of deferred stock 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in accordance with the terms and subject to the provisions set forth in the DSU Agreement.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 For the six months ended June 30, 2022, approximately $208,000 of his compensation was recorded as stock compensation expense representing 130,546 shares of common stock to be issued under the DSU agreement with a weighted average grant date fair value of $1.60 per share. Also, Mr. Lewis’ bonus for the year ended December 31, 2021 of $200,000 (which was included in accrued compensation at December 31, 2021) was approved in January 2022 and represents 103,627 shares of common stock to be issued under the DSU agreement with a grant date fair value of $1.93 per share. The $200,000 was reclassified from accrued compensation to additional paid in capital in January 2022. There is no unrecognized compensation expense related to the DSUs.</w:t>
      </w:r>
    </w:p>
    <w:p>
      <w:pPr>
        <w:sectPr>
          <w:pgSz w:w="11900" w:h="16838" w:orient="portrait"/>
          <w:cols w:equalWidth="0" w:num="1">
            <w:col w:w="11240"/>
          </w:cols>
          <w:pgMar w:left="320" w:top="116"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Stock Warrants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common stock warrant activity from December 31, 2020 through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5"/>
        </w:trPr>
        <w:tc>
          <w:tcPr>
            <w:tcW w:w="842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10,857,964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Forfeited/cancelled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June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10,857,964</w:t>
            </w:r>
          </w:p>
        </w:tc>
        <w:tc>
          <w:tcPr>
            <w:tcW w:w="3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expiration of the warrants outstanding as of June 30, 2022 is 2.2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Loss Per Share</w:t>
      </w:r>
    </w:p>
    <w:p>
      <w:pPr>
        <w:spacing w:after="0" w:line="229" w:lineRule="exact"/>
        <w:rPr>
          <w:sz w:val="20"/>
          <w:szCs w:val="20"/>
          <w:color w:val="auto"/>
        </w:rPr>
      </w:pPr>
    </w:p>
    <w:p>
      <w:pPr>
        <w:ind w:right="20" w:firstLine="441"/>
        <w:spacing w:after="0" w:line="277" w:lineRule="auto"/>
        <w:rPr>
          <w:sz w:val="20"/>
          <w:szCs w:val="20"/>
          <w:color w:val="auto"/>
        </w:rPr>
      </w:pPr>
      <w:r>
        <w:rPr>
          <w:rFonts w:ascii="Times New Roman" w:cs="Times New Roman" w:eastAsia="Times New Roman" w:hAnsi="Times New Roman"/>
          <w:sz w:val="17"/>
          <w:szCs w:val="17"/>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68"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shares of common stock</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10,857,964</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11,357,964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5,645,561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4,919,725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note payable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5,515,161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2,049,428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preferred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503,340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510,424</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22,522,026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18,837,541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2020 At Market Issuance of Common Stock</w:t>
      </w:r>
    </w:p>
    <w:p>
      <w:pPr>
        <w:spacing w:after="0" w:line="227"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There were no issuances of common stock under the 2020 At Market agreement during the six months ended June 30, 2022. During the six months ended June 30, 2021, the Company issued 845,214 shares of common stock under the 2020 At Market Agreement for net proceeds of $3,864,000.</w:t>
      </w:r>
    </w:p>
    <w:p>
      <w:pPr>
        <w:spacing w:after="0" w:line="189" w:lineRule="exact"/>
        <w:rPr>
          <w:sz w:val="20"/>
          <w:szCs w:val="20"/>
          <w:color w:val="auto"/>
        </w:rPr>
      </w:pPr>
    </w:p>
    <w:p>
      <w:pPr>
        <w:ind w:right="560" w:firstLine="441"/>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issued a total of 30,625 and 30,625 shares of common stock, respectively, for dividends on Series A and Series C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and Research Commitments</w:t>
      </w:r>
    </w:p>
    <w:p>
      <w:pPr>
        <w:spacing w:after="0" w:line="229" w:lineRule="exact"/>
        <w:rPr>
          <w:sz w:val="20"/>
          <w:szCs w:val="20"/>
          <w:color w:val="auto"/>
        </w:rPr>
      </w:pPr>
    </w:p>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t>The Company has entered into agreements with contractors for research and development activities to further its product candidates. The contracts generally may be canceled at any time by providing thirty days’ notice.</w:t>
      </w: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07"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Company has one operating lease for its office space which was amended effective March 1, 2022 for a term of 38 months with no residual value guarantees or material restrictive covenants. The amended lease provided for free rent for the first six and a half months of the lease and continues the security deposit of $6,000. In addition to base rental payments included in the contractual obligations table above, the Company is responsible for our pro-rata share of the operating expenses for the building. Our lease cost for the six-month periods ended June 30, 2022 and 2021 was approximately $22,000 for each period and is included in general and administrative expenses. As of June 30, 2022, the right to use lease asset consisted of $101,000 and is included in other assets. Also, at June 30, 2022, current lease liability of $28,000 is included in accrued expenses and long term lease liability was $87,000 and included in other liabilities.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Maturity of operating lease as of June 30, 2022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discount rate used in calculating the present value of the lease payments was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Galectin Sciences LLC</w:t>
      </w:r>
    </w:p>
    <w:p>
      <w:pPr>
        <w:spacing w:after="0" w:line="229"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each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Cumulatively, the Company has contributed a total of $3,109,000, including $84,000 for the six months ended June 30, 2022, for expenses of the LLC. Since the end of 2014, SBH has contributed $158,000 for expenses in the LLC. As of June 30, 2022, the Company’s ownership percentage in the LLC was 84.8%. The Company accounts for the interest in the LLC as a consolidated, less than wholly owned subsidiary. Because the LLC’s equity is immaterial, the value of the non-controlling interest is also deemed to be immaterial.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On July 25, 2022, the Company and Richard E. Uihlein (the “Lender”) entered into a Line of Credit Letter Agreement (the “Credit Agreement”), pursuant to which the Lender shall provide the Company a line of credit of up to $60.00 million (the “Line of Credit”) to finance the Company’s working capital needs. The Company may draw upon the Line of Credit through July 31, 2024.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for short term loans (currently 2.84%),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180"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3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 w:name="page17"/>
    <w:bookmarkEnd w:id="16"/>
    <w:p>
      <w:pPr>
        <w:ind w:left="180"/>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firstLine="387"/>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December 31, 2024;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97" w:lineRule="exact"/>
        <w:rPr>
          <w:sz w:val="20"/>
          <w:szCs w:val="20"/>
          <w:color w:val="auto"/>
        </w:rPr>
      </w:pPr>
    </w:p>
    <w:p>
      <w:pPr>
        <w:ind w:left="1280" w:hanging="42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early stage of development,</w:t>
      </w:r>
    </w:p>
    <w:p>
      <w:pPr>
        <w:spacing w:after="0" w:line="225" w:lineRule="exact"/>
        <w:rPr>
          <w:rFonts w:ascii="Times New Roman" w:cs="Times New Roman" w:eastAsia="Times New Roman" w:hAnsi="Times New Roman"/>
          <w:sz w:val="18"/>
          <w:szCs w:val="18"/>
          <w:color w:val="auto"/>
        </w:rPr>
      </w:pPr>
    </w:p>
    <w:p>
      <w:pPr>
        <w:ind w:left="1280" w:hanging="42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cannot assure you that we will generate revenue or profit,</w:t>
      </w:r>
    </w:p>
    <w:p>
      <w:pPr>
        <w:spacing w:after="0" w:line="225" w:lineRule="exact"/>
        <w:rPr>
          <w:rFonts w:ascii="Times New Roman" w:cs="Times New Roman" w:eastAsia="Times New Roman" w:hAnsi="Times New Roman"/>
          <w:sz w:val="18"/>
          <w:szCs w:val="18"/>
          <w:color w:val="auto"/>
        </w:rPr>
      </w:pPr>
    </w:p>
    <w:p>
      <w:pPr>
        <w:ind w:left="1280" w:hanging="42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additional outside capital,</w:t>
      </w:r>
    </w:p>
    <w:p>
      <w:pPr>
        <w:spacing w:after="0" w:line="225" w:lineRule="exact"/>
        <w:rPr>
          <w:rFonts w:ascii="Times New Roman" w:cs="Times New Roman" w:eastAsia="Times New Roman" w:hAnsi="Times New Roman"/>
          <w:sz w:val="18"/>
          <w:szCs w:val="18"/>
          <w:color w:val="auto"/>
        </w:rPr>
      </w:pPr>
    </w:p>
    <w:p>
      <w:pPr>
        <w:ind w:left="1280" w:right="440" w:hanging="422"/>
        <w:spacing w:after="0" w:line="282"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strategic partnerships for the development, commercialization, manufacturing and distribution of our proposed product candidates,</w:t>
      </w:r>
    </w:p>
    <w:p>
      <w:pPr>
        <w:spacing w:after="0" w:line="161" w:lineRule="exact"/>
        <w:rPr>
          <w:rFonts w:ascii="Times New Roman" w:cs="Times New Roman" w:eastAsia="Times New Roman" w:hAnsi="Times New Roman"/>
          <w:sz w:val="18"/>
          <w:szCs w:val="18"/>
          <w:color w:val="auto"/>
        </w:rPr>
      </w:pPr>
    </w:p>
    <w:p>
      <w:pPr>
        <w:ind w:left="1280" w:hanging="42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any litigation, including shareholder class actions and derivative lawsuits filed,</w:t>
      </w:r>
    </w:p>
    <w:p>
      <w:pPr>
        <w:spacing w:after="0" w:line="225" w:lineRule="exact"/>
        <w:rPr>
          <w:rFonts w:ascii="Times New Roman" w:cs="Times New Roman" w:eastAsia="Times New Roman" w:hAnsi="Times New Roman"/>
          <w:sz w:val="18"/>
          <w:szCs w:val="18"/>
          <w:color w:val="auto"/>
        </w:rPr>
      </w:pPr>
    </w:p>
    <w:p>
      <w:pPr>
        <w:ind w:left="1280" w:hanging="42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our technology and clinical trials, including expected dates of availability of clinical data,</w:t>
      </w:r>
    </w:p>
    <w:p>
      <w:pPr>
        <w:spacing w:after="0" w:line="225" w:lineRule="exact"/>
        <w:rPr>
          <w:rFonts w:ascii="Times New Roman" w:cs="Times New Roman" w:eastAsia="Times New Roman" w:hAnsi="Times New Roman"/>
          <w:sz w:val="18"/>
          <w:szCs w:val="18"/>
          <w:color w:val="auto"/>
        </w:rPr>
      </w:pPr>
    </w:p>
    <w:p>
      <w:pPr>
        <w:ind w:left="1280" w:hanging="42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the efficacy and safety of our developmental product candidates in human trials,</w:t>
      </w:r>
    </w:p>
    <w:p>
      <w:pPr>
        <w:spacing w:after="0" w:line="225" w:lineRule="exact"/>
        <w:rPr>
          <w:rFonts w:ascii="Times New Roman" w:cs="Times New Roman" w:eastAsia="Times New Roman" w:hAnsi="Times New Roman"/>
          <w:sz w:val="18"/>
          <w:szCs w:val="18"/>
          <w:color w:val="auto"/>
        </w:rPr>
      </w:pPr>
    </w:p>
    <w:p>
      <w:pPr>
        <w:ind w:left="1280" w:hanging="42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improve upon, protect and/or enforce our intellectual property,</w:t>
      </w:r>
    </w:p>
    <w:p>
      <w:pPr>
        <w:spacing w:after="0" w:line="225" w:lineRule="exact"/>
        <w:rPr>
          <w:rFonts w:ascii="Times New Roman" w:cs="Times New Roman" w:eastAsia="Times New Roman" w:hAnsi="Times New Roman"/>
          <w:sz w:val="18"/>
          <w:szCs w:val="18"/>
          <w:color w:val="auto"/>
        </w:rPr>
      </w:pPr>
    </w:p>
    <w:p>
      <w:pPr>
        <w:ind w:left="1280" w:right="100" w:hanging="422"/>
        <w:spacing w:after="0" w:line="312" w:lineRule="auto"/>
        <w:tabs>
          <w:tab w:leader="none" w:pos="12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39" w:lineRule="exact"/>
        <w:rPr>
          <w:rFonts w:ascii="Times New Roman" w:cs="Times New Roman" w:eastAsia="Times New Roman" w:hAnsi="Times New Roman"/>
          <w:sz w:val="17"/>
          <w:szCs w:val="17"/>
          <w:color w:val="auto"/>
        </w:rPr>
      </w:pPr>
    </w:p>
    <w:p>
      <w:pPr>
        <w:ind w:left="1280" w:hanging="42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stock price volatility in the biotechnology industry,</w:t>
      </w:r>
    </w:p>
    <w:p>
      <w:pPr>
        <w:spacing w:after="0" w:line="225" w:lineRule="exact"/>
        <w:rPr>
          <w:rFonts w:ascii="Times New Roman" w:cs="Times New Roman" w:eastAsia="Times New Roman" w:hAnsi="Times New Roman"/>
          <w:sz w:val="18"/>
          <w:szCs w:val="18"/>
          <w:color w:val="auto"/>
        </w:rPr>
      </w:pPr>
    </w:p>
    <w:p>
      <w:pPr>
        <w:ind w:left="1280" w:right="40" w:hanging="422"/>
        <w:spacing w:after="0" w:line="282"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trading volume for our stock, concentration of ownership of our stock, and other risks detailed herein and from time to time in our SEC reports,</w:t>
      </w:r>
    </w:p>
    <w:p>
      <w:pPr>
        <w:spacing w:after="0" w:line="161" w:lineRule="exact"/>
        <w:rPr>
          <w:rFonts w:ascii="Times New Roman" w:cs="Times New Roman" w:eastAsia="Times New Roman" w:hAnsi="Times New Roman"/>
          <w:sz w:val="18"/>
          <w:szCs w:val="18"/>
          <w:color w:val="auto"/>
        </w:rPr>
      </w:pPr>
    </w:p>
    <w:p>
      <w:pPr>
        <w:ind w:left="1280" w:hanging="422"/>
        <w:spacing w:after="0" w:line="282"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resulting from the outbreak of COVID-19, which has delayed and may continue to delay our clinical trial and development efforts, as well as the impact that COVID-19 has on the volatility of the capital market and our ability to access the capital market and,</w:t>
      </w:r>
    </w:p>
    <w:p>
      <w:pPr>
        <w:spacing w:after="0" w:line="161" w:lineRule="exact"/>
        <w:rPr>
          <w:rFonts w:ascii="Times New Roman" w:cs="Times New Roman" w:eastAsia="Times New Roman" w:hAnsi="Times New Roman"/>
          <w:sz w:val="18"/>
          <w:szCs w:val="18"/>
          <w:color w:val="auto"/>
        </w:rPr>
      </w:pPr>
    </w:p>
    <w:p>
      <w:pPr>
        <w:ind w:left="1280" w:right="220" w:hanging="422"/>
        <w:spacing w:after="0" w:line="282"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detailed herein and from time to time in our SEC reports, including our Annual Report on Form 10-K filed with the SEC for the fiscal year ended December 31, 2021, and our subsequent SEC filings.</w:t>
      </w:r>
    </w:p>
    <w:p>
      <w:pPr>
        <w:spacing w:after="0" w:line="162" w:lineRule="exact"/>
        <w:rPr>
          <w:sz w:val="20"/>
          <w:szCs w:val="20"/>
          <w:color w:val="auto"/>
        </w:rPr>
      </w:pPr>
    </w:p>
    <w:p>
      <w:pPr>
        <w:ind w:right="1220" w:firstLine="387"/>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accompanying consolidated financial statements and notes thereto of Galectin Therapeutics appearing elsewhere herein.</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94"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92"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 xml:space="preserve">We are now engaged in a large, global Phase 2b/3 clinical trial. Our study protocol was filed with the FDA on April 30, 2020, for a seamless adaptively-designed Phase 2b/3 clinical study, the NAVIGATE trial (formerly called NASH-RX), evaluating the safety and efficacy of our galectin-3 inhibitor, belapectin, for the prevention of esophageal varices in patients with non-alcoholic steatohepatitis (NASH) cirrhosis (Further details are available at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this study began enrolling patients in Q2-2020. In September 2020, the Company received a letter from the FDA providing comments, asking questions and providing guidance on various aspects of the ongoing NAVIGATE trial. These comments were addressed, and the study proceeded accordingly.</w:t>
      </w:r>
    </w:p>
    <w:p>
      <w:pPr>
        <w:spacing w:after="0" w:line="187" w:lineRule="exact"/>
        <w:rPr>
          <w:sz w:val="20"/>
          <w:szCs w:val="20"/>
          <w:color w:val="auto"/>
        </w:rPr>
      </w:pPr>
    </w:p>
    <w:p>
      <w:pPr>
        <w:ind w:right="440" w:firstLine="348"/>
        <w:spacing w:after="0" w:line="261" w:lineRule="auto"/>
        <w:rPr>
          <w:sz w:val="20"/>
          <w:szCs w:val="20"/>
          <w:color w:val="auto"/>
        </w:rPr>
      </w:pPr>
      <w:r>
        <w:rPr>
          <w:rFonts w:ascii="Times New Roman" w:cs="Times New Roman" w:eastAsia="Times New Roman" w:hAnsi="Times New Roman"/>
          <w:sz w:val="18"/>
          <w:szCs w:val="18"/>
          <w:color w:val="auto"/>
        </w:rPr>
        <w:t xml:space="preserve">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this study became fully enrolled in February 2022.</w:t>
      </w:r>
    </w:p>
    <w:p>
      <w:pPr>
        <w:spacing w:after="0" w:line="180" w:lineRule="exact"/>
        <w:rPr>
          <w:sz w:val="20"/>
          <w:szCs w:val="20"/>
          <w:color w:val="auto"/>
        </w:rPr>
      </w:pPr>
    </w:p>
    <w:p>
      <w:pPr>
        <w:ind w:right="280" w:firstLine="348"/>
        <w:spacing w:after="0" w:line="256" w:lineRule="auto"/>
        <w:rPr>
          <w:sz w:val="20"/>
          <w:szCs w:val="20"/>
          <w:color w:val="auto"/>
        </w:rPr>
      </w:pPr>
      <w:r>
        <w:rPr>
          <w:rFonts w:ascii="Times New Roman" w:cs="Times New Roman" w:eastAsia="Times New Roman" w:hAnsi="Times New Roman"/>
          <w:sz w:val="18"/>
          <w:szCs w:val="18"/>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w:t>
      </w:r>
    </w:p>
    <w:p>
      <w:pPr>
        <w:spacing w:after="0" w:line="187" w:lineRule="exact"/>
        <w:rPr>
          <w:sz w:val="20"/>
          <w:szCs w:val="20"/>
          <w:color w:val="auto"/>
        </w:rPr>
      </w:pPr>
    </w:p>
    <w:p>
      <w:pPr>
        <w:ind w:right="80" w:firstLine="348"/>
        <w:spacing w:after="0" w:line="261" w:lineRule="auto"/>
        <w:rPr>
          <w:sz w:val="20"/>
          <w:szCs w:val="20"/>
          <w:color w:val="auto"/>
        </w:rPr>
      </w:pPr>
      <w:r>
        <w:rPr>
          <w:rFonts w:ascii="Times New Roman" w:cs="Times New Roman" w:eastAsia="Times New Roman" w:hAnsi="Times New Roman"/>
          <w:sz w:val="18"/>
          <w:szCs w:val="18"/>
          <w:color w:val="auto"/>
        </w:rPr>
        <w:t>We are also pursuing a development pathway to clinical enhancement and commercialization for our lead compounds in immuno-oncology following our previous successful collaboration with Providence Portland Cancer Center. We are now planning a phase 2 trial in advanced or metastatic head and neck cancer using belapectin in combination with a checkpoint (PD-1) inhibitor. All of our proposed products are presently in development, including pre-clinical and clinical trials.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Development Programs</w:t>
      </w:r>
    </w:p>
    <w:p>
      <w:pPr>
        <w:spacing w:after="0" w:line="229" w:lineRule="exact"/>
        <w:rPr>
          <w:sz w:val="20"/>
          <w:szCs w:val="20"/>
          <w:color w:val="auto"/>
        </w:rPr>
      </w:pPr>
    </w:p>
    <w:p>
      <w:pPr>
        <w:jc w:val="both"/>
        <w:ind w:right="60" w:firstLine="384"/>
        <w:spacing w:after="0" w:line="272" w:lineRule="auto"/>
        <w:rPr>
          <w:sz w:val="20"/>
          <w:szCs w:val="20"/>
          <w:color w:val="auto"/>
        </w:rPr>
      </w:pPr>
      <w:r>
        <w:rPr>
          <w:rFonts w:ascii="Times New Roman" w:cs="Times New Roman" w:eastAsia="Times New Roman" w:hAnsi="Times New Roman"/>
          <w:sz w:val="17"/>
          <w:szCs w:val="17"/>
          <w:color w:val="auto"/>
        </w:rPr>
        <w:t>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galectin-3,act as a molecular glue, bringing together molecules that have sugars on them.</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Galectin-3, is known to be markedly increased in a number of important diseases including inflammatory diseases leading to organs scarring (e.g. liver, lung, kidney, and heart) and cancers. The increase in galectin-3 ,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0" w:firstLine="384"/>
        <w:spacing w:after="0" w:line="281" w:lineRule="auto"/>
        <w:rPr>
          <w:sz w:val="20"/>
          <w:szCs w:val="20"/>
          <w:color w:val="auto"/>
        </w:rPr>
      </w:pPr>
      <w:r>
        <w:rPr>
          <w:rFonts w:ascii="Times New Roman" w:cs="Times New Roman" w:eastAsia="Times New Roman" w:hAnsi="Times New Roman"/>
          <w:sz w:val="17"/>
          <w:szCs w:val="17"/>
          <w:color w:val="auto"/>
        </w:rPr>
        <w:t>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NASH cirrhosis and Head and neck cancer. Belapectin is a proprietary, patented compound derived from natural, plant-based, starting materials, which, following chemical processing, exhibits the properties of binding to and inhibiting galectin-3.</w:t>
      </w:r>
    </w:p>
    <w:p>
      <w:pPr>
        <w:sectPr>
          <w:pgSz w:w="11900" w:h="16838" w:orient="portrait"/>
          <w:cols w:equalWidth="0" w:num="1">
            <w:col w:w="11200"/>
          </w:cols>
          <w:pgMar w:left="320" w:top="116" w:right="37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Drug</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Status</w:t>
      </w:r>
    </w:p>
    <w:p>
      <w:pPr>
        <w:spacing w:after="0" w:line="42" w:lineRule="exact"/>
        <w:rPr>
          <w:sz w:val="20"/>
          <w:szCs w:val="20"/>
          <w:color w:val="auto"/>
        </w:rPr>
      </w:pPr>
    </w:p>
    <w:p>
      <w:pPr>
        <w:sectPr>
          <w:pgSz w:w="11900" w:h="16838" w:orient="portrait"/>
          <w:cols w:equalWidth="0" w:num="3">
            <w:col w:w="3300" w:space="720"/>
            <w:col w:w="3180" w:space="720"/>
            <w:col w:w="3280"/>
          </w:cols>
          <w:pgMar w:left="320" w:top="116"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Fibrosis</w:t>
      </w:r>
    </w:p>
    <w:p>
      <w:pPr>
        <w:sectPr>
          <w:pgSz w:w="11900" w:h="16838" w:orient="portrait"/>
          <w:cols w:equalWidth="0" w:num="1">
            <w:col w:w="11200"/>
          </w:cols>
          <w:pgMar w:left="320" w:top="116" w:right="379" w:bottom="1440" w:gutter="0" w:footer="0" w:header="0"/>
          <w:type w:val="continuous"/>
        </w:sectPr>
      </w:pPr>
    </w:p>
    <w:p>
      <w:pPr>
        <w:spacing w:after="0" w:line="21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NASH with Advanced Fibrosis: NASH-CX trial and NASH-FX trial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belapectin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 submitted January 2013. Results from the Phase 1 clinical trial were reported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with final results reported in January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Phase 2 NASH FX trial was designed for patients with advanced fibrosis but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cirrhosis. Its principal purpose was to evaluate various imaging modalities.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 FX trial top line data was reported in September 2016</w:t>
      </w:r>
    </w:p>
    <w:p>
      <w:pPr>
        <w:spacing w:after="0" w:line="200" w:lineRule="exact"/>
        <w:rPr>
          <w:sz w:val="20"/>
          <w:szCs w:val="20"/>
          <w:color w:val="auto"/>
        </w:rPr>
      </w:pPr>
    </w:p>
    <w:p>
      <w:pPr>
        <w:sectPr>
          <w:pgSz w:w="11900" w:h="16838" w:orient="portrait"/>
          <w:cols w:equalWidth="0" w:num="3">
            <w:col w:w="2660" w:space="720"/>
            <w:col w:w="980" w:space="720"/>
            <w:col w:w="6120"/>
          </w:cols>
          <w:pgMar w:left="320" w:top="116" w:right="379" w:bottom="1440" w:gutter="0" w:footer="0" w:header="0"/>
          <w:type w:val="continuous"/>
        </w:sectPr>
      </w:pPr>
    </w:p>
    <w:p>
      <w:pPr>
        <w:spacing w:after="0" w:line="7" w:lineRule="exact"/>
        <w:rPr>
          <w:sz w:val="20"/>
          <w:szCs w:val="20"/>
          <w:color w:val="auto"/>
        </w:rPr>
      </w:pPr>
    </w:p>
    <w:p>
      <w:pPr>
        <w:ind w:left="5080" w:right="60"/>
        <w:spacing w:after="0" w:line="266" w:lineRule="auto"/>
        <w:rPr>
          <w:sz w:val="20"/>
          <w:szCs w:val="20"/>
          <w:color w:val="auto"/>
        </w:rPr>
      </w:pPr>
      <w:r>
        <w:rPr>
          <w:rFonts w:ascii="Times New Roman" w:cs="Times New Roman" w:eastAsia="Times New Roman" w:hAnsi="Times New Roman"/>
          <w:sz w:val="18"/>
          <w:szCs w:val="18"/>
          <w:color w:val="auto"/>
        </w:rPr>
        <w:t xml:space="preserve">The Phase 2 NASH CX trial, was designed for patients with well compensated cirrhosis. The NASH CX trial top line data was reported in December 2017 and was published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in 2020.</w:t>
      </w:r>
    </w:p>
    <w:p>
      <w:pPr>
        <w:sectPr>
          <w:pgSz w:w="11900" w:h="16838" w:orient="portrait"/>
          <w:cols w:equalWidth="0" w:num="1">
            <w:col w:w="11200"/>
          </w:cols>
          <w:pgMar w:left="320" w:top="116" w:right="37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NASH NAVIGATE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Based on FDA feedback, the NAVIGATE trial is an adaptive Phase 2b/3 trial for the prevention of esophageal varices in NASH patients with compensated cirrhosis. A Phase 2b interim efficacy analysis will be incorporated to confirm previous Phase 2 data, select an optimal dose and reaffirm the risk/benefit of belapectin. The Phase 3 end of study analysis will evaluate the development of esophageal varices as the primary outcome of efficacy and a composite clinical endpoint including progression to varices requiring treatment as a key secondary outcome of efficacy. See www.clinicaltrials.gov NCT04365868. The first patient was randomized in the third quarter of 2020.</w:t>
      </w:r>
    </w:p>
    <w:p>
      <w:pPr>
        <w:spacing w:after="0" w:line="188" w:lineRule="exact"/>
        <w:rPr>
          <w:sz w:val="20"/>
          <w:szCs w:val="20"/>
          <w:color w:val="auto"/>
        </w:rPr>
      </w:pPr>
    </w:p>
    <w:p>
      <w:pPr>
        <w:sectPr>
          <w:pgSz w:w="11900" w:h="16838" w:orient="portrait"/>
          <w:cols w:equalWidth="0" w:num="2">
            <w:col w:w="4360" w:space="720"/>
            <w:col w:w="6120"/>
          </w:cols>
          <w:pgMar w:left="320" w:top="116" w:right="379" w:bottom="1440" w:gutter="0" w:footer="0" w:header="0"/>
          <w:type w:val="continuous"/>
        </w:sectPr>
      </w:pPr>
    </w:p>
    <w:p>
      <w:pPr>
        <w:ind w:left="5080" w:right="20"/>
        <w:spacing w:after="0" w:line="289" w:lineRule="auto"/>
        <w:rPr>
          <w:sz w:val="20"/>
          <w:szCs w:val="20"/>
          <w:color w:val="auto"/>
        </w:rPr>
      </w:pPr>
      <w:r>
        <w:rPr>
          <w:rFonts w:ascii="Times New Roman" w:cs="Times New Roman" w:eastAsia="Times New Roman" w:hAnsi="Times New Roman"/>
          <w:sz w:val="17"/>
          <w:szCs w:val="17"/>
          <w:color w:val="auto"/>
        </w:rPr>
        <w:t>A hepatic impairment is being conducted in subjects with normal hepatic function and subjects with varying degrees of hepatic impairment (CF: www.clinicaltrials.gov NCT04332432) and began enrolling patients in the second quarter of 2020.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Cancer Immunotherapy</w:t>
      </w:r>
    </w:p>
    <w:p>
      <w:pPr>
        <w:sectPr>
          <w:pgSz w:w="11900" w:h="16838" w:orient="portrait"/>
          <w:cols w:equalWidth="0" w:num="1">
            <w:col w:w="11200"/>
          </w:cols>
          <w:pgMar w:left="320" w:top="116" w:right="379" w:bottom="1440" w:gutter="0" w:footer="0" w:header="0"/>
          <w:type w:val="continuous"/>
        </w:sectPr>
      </w:pP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Melanoma, Head, Neck Squamous Cell Carcinoma (HNSCC)</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belapectin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Investigator IND study in process. A Phase 1B study began in Q-1 2016. Early data was reported in February 2017 and additional data were reported in September 2018. Data from an extension trial was reported in July 2021 for additional melanoma and HNSCC patients which provided a rational basis for additional trials which the Company is exploring.</w:t>
      </w:r>
    </w:p>
    <w:p>
      <w:pPr>
        <w:spacing w:after="0" w:line="200" w:lineRule="exact"/>
        <w:rPr>
          <w:sz w:val="20"/>
          <w:szCs w:val="20"/>
          <w:color w:val="auto"/>
        </w:rPr>
      </w:pPr>
    </w:p>
    <w:p>
      <w:pPr>
        <w:sectPr>
          <w:pgSz w:w="11900" w:h="16838" w:orient="portrait"/>
          <w:cols w:equalWidth="0" w:num="3">
            <w:col w:w="2860" w:space="660"/>
            <w:col w:w="740" w:space="240"/>
            <w:col w:w="6700"/>
          </w:cols>
          <w:pgMar w:left="320" w:top="116" w:right="379" w:bottom="1440" w:gutter="0" w:footer="0" w:header="0"/>
          <w:type w:val="continuous"/>
        </w:sectPr>
      </w:pPr>
    </w:p>
    <w:p>
      <w:pPr>
        <w:spacing w:after="0" w:line="201" w:lineRule="exact"/>
        <w:rPr>
          <w:sz w:val="20"/>
          <w:szCs w:val="20"/>
          <w:color w:val="auto"/>
        </w:rPr>
      </w:pPr>
    </w:p>
    <w:p>
      <w:pPr>
        <w:ind w:left="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Liver cirrhosis. </w:t>
      </w:r>
      <w:r>
        <w:rPr>
          <w:rFonts w:ascii="Times New Roman" w:cs="Times New Roman" w:eastAsia="Times New Roman" w:hAnsi="Times New Roman"/>
          <w:sz w:val="18"/>
          <w:szCs w:val="18"/>
          <w:color w:val="auto"/>
        </w:rPr>
        <w:t>Belapectin is our lead product candidate for treatment of compensated NASH cirrhosis in patients with portal hypertension.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preclinical data show that belapectin has a significant therapeutic effect on liver fibrosis as shown in several relevant animal models. In addition, in NASH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0" w:firstLine="348"/>
        <w:spacing w:after="0" w:line="261" w:lineRule="auto"/>
        <w:rPr>
          <w:sz w:val="20"/>
          <w:szCs w:val="20"/>
          <w:color w:val="auto"/>
        </w:rPr>
      </w:pPr>
      <w:r>
        <w:rPr>
          <w:rFonts w:ascii="Times New Roman" w:cs="Times New Roman" w:eastAsia="Times New Roman" w:hAnsi="Times New Roman"/>
          <w:sz w:val="18"/>
          <w:szCs w:val="18"/>
          <w:color w:val="auto"/>
        </w:rPr>
        <w:t>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0"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Our Phase 2 program in fibrotic disease consisted of two separate human clinical trials. The main clinical trial was the Phase 2b NASH-CX study for one year for patients with NASH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pacing w:after="0" w:line="179" w:lineRule="exact"/>
        <w:rPr>
          <w:sz w:val="20"/>
          <w:szCs w:val="20"/>
          <w:color w:val="auto"/>
        </w:rPr>
      </w:pPr>
    </w:p>
    <w:p>
      <w:pPr>
        <w:ind w:firstLine="352"/>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NASH-FX Trial: </w:t>
      </w:r>
      <w:r>
        <w:rPr>
          <w:rFonts w:ascii="Times New Roman" w:cs="Times New Roman" w:eastAsia="Times New Roman" w:hAnsi="Times New Roman"/>
          <w:sz w:val="18"/>
          <w:szCs w:val="18"/>
          <w:color w:val="auto"/>
        </w:rPr>
        <w:t>The NASH-FX trial was a Phase 2a pilot trial for patients with NASH and advanced fibrosis that explored use of three non-invasive imaging technologies. It was a short, single site, four-month trial in 30 NASH patients with advanced fibrosis (F3) randomized 1:1 to either 9 bi-weekly doses of 8 mg/kg LBM of belapectin or placebo. The trial did not meet its primary endpoint as measured using multi-parametric magnetic resonance imaging (LiverMultiScan</w:t>
      </w:r>
      <w:r>
        <w:rPr>
          <w:rFonts w:ascii="Times New Roman" w:cs="Times New Roman" w:eastAsia="Times New Roman" w:hAnsi="Times New Roman"/>
          <w:sz w:val="29"/>
          <w:szCs w:val="29"/>
          <w:color w:val="auto"/>
          <w:vertAlign w:val="superscript"/>
        </w:rPr>
        <w:t>(R)</w:t>
      </w:r>
      <w:r>
        <w:rPr>
          <w:rFonts w:ascii="Times New Roman" w:cs="Times New Roman" w:eastAsia="Times New Roman" w:hAnsi="Times New Roman"/>
          <w:sz w:val="18"/>
          <w:szCs w:val="18"/>
          <w:color w:val="auto"/>
        </w:rPr>
        <w:t>, Perspectum Diagnostics). The trial also did not meet secondary endpoints that measure liver stiffness as a surrogate for fibrosis using, magnetic resonance-elastography and FibroScan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NASH.</w:t>
      </w:r>
    </w:p>
    <w:p>
      <w:pPr>
        <w:spacing w:after="0" w:line="194" w:lineRule="exact"/>
        <w:rPr>
          <w:sz w:val="20"/>
          <w:szCs w:val="20"/>
          <w:color w:val="auto"/>
        </w:rPr>
      </w:pPr>
    </w:p>
    <w:p>
      <w:pPr>
        <w:ind w:right="140" w:firstLine="348"/>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NASH-CX Trial: </w:t>
      </w:r>
      <w:r>
        <w:rPr>
          <w:rFonts w:ascii="Times New Roman" w:cs="Times New Roman" w:eastAsia="Times New Roman" w:hAnsi="Times New Roman"/>
          <w:sz w:val="18"/>
          <w:szCs w:val="18"/>
          <w:color w:val="auto"/>
        </w:rPr>
        <w:t>The NASH-CX trial was a larger multi-center clinical trial that explored the use of belapectin for the treatment of patients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well-compensated NASH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 liver biopsy, measurement of liver stiffness (FibroScan) and assessment of liver metabolism (</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w:t>
      </w:r>
    </w:p>
    <w:p>
      <w:pPr>
        <w:spacing w:after="0" w:line="200" w:lineRule="exact"/>
        <w:rPr>
          <w:sz w:val="20"/>
          <w:szCs w:val="20"/>
          <w:color w:val="auto"/>
        </w:rPr>
      </w:pPr>
    </w:p>
    <w:p>
      <w:pPr>
        <w:ind w:right="120" w:firstLine="348"/>
        <w:spacing w:after="0" w:line="266" w:lineRule="auto"/>
        <w:rPr>
          <w:sz w:val="20"/>
          <w:szCs w:val="20"/>
          <w:color w:val="auto"/>
        </w:rPr>
      </w:pPr>
      <w:r>
        <w:rPr>
          <w:rFonts w:ascii="Times New Roman" w:cs="Times New Roman" w:eastAsia="Times New Roman" w:hAnsi="Times New Roman"/>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76" w:lineRule="exact"/>
        <w:rPr>
          <w:sz w:val="20"/>
          <w:szCs w:val="20"/>
          <w:color w:val="auto"/>
        </w:rPr>
      </w:pPr>
    </w:p>
    <w:p>
      <w:pPr>
        <w:ind w:right="280" w:firstLine="348"/>
        <w:spacing w:after="0" w:line="266" w:lineRule="auto"/>
        <w:rPr>
          <w:sz w:val="20"/>
          <w:szCs w:val="20"/>
          <w:color w:val="auto"/>
        </w:rPr>
      </w:pPr>
      <w:r>
        <w:rPr>
          <w:rFonts w:ascii="Times New Roman" w:cs="Times New Roman" w:eastAsia="Times New Roman" w:hAnsi="Times New Roman"/>
          <w:sz w:val="18"/>
          <w:szCs w:val="18"/>
          <w:color w:val="auto"/>
        </w:rPr>
        <w:t>In those NASH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76" w:lineRule="exact"/>
        <w:rPr>
          <w:sz w:val="20"/>
          <w:szCs w:val="20"/>
          <w:color w:val="auto"/>
        </w:rPr>
      </w:pPr>
    </w:p>
    <w:p>
      <w:pPr>
        <w:ind w:right="260" w:firstLine="348"/>
        <w:spacing w:after="0" w:line="261" w:lineRule="auto"/>
        <w:rPr>
          <w:sz w:val="20"/>
          <w:szCs w:val="20"/>
          <w:color w:val="auto"/>
        </w:rPr>
      </w:pPr>
      <w:r>
        <w:rPr>
          <w:rFonts w:ascii="Times New Roman" w:cs="Times New Roman" w:eastAsia="Times New Roman" w:hAnsi="Times New Roman"/>
          <w:sz w:val="18"/>
          <w:szCs w:val="18"/>
          <w:color w:val="auto"/>
        </w:rPr>
        <w:t>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80"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Over the 54-week treatment period, in patients without varices at baseline there were also a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NASH cirrhosis.</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major conclusions from the NASH-CX trial results were that: (i) belapectin had a statistically significant and clinically meaningful effect in improving HVPG vs placebo in patients with NASH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NASH cirrhosis who have not yet developed esophageal varices.</w:t>
      </w:r>
    </w:p>
    <w:p>
      <w:pPr>
        <w:spacing w:after="0" w:line="188" w:lineRule="exact"/>
        <w:rPr>
          <w:sz w:val="20"/>
          <w:szCs w:val="20"/>
          <w:color w:val="auto"/>
        </w:rPr>
      </w:pPr>
    </w:p>
    <w:p>
      <w:pPr>
        <w:ind w:right="360" w:firstLine="348"/>
        <w:spacing w:after="0" w:line="282" w:lineRule="auto"/>
        <w:rPr>
          <w:sz w:val="20"/>
          <w:szCs w:val="20"/>
          <w:color w:val="auto"/>
        </w:rPr>
      </w:pPr>
      <w:r>
        <w:rPr>
          <w:rFonts w:ascii="Times New Roman" w:cs="Times New Roman" w:eastAsia="Times New Roman" w:hAnsi="Times New Roman"/>
          <w:sz w:val="18"/>
          <w:szCs w:val="18"/>
          <w:color w:val="auto"/>
        </w:rPr>
        <w:t xml:space="preserve">Further information and details on the NASH-CX results is available in public presentations posted to our website and filed with the SEC and in a peer reviewed publication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2020;158:1334–1345.</w:t>
      </w:r>
    </w:p>
    <w:p>
      <w:pPr>
        <w:spacing w:after="0" w:line="158"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NASH NAVIGATE Trial: </w:t>
      </w:r>
      <w:r>
        <w:rPr>
          <w:rFonts w:ascii="Times New Roman" w:cs="Times New Roman" w:eastAsia="Times New Roman" w:hAnsi="Times New Roman"/>
          <w:sz w:val="18"/>
          <w:szCs w:val="18"/>
          <w:color w:val="auto"/>
        </w:rPr>
        <w:t>Building on the experience of the NASH-CX trial, the NAVIGATE Trial is a seamless adaptively-designed Phase 2b/3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study evaluating the safety and efficacy of our galectin-3 inhibitor, belapectin,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this trial will assess the effect of belapectin on the incidence of new varices (the primary endpoint) – as well as assessing the effect of belapectin on the incidence of additional clinically significant cirrhosis-related outcomes (a key secondary efficacy endpoint), (ii) The study targets NASH patients with a clearly identified unmet medical need: patients with compensated cirrhosis who have clinical signs of portal hypertension and, thus, are at risk of developing esophageal varices, a potentially life-threatening complication of cirrhosis (bleeding varices are a cause of death in about one-third of cirrhotic patients). There is currently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the best belapectin dose will be selected, based on efficacy and safety, for continued evaluation (Phase 3). The belapectin dose selected for the phase 2b/3 were based on the analysis of the NASH-CX trial. Prior belapectin clinical studies have also indicated the good tolerance and safety profile of belapectin with doses of up to 8 mg/kg LBM for up to 52 weeks, an important feature to inform the future risk benefit analysis in patients with NASH cirrhosis.</w:t>
      </w:r>
    </w:p>
    <w:p>
      <w:pPr>
        <w:spacing w:after="0" w:line="189"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study design provides for a pre-specified interim analysis (IA). The IA of efficacy and safety data will be conducted after all planned subjects in Phase 2b component have completed at least 78 weeks (18 months) of treatment and a second esophago-gastro-duodeno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cirrhosis status, (5) and/or termination of the study for overwhelming efficacy or for futility.</w:t>
      </w:r>
    </w:p>
    <w:p>
      <w:pPr>
        <w:spacing w:after="0" w:line="187"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us to confirm the underlying assumption regarding the rate of varices development, currently estimated from our prior Phase 2b trial (NASH-CX). The study design also minimizes invasive testing requirements, such as the measurement of HVPG or repeated liver biopsies, which we believe are particularly risky in patients with portal hypertension and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89"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We believe that these adaptations taken together are innovative and optimize conduct of the NAVIGATE trial with a clinically relevant primary outcome giving belapectin the best opportunity to show a positive therapeutic effect to address an unmet medical need. As a testimony of this innovation, the NAVIGATE trial design was presented to the hepatology community and featured during the last meeting of the American Association for the Study of Liver Diseases, in November 2021. If the IA results of the NAVIGATE trial are compelling, there could be the potential for accelerated FDA approval and/or partnership opportunity with a pharmaceutical company.</w:t>
      </w:r>
    </w:p>
    <w:p>
      <w:pPr>
        <w:spacing w:after="0" w:line="183" w:lineRule="exact"/>
        <w:rPr>
          <w:sz w:val="20"/>
          <w:szCs w:val="20"/>
          <w:color w:val="auto"/>
        </w:rPr>
      </w:pPr>
    </w:p>
    <w:p>
      <w:pPr>
        <w:ind w:right="360" w:firstLine="348"/>
        <w:spacing w:after="0" w:line="258" w:lineRule="auto"/>
        <w:rPr>
          <w:sz w:val="20"/>
          <w:szCs w:val="20"/>
          <w:color w:val="auto"/>
        </w:rPr>
      </w:pPr>
      <w:r>
        <w:rPr>
          <w:rFonts w:ascii="Times New Roman" w:cs="Times New Roman" w:eastAsia="Times New Roman" w:hAnsi="Times New Roman"/>
          <w:sz w:val="18"/>
          <w:szCs w:val="18"/>
          <w:color w:val="auto"/>
        </w:rPr>
        <w:t>In the Phase 3 component of this trial, as proposed in the protocol, the primary endpoint remain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but not limited to, a low platelet count, an increased spleen size and/or evidence of abdominal collaterals circulation.</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00" w:firstLine="348"/>
        <w:spacing w:after="0" w:line="281" w:lineRule="auto"/>
        <w:rPr>
          <w:sz w:val="20"/>
          <w:szCs w:val="20"/>
          <w:color w:val="auto"/>
        </w:rPr>
      </w:pPr>
      <w:r>
        <w:rPr>
          <w:rFonts w:ascii="Times New Roman" w:cs="Times New Roman" w:eastAsia="Times New Roman" w:hAnsi="Times New Roman"/>
          <w:sz w:val="17"/>
          <w:szCs w:val="17"/>
          <w:color w:val="auto"/>
        </w:rPr>
        <w:t>The focus and goal of the therapeutic program is to stop the progression of and/or reverse portal hypertension and thereby prevent the development of varices, potentially one of the most immediately life-threatening complication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 for whom, currently no specific, liver targeted, treatment are available.</w:t>
      </w:r>
    </w:p>
    <w:p>
      <w:pPr>
        <w:spacing w:after="0" w:line="164" w:lineRule="exact"/>
        <w:rPr>
          <w:sz w:val="20"/>
          <w:szCs w:val="20"/>
          <w:color w:val="auto"/>
        </w:rPr>
      </w:pPr>
    </w:p>
    <w:p>
      <w:pPr>
        <w:ind w:right="120" w:firstLine="348"/>
        <w:spacing w:after="0" w:line="253" w:lineRule="auto"/>
        <w:rPr>
          <w:sz w:val="20"/>
          <w:szCs w:val="20"/>
          <w:color w:val="auto"/>
        </w:rPr>
      </w:pPr>
      <w:r>
        <w:rPr>
          <w:rFonts w:ascii="Times New Roman" w:cs="Times New Roman" w:eastAsia="Times New Roman" w:hAnsi="Times New Roman"/>
          <w:sz w:val="18"/>
          <w:szCs w:val="18"/>
          <w:color w:val="auto"/>
        </w:rPr>
        <w:t>The COVID-19 pandemic has delayed and may continue to delay our regulatory and ethics approvals, recruitment of sites, and enrollment of patients for our Phase 2b/3 NAVIGATE trial despite a recent uptick in screening activities. Many investigational centers in the United States and Europe have experienced shut-downs, and while some have loosened or removed restrictions, there may be a risk of experiencing new shut-downs and restrictions. In some countries, shutdown orders have also affected the regulatory process to authorize study starts. Governments and medical facilities have focused their resources for battling the COVID-19 pandemic. For several reasons, the pandemic makes enrolling patients for the NAVIGATE trial more challenging, including because patients eligible for the NAVIGATE trial have liver cirrhosis and, as such, are at a greater health risk of complications from COVID-19. It is also important to consider the safety of our candidate participants first, as cirrhotic patients with portal hypertension are immune compromised. We believe that as we continue to emerge from the COVID-19 pandemic, site recruitment and patient enrollment will accelerate and we have experienced increases in enrollment, particularly in the U.S. However, we have not seen the enrollment in Europe that we anticipated, and conditions there remain uncertain. Consequently, we have activated multiple sites in Latin America. At this time, enrollment completion of the Phase 2b portion of the trial is expected in the fourth quarter of 2022.</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identified and activated approximately 140 clinical trial sites in 15 countries for the NAVIGATE trial.</w:t>
      </w:r>
    </w:p>
    <w:p>
      <w:pPr>
        <w:spacing w:after="0" w:line="225" w:lineRule="exact"/>
        <w:rPr>
          <w:sz w:val="20"/>
          <w:szCs w:val="20"/>
          <w:color w:val="auto"/>
        </w:rPr>
      </w:pPr>
    </w:p>
    <w:p>
      <w:pPr>
        <w:ind w:right="1460" w:firstLine="348"/>
        <w:spacing w:after="0" w:line="282" w:lineRule="auto"/>
        <w:rPr>
          <w:sz w:val="20"/>
          <w:szCs w:val="20"/>
          <w:color w:val="auto"/>
        </w:rPr>
      </w:pPr>
      <w:r>
        <w:rPr>
          <w:rFonts w:ascii="Times New Roman" w:cs="Times New Roman" w:eastAsia="Times New Roman" w:hAnsi="Times New Roman"/>
          <w:sz w:val="18"/>
          <w:szCs w:val="18"/>
          <w:color w:val="auto"/>
        </w:rPr>
        <w:t xml:space="preserve">Further details on the NAVIGATE trial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and on our NAVIGATE website (navigatenash.com).</w:t>
      </w:r>
    </w:p>
    <w:p>
      <w:pPr>
        <w:spacing w:after="0" w:line="162"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 xml:space="preserve">The Company also has commenced a Hepatic Impairment Study, which will run in parallel with the phase 2b/3 trial as part of the development program. The Hepatic Impairment Study is being conducted at three sites and involves approximately 40 patients (divided amongst normal healthy volunteers, and patients with hepatic impairment categorized as Child-Turcotte-Pugh (CTP) classes A (mild), B (moderate), and C (severe). Each subject will receive a single infusion of belapectin (4 mg/kg LBM) and their serum belapectin levels will be monitored for up to approximately two weeks to define the effects of various stages of cirrhosis on serum belapectin levels. The tolerance and safety of belapectin will be evaluated. Enrollment in this study was completed in February 2022, and the results will be announced when available. Based on the results from this hepatic impairment study, the Company may consider including patients with more advanced cirrhosis in the Phase 3 portion of its NAVIGATE trial. Until dosing and safety profile is further informed in CTP Class B and/or Class C patients, the NAVIGATE trial will enroll only CTP Class A patients. Further details on this hepatic impairment study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study NCT04332432.</w:t>
      </w:r>
    </w:p>
    <w:p>
      <w:pPr>
        <w:spacing w:after="0" w:line="186" w:lineRule="exact"/>
        <w:rPr>
          <w:sz w:val="20"/>
          <w:szCs w:val="20"/>
          <w:color w:val="auto"/>
        </w:rPr>
      </w:pPr>
    </w:p>
    <w:p>
      <w:pPr>
        <w:ind w:right="100" w:firstLine="348"/>
        <w:spacing w:after="0"/>
        <w:rPr>
          <w:sz w:val="20"/>
          <w:szCs w:val="20"/>
          <w:color w:val="auto"/>
        </w:rPr>
      </w:pPr>
      <w:r>
        <w:rPr>
          <w:rFonts w:ascii="Times New Roman" w:cs="Times New Roman" w:eastAsia="Times New Roman" w:hAnsi="Times New Roman"/>
          <w:sz w:val="18"/>
          <w:szCs w:val="18"/>
          <w:i w:val="1"/>
          <w:iCs w:val="1"/>
          <w:color w:val="auto"/>
        </w:rPr>
        <w:t xml:space="preserve">Cancer Immunotherapy. </w:t>
      </w:r>
      <w:r>
        <w:rPr>
          <w:rFonts w:ascii="Times New Roman" w:cs="Times New Roman" w:eastAsia="Times New Roman" w:hAnsi="Times New Roman"/>
          <w:sz w:val="18"/>
          <w:szCs w:val="18"/>
          <w:color w:val="auto"/>
        </w:rPr>
        <w:t>We believe there is potential for galectin inhibition to play a key role in the innovative area of cancer immunotherapy.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there have been several recent approvals of drugs that enhance a patient’s immune system to fight cancer. It is our goal to use ourgalectin-3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 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w:t>
      </w:r>
    </w:p>
    <w:p>
      <w:pPr>
        <w:spacing w:after="0" w:line="200" w:lineRule="exact"/>
        <w:rPr>
          <w:sz w:val="20"/>
          <w:szCs w:val="20"/>
          <w:color w:val="auto"/>
        </w:rPr>
      </w:pPr>
    </w:p>
    <w:p>
      <w:pPr>
        <w:ind w:right="780" w:firstLine="348"/>
        <w:spacing w:after="0" w:line="282" w:lineRule="auto"/>
        <w:rPr>
          <w:sz w:val="20"/>
          <w:szCs w:val="20"/>
          <w:color w:val="auto"/>
        </w:rPr>
      </w:pPr>
      <w:r>
        <w:rPr>
          <w:rFonts w:ascii="Times New Roman" w:cs="Times New Roman" w:eastAsia="Times New Roman" w:hAnsi="Times New Roman"/>
          <w:sz w:val="18"/>
          <w:szCs w:val="18"/>
          <w:color w:val="auto"/>
        </w:rPr>
        <w:t>The phase IB study in combination with Yervoy was rapidly discontinued after the first patients were recruited because of the availability on new treatment in the selected population.</w:t>
      </w:r>
    </w:p>
    <w:p>
      <w:pPr>
        <w:spacing w:after="0" w:line="152" w:lineRule="exact"/>
        <w:rPr>
          <w:sz w:val="20"/>
          <w:szCs w:val="20"/>
          <w:color w:val="auto"/>
        </w:rPr>
      </w:pPr>
    </w:p>
    <w:p>
      <w:pPr>
        <w:ind w:right="40" w:firstLine="355"/>
        <w:spacing w:after="0" w:line="237" w:lineRule="auto"/>
        <w:rPr>
          <w:sz w:val="20"/>
          <w:szCs w:val="20"/>
          <w:color w:val="auto"/>
        </w:rPr>
      </w:pPr>
      <w:r>
        <w:rPr>
          <w:rFonts w:ascii="Times New Roman" w:cs="Times New Roman" w:eastAsia="Times New Roman" w:hAnsi="Times New Roman"/>
          <w:sz w:val="18"/>
          <w:szCs w:val="18"/>
          <w:color w:val="auto"/>
        </w:rPr>
        <w:t>Promising results were reported in the Phase 1b trial combining belapectin with pembrolizumab (KEYTRUDA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of course,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2022 Compared to Three and Six Months Ended June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80" w:type="dxa"/>
            <w:vAlign w:val="bottom"/>
          </w:tcPr>
          <w:p>
            <w:pPr>
              <w:spacing w:after="0"/>
              <w:rPr>
                <w:sz w:val="20"/>
                <w:szCs w:val="20"/>
                <w:color w:val="auto"/>
              </w:rPr>
            </w:pPr>
          </w:p>
        </w:tc>
        <w:tc>
          <w:tcPr>
            <w:tcW w:w="20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2022 as Compared to 2021</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6"/>
              </w:rPr>
              <w:t>June 30,</w:t>
            </w: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June 30,</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color w:val="auto"/>
              </w:rPr>
              <w:t>Three Months</w:t>
            </w:r>
          </w:p>
        </w:tc>
        <w:tc>
          <w:tcPr>
            <w:tcW w:w="1900" w:type="dxa"/>
            <w:vAlign w:val="bottom"/>
            <w:tcBorders>
              <w:top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Six Months</w:t>
            </w:r>
          </w:p>
        </w:tc>
        <w:tc>
          <w:tcPr>
            <w:tcW w:w="160" w:type="dxa"/>
            <w:vAlign w:val="bottom"/>
          </w:tcPr>
          <w:p>
            <w:pPr>
              <w:spacing w:after="0"/>
              <w:rPr>
                <w:sz w:val="19"/>
                <w:szCs w:val="19"/>
                <w:color w:val="auto"/>
              </w:rPr>
            </w:pPr>
          </w:p>
        </w:tc>
      </w:tr>
      <w:tr>
        <w:trPr>
          <w:trHeight w:val="223"/>
        </w:trPr>
        <w:tc>
          <w:tcPr>
            <w:tcW w:w="2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 Change</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160" w:type="dxa"/>
            <w:vAlign w:val="bottom"/>
          </w:tcPr>
          <w:p>
            <w:pPr>
              <w:spacing w:after="0"/>
              <w:rPr>
                <w:sz w:val="19"/>
                <w:szCs w:val="19"/>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 thousands, except %)</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11,349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1,624</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4,783</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98"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9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4"/>
                <w:szCs w:val="24"/>
                <w:color w:val="auto"/>
              </w:rPr>
            </w:pPr>
          </w:p>
        </w:tc>
        <w:tc>
          <w:tcPr>
            <w:tcW w:w="23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41"/>
        </w:trPr>
        <w:tc>
          <w:tcPr>
            <w:tcW w:w="1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w:t>
            </w:r>
          </w:p>
        </w:tc>
        <w:tc>
          <w:tcPr>
            <w:tcW w:w="13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9"/>
              </w:rPr>
              <w:t>thousands)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44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Clinical programs</w:t>
            </w:r>
          </w:p>
        </w:tc>
        <w:tc>
          <w:tcPr>
            <w:tcW w:w="6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13,660</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10,161</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Pre-clinical activities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Pr>
          <w:p>
            <w:pPr>
              <w:spacing w:after="0"/>
              <w:rPr>
                <w:sz w:val="18"/>
                <w:szCs w:val="18"/>
                <w:color w:val="auto"/>
              </w:rPr>
            </w:pP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research and development expenses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6,450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11,349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Clinical programs expenses increased primarily due to costs related to our NAVIGATE trial during the three and six months ended June 30, 2022.</w:t>
      </w:r>
    </w:p>
    <w:p>
      <w:pPr>
        <w:spacing w:after="0" w:line="225"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344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2022 as Compared to 2021</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5"/>
          </w:tcPr>
          <w:p>
            <w:pPr>
              <w:ind w:left="300"/>
              <w:spacing w:after="0" w:line="198" w:lineRule="exact"/>
              <w:rPr>
                <w:sz w:val="20"/>
                <w:szCs w:val="20"/>
                <w:color w:val="auto"/>
              </w:rPr>
            </w:pPr>
            <w:r>
              <w:rPr>
                <w:rFonts w:ascii="Times New Roman" w:cs="Times New Roman" w:eastAsia="Times New Roman" w:hAnsi="Times New Roman"/>
                <w:sz w:val="18"/>
                <w:szCs w:val="18"/>
                <w:color w:val="auto"/>
              </w:rPr>
              <w:t>Three Months</w:t>
            </w:r>
          </w:p>
        </w:tc>
        <w:tc>
          <w:tcPr>
            <w:tcW w:w="180" w:type="dxa"/>
            <w:vAlign w:val="bottom"/>
          </w:tcPr>
          <w:p>
            <w:pPr>
              <w:spacing w:after="0"/>
              <w:rPr>
                <w:sz w:val="17"/>
                <w:szCs w:val="17"/>
                <w:color w:val="auto"/>
              </w:rPr>
            </w:pPr>
          </w:p>
        </w:tc>
        <w:tc>
          <w:tcPr>
            <w:tcW w:w="2040" w:type="dxa"/>
            <w:vAlign w:val="bottom"/>
            <w:gridSpan w:val="5"/>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rPr>
              <w:t>Six Months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Ended June 30,</w:t>
            </w:r>
          </w:p>
        </w:tc>
        <w:tc>
          <w:tcPr>
            <w:tcW w:w="180" w:type="dxa"/>
            <w:vAlign w:val="bottom"/>
          </w:tcPr>
          <w:p>
            <w:pPr>
              <w:spacing w:after="0"/>
              <w:rPr>
                <w:sz w:val="20"/>
                <w:szCs w:val="20"/>
                <w:color w:val="auto"/>
              </w:rPr>
            </w:pPr>
          </w:p>
        </w:tc>
        <w:tc>
          <w:tcPr>
            <w:tcW w:w="20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Ended June 30,</w:t>
            </w:r>
          </w:p>
        </w:tc>
        <w:tc>
          <w:tcPr>
            <w:tcW w:w="100" w:type="dxa"/>
            <w:vAlign w:val="bottom"/>
          </w:tcPr>
          <w:p>
            <w:pPr>
              <w:spacing w:after="0"/>
              <w:rPr>
                <w:sz w:val="20"/>
                <w:szCs w:val="20"/>
                <w:color w:val="auto"/>
              </w:rPr>
            </w:pPr>
          </w:p>
        </w:tc>
        <w:tc>
          <w:tcPr>
            <w:tcW w:w="23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color w:val="auto"/>
              </w:rPr>
              <w:t>Three Months</w:t>
            </w:r>
          </w:p>
        </w:tc>
        <w:tc>
          <w:tcPr>
            <w:tcW w:w="206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Six Months</w:t>
            </w:r>
          </w:p>
        </w:tc>
      </w:tr>
      <w:tr>
        <w:trPr>
          <w:trHeight w:val="223"/>
        </w:trPr>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 Change</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Change</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 Change</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16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(In thousands, except %)</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1,588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8" w:lineRule="exact"/>
        <w:rPr>
          <w:sz w:val="20"/>
          <w:szCs w:val="20"/>
          <w:color w:val="auto"/>
        </w:rPr>
      </w:pPr>
    </w:p>
    <w:p>
      <w:pPr>
        <w:jc w:val="both"/>
        <w:ind w:right="20" w:firstLine="441"/>
        <w:spacing w:after="0" w:line="272"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including stock-based compensation, legal and accounting fees, insurance, investor relations, business development and other office related expenses. The primary reasons for the decrease in general and administrative expenses for the three months ended June 30, 2022 as compared to the same period in 2021 are due to decreases investor relations/business development expense of $212,000.</w:t>
      </w:r>
    </w:p>
    <w:p>
      <w:pPr>
        <w:spacing w:after="0" w:line="2"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The primary reasons for the increase in general and administrative expenses for the six months ended June 30, 2022 as compared to the same period in 2021 are due to increases in non-cash stock based compensation expense of $446,000 partially offset by decrease in investor relations/business development expense of $187,000.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Since our inception on July 10, 2000, we have financed our operations from proceeds of public and private offerings of debt and equity. At June 30, 2022, the Company had $24,178,000 of unrestricted cash and cash equivalents available to fund future operations. In July 2022, the Company entered into a $60 million unsecured line of credit financing with its chairman, Richard E. Uihlein (See Note 12). The Company believes there is sufficient cash, including availability of the line of credit, to fund currently planned operations at least through December 31, 2024.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88"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Net cash used in operations increased by $3,111,000 to $15,470,000 for the six months ended June 30, 2022, as compared to $12,359,000 for the six months ended June 30, 2021. Cash operating expenses increased principally due to the preparations and expenses related to our NAVIGATE clinical trial with belapectin.</w:t>
      </w:r>
    </w:p>
    <w:p>
      <w:pPr>
        <w:spacing w:after="0" w:line="176"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2021, of $16,815,000 represents proceeds of $10,000,000 from a convertible note payable, $2,951,000 from the exercise of common stock warrants and $3,864,000 in net proceeds from issuance of common shares under our ATM.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229" w:lineRule="exact"/>
        <w:rPr>
          <w:sz w:val="20"/>
          <w:szCs w:val="20"/>
          <w:color w:val="auto"/>
        </w:rPr>
      </w:pPr>
    </w:p>
    <w:p>
      <w:pPr>
        <w:jc w:val="both"/>
        <w:ind w:right="420" w:firstLine="441"/>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83"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derivatives and income taxes. For a more detailed discussion of our critical accounting policies, please refer to our 2021 Annual Report on Form 10-K.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June 30, 2022, our disclosure controls and procedures were effective.</w:t>
      </w:r>
    </w:p>
    <w:p>
      <w:pPr>
        <w:spacing w:after="0" w:line="176"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2022, no change in our internal control over financial reporting has materially affected, or is reasonably likely to materially affect, our internal control over financial reporting.</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information set forth in this report should be read in conjunction with the risk factors set forth in Item 1A, “Risk Factors,” of Part I of our Annual Report on Form 10-K for the year ended December 31, 2021, which could materially impact our business, financial condition or future results.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0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354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Note</w:t>
            </w:r>
          </w:p>
        </w:tc>
        <w:tc>
          <w:tcPr>
            <w:tcW w:w="0" w:type="dxa"/>
            <w:vAlign w:val="bottom"/>
          </w:tcPr>
          <w:p>
            <w:pPr>
              <w:spacing w:after="0"/>
              <w:rPr>
                <w:sz w:val="1"/>
                <w:szCs w:val="1"/>
                <w:color w:val="auto"/>
              </w:rPr>
            </w:pPr>
          </w:p>
        </w:tc>
      </w:tr>
      <w:tr>
        <w:trPr>
          <w:trHeight w:val="184"/>
        </w:trPr>
        <w:tc>
          <w:tcPr>
            <w:tcW w:w="800" w:type="dxa"/>
            <w:vAlign w:val="bottom"/>
            <w:gridSpan w:val="5"/>
          </w:tcPr>
          <w:p>
            <w:pPr>
              <w:jc w:val="center"/>
              <w:ind w:left="70"/>
              <w:spacing w:after="0" w:line="16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3540" w:type="dxa"/>
            <w:vAlign w:val="bottom"/>
          </w:tcPr>
          <w:p>
            <w:pPr>
              <w:spacing w:after="0"/>
              <w:rPr>
                <w:sz w:val="16"/>
                <w:szCs w:val="16"/>
                <w:color w:val="auto"/>
              </w:rPr>
            </w:pPr>
          </w:p>
        </w:tc>
        <w:tc>
          <w:tcPr>
            <w:tcW w:w="860" w:type="dxa"/>
            <w:vAlign w:val="bottom"/>
          </w:tcPr>
          <w:p>
            <w:pPr>
              <w:ind w:left="40"/>
              <w:spacing w:after="0" w:line="164"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41"/>
        </w:trPr>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40" w:type="dxa"/>
            <w:vAlign w:val="bottom"/>
          </w:tcPr>
          <w:p>
            <w:pPr>
              <w:spacing w:after="0"/>
              <w:rPr>
                <w:sz w:val="3"/>
                <w:szCs w:val="3"/>
                <w:color w:val="auto"/>
              </w:rPr>
            </w:pPr>
          </w:p>
        </w:tc>
        <w:tc>
          <w:tcPr>
            <w:tcW w:w="198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5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gridSpan w:val="4"/>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1*</w:t>
            </w:r>
          </w:p>
        </w:tc>
        <w:tc>
          <w:tcPr>
            <w:tcW w:w="80" w:type="dxa"/>
            <w:vAlign w:val="bottom"/>
            <w:shd w:val="clear" w:color="auto" w:fill="CCEEFF"/>
          </w:tcPr>
          <w:p>
            <w:pPr>
              <w:spacing w:after="0"/>
              <w:rPr>
                <w:sz w:val="17"/>
                <w:szCs w:val="17"/>
                <w:color w:val="auto"/>
              </w:rPr>
            </w:pPr>
          </w:p>
        </w:tc>
        <w:tc>
          <w:tcPr>
            <w:tcW w:w="6040" w:type="dxa"/>
            <w:vAlign w:val="bottom"/>
            <w:gridSpan w:val="4"/>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c>
          <w:tcPr>
            <w:tcW w:w="3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gridSpan w:val="4"/>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2*</w:t>
            </w:r>
          </w:p>
        </w:tc>
        <w:tc>
          <w:tcPr>
            <w:tcW w:w="80" w:type="dxa"/>
            <w:vAlign w:val="bottom"/>
            <w:shd w:val="clear" w:color="auto" w:fill="CCEEFF"/>
          </w:tcPr>
          <w:p>
            <w:pPr>
              <w:spacing w:after="0"/>
              <w:rPr>
                <w:sz w:val="17"/>
                <w:szCs w:val="17"/>
                <w:color w:val="auto"/>
              </w:rPr>
            </w:pPr>
          </w:p>
        </w:tc>
        <w:tc>
          <w:tcPr>
            <w:tcW w:w="6040" w:type="dxa"/>
            <w:vAlign w:val="bottom"/>
            <w:gridSpan w:val="4"/>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c>
          <w:tcPr>
            <w:tcW w:w="3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gridSpan w:val="2"/>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5"/>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0440" w:type="dxa"/>
            <w:vAlign w:val="bottom"/>
            <w:gridSpan w:val="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6"/>
        </w:trPr>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gridSpan w:val="5"/>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6040" w:type="dxa"/>
            <w:vAlign w:val="bottom"/>
            <w:gridSpan w:val="4"/>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w:t>
            </w:r>
          </w:p>
        </w:tc>
        <w:tc>
          <w:tcPr>
            <w:tcW w:w="440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906 of the Sarbanes-Oxley Act of 2002</w:t>
            </w:r>
          </w:p>
        </w:tc>
        <w:tc>
          <w:tcPr>
            <w:tcW w:w="0" w:type="dxa"/>
            <w:vAlign w:val="bottom"/>
          </w:tcPr>
          <w:p>
            <w:pPr>
              <w:spacing w:after="0"/>
              <w:rPr>
                <w:sz w:val="1"/>
                <w:szCs w:val="1"/>
                <w:color w:val="auto"/>
              </w:rPr>
            </w:pPr>
          </w:p>
        </w:tc>
      </w:tr>
      <w:tr>
        <w:trPr>
          <w:trHeight w:val="216"/>
        </w:trPr>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gridSpan w:val="2"/>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40" w:type="dxa"/>
            <w:vAlign w:val="bottom"/>
            <w:gridSpan w:val="6"/>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The following financial statements and footnotes from the Registrant’s Quarterly Report on Form 10-Q for the fiscal quarter ended</w:t>
            </w:r>
          </w:p>
        </w:tc>
        <w:tc>
          <w:tcPr>
            <w:tcW w:w="0" w:type="dxa"/>
            <w:vAlign w:val="bottom"/>
          </w:tcPr>
          <w:p>
            <w:pPr>
              <w:spacing w:after="0"/>
              <w:rPr>
                <w:sz w:val="1"/>
                <w:szCs w:val="1"/>
                <w:color w:val="auto"/>
              </w:rPr>
            </w:pPr>
          </w:p>
        </w:tc>
      </w:tr>
      <w:tr>
        <w:trPr>
          <w:trHeight w:val="234"/>
        </w:trPr>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June 30, 2022 formatted in Inline Extensible Business Reporting Language (Inline XBRL):</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5"/>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101.INS</w:t>
            </w:r>
          </w:p>
        </w:tc>
        <w:tc>
          <w:tcPr>
            <w:tcW w:w="60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70"/>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60" w:type="dxa"/>
            <w:vAlign w:val="bottom"/>
            <w:gridSpan w:val="3"/>
          </w:tcPr>
          <w:p>
            <w:pPr>
              <w:ind w:left="4760"/>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80" w:type="dxa"/>
            <w:vAlign w:val="bottom"/>
            <w:gridSpan w:val="6"/>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60" w:type="dxa"/>
            <w:vAlign w:val="bottom"/>
            <w:tcBorders>
              <w:top w:val="single" w:sz="8" w:color="0000EE"/>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0" w:type="dxa"/>
            <w:vAlign w:val="bottom"/>
          </w:tcPr>
          <w:p>
            <w:pPr>
              <w:spacing w:after="0"/>
              <w:rPr>
                <w:sz w:val="1"/>
                <w:szCs w:val="1"/>
                <w:color w:val="auto"/>
              </w:rPr>
            </w:pPr>
          </w:p>
        </w:tc>
      </w:tr>
      <w:tr>
        <w:trPr>
          <w:trHeight w:val="184"/>
        </w:trPr>
        <w:tc>
          <w:tcPr>
            <w:tcW w:w="860" w:type="dxa"/>
            <w:vAlign w:val="bottom"/>
          </w:tcPr>
          <w:p>
            <w:pPr>
              <w:ind w:left="160"/>
              <w:spacing w:after="0" w:line="164" w:lineRule="exact"/>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680" w:type="dxa"/>
            <w:vAlign w:val="bottom"/>
            <w:gridSpan w:val="2"/>
            <w:vMerge w:val="continue"/>
          </w:tcPr>
          <w:p>
            <w:pPr>
              <w:spacing w:after="0"/>
              <w:rPr>
                <w:sz w:val="16"/>
                <w:szCs w:val="16"/>
                <w:color w:val="auto"/>
              </w:rPr>
            </w:pPr>
          </w:p>
        </w:tc>
        <w:tc>
          <w:tcPr>
            <w:tcW w:w="8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8"/>
              </w:rPr>
              <w:t>Reference</w:t>
            </w:r>
          </w:p>
        </w:tc>
        <w:tc>
          <w:tcPr>
            <w:tcW w:w="0" w:type="dxa"/>
            <w:vAlign w:val="bottom"/>
          </w:tcPr>
          <w:p>
            <w:pPr>
              <w:spacing w:after="0"/>
              <w:rPr>
                <w:sz w:val="1"/>
                <w:szCs w:val="1"/>
                <w:color w:val="auto"/>
              </w:rPr>
            </w:pPr>
          </w:p>
        </w:tc>
      </w:tr>
      <w:tr>
        <w:trPr>
          <w:trHeight w:val="41"/>
        </w:trPr>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37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5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5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5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5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5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38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 document and included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 and not “filed” for purposes of Section 18 of the Securities Exchange Act of 1934, as amended.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August 15, 2022.</w:t>
      </w:r>
    </w:p>
    <w:p>
      <w:pPr>
        <w:spacing w:after="0" w:line="16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p>
      <w:pPr>
        <w:ind w:left="6740"/>
        <w:spacing w:after="0"/>
        <w:tabs>
          <w:tab w:leader="none" w:pos="7260" w:val="left"/>
        </w:tabs>
        <w:rPr>
          <w:sz w:val="20"/>
          <w:szCs w:val="20"/>
          <w:color w:val="auto"/>
        </w:rPr>
      </w:pPr>
      <w:r>
        <w:rPr>
          <w:rFonts w:ascii="Times New Roman" w:cs="Times New Roman" w:eastAsia="Times New Roman" w:hAnsi="Times New Roman"/>
          <w:sz w:val="18"/>
          <w:szCs w:val="18"/>
          <w:color w:val="auto"/>
        </w:rPr>
        <w:t>By:</w:t>
        <w:tab/>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26035</wp:posOffset>
            </wp:positionV>
            <wp:extent cx="25114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7" w:lineRule="exact"/>
        <w:rPr>
          <w:sz w:val="20"/>
          <w:szCs w:val="20"/>
          <w:color w:val="auto"/>
        </w:rPr>
      </w:pPr>
    </w:p>
    <w:p>
      <w:pPr>
        <w:ind w:left="6740"/>
        <w:spacing w:after="0"/>
        <w:tabs>
          <w:tab w:leader="none" w:pos="7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740"/>
        <w:spacing w:after="0"/>
        <w:tabs>
          <w:tab w:leader="none" w:pos="7260" w:val="left"/>
        </w:tabs>
        <w:rPr>
          <w:sz w:val="20"/>
          <w:szCs w:val="20"/>
          <w:color w:val="auto"/>
        </w:rPr>
      </w:pPr>
      <w:r>
        <w:rPr>
          <w:rFonts w:ascii="Times New Roman" w:cs="Times New Roman" w:eastAsia="Times New Roman" w:hAnsi="Times New Roman"/>
          <w:sz w:val="18"/>
          <w:szCs w:val="18"/>
          <w:color w:val="auto"/>
        </w:rPr>
        <w:t>By:</w:t>
        <w:tab/>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26035</wp:posOffset>
            </wp:positionV>
            <wp:extent cx="25114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27" w:lineRule="exact"/>
        <w:rPr>
          <w:sz w:val="20"/>
          <w:szCs w:val="20"/>
          <w:color w:val="auto"/>
        </w:rPr>
      </w:pPr>
    </w:p>
    <w:p>
      <w:pPr>
        <w:ind w:left="6740"/>
        <w:spacing w:after="0"/>
        <w:tabs>
          <w:tab w:leader="none" w:pos="7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1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5" w:right="8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Certification Pursuant to Rule 13a-14(a) of the Securities Exchange Act of 1934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Joel Lewis, certify that:</w:t>
      </w:r>
    </w:p>
    <w:p>
      <w:pPr>
        <w:spacing w:after="0" w:line="242"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Galectin Therapeutics Inc;</w:t>
      </w:r>
    </w:p>
    <w:p>
      <w:pPr>
        <w:spacing w:after="0" w:line="252" w:lineRule="exact"/>
        <w:rPr>
          <w:rFonts w:ascii="Times New Roman" w:cs="Times New Roman" w:eastAsia="Times New Roman" w:hAnsi="Times New Roman"/>
          <w:sz w:val="18"/>
          <w:szCs w:val="18"/>
          <w:color w:val="auto"/>
        </w:rPr>
      </w:pPr>
    </w:p>
    <w:p>
      <w:pPr>
        <w:jc w:val="both"/>
        <w:ind w:left="440" w:right="340" w:hanging="432"/>
        <w:spacing w:after="0" w:line="266"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40" w:right="300" w:hanging="432"/>
        <w:spacing w:after="0" w:line="282"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440" w:right="320" w:hanging="432"/>
        <w:spacing w:after="0" w:line="266"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2" w:lineRule="exact"/>
        <w:rPr>
          <w:rFonts w:ascii="Times New Roman" w:cs="Times New Roman" w:eastAsia="Times New Roman" w:hAnsi="Times New Roman"/>
          <w:sz w:val="18"/>
          <w:szCs w:val="18"/>
          <w:color w:val="auto"/>
        </w:rPr>
      </w:pPr>
    </w:p>
    <w:p>
      <w:pPr>
        <w:ind w:left="900" w:right="140" w:hanging="433"/>
        <w:spacing w:after="0" w:line="266"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00" w:right="440" w:hanging="433"/>
        <w:spacing w:after="0" w:line="266"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900" w:right="620" w:hanging="433"/>
        <w:spacing w:after="0" w:line="312" w:lineRule="auto"/>
        <w:tabs>
          <w:tab w:leader="none" w:pos="90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00" w:right="120" w:hanging="433"/>
        <w:spacing w:after="0" w:line="266"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440" w:right="220" w:hanging="432"/>
        <w:spacing w:after="0" w:line="282"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00" w:right="40" w:hanging="433"/>
        <w:spacing w:after="0" w:line="28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540" w:hanging="433"/>
        <w:spacing w:after="0" w:line="282" w:lineRule="auto"/>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7"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Certification Pursuant to Rule 13a-14(a) of the Securities Exchange Act of 1934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Jack W. Callicutt, certify that:</w:t>
      </w:r>
    </w:p>
    <w:p>
      <w:pPr>
        <w:spacing w:after="0" w:line="242"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Galectin Therapeutics Inc;</w:t>
      </w:r>
    </w:p>
    <w:p>
      <w:pPr>
        <w:spacing w:after="0" w:line="252" w:lineRule="exact"/>
        <w:rPr>
          <w:rFonts w:ascii="Times New Roman" w:cs="Times New Roman" w:eastAsia="Times New Roman" w:hAnsi="Times New Roman"/>
          <w:sz w:val="18"/>
          <w:szCs w:val="18"/>
          <w:color w:val="auto"/>
        </w:rPr>
      </w:pPr>
    </w:p>
    <w:p>
      <w:pPr>
        <w:jc w:val="both"/>
        <w:ind w:left="440" w:right="34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40" w:right="300" w:hanging="432"/>
        <w:spacing w:after="0" w:line="28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440" w:right="320" w:hanging="432"/>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2" w:lineRule="exact"/>
        <w:rPr>
          <w:rFonts w:ascii="Times New Roman" w:cs="Times New Roman" w:eastAsia="Times New Roman" w:hAnsi="Times New Roman"/>
          <w:sz w:val="18"/>
          <w:szCs w:val="18"/>
          <w:color w:val="auto"/>
        </w:rPr>
      </w:pPr>
    </w:p>
    <w:p>
      <w:pPr>
        <w:ind w:left="880" w:right="16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880" w:right="48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880" w:right="640" w:hanging="440"/>
        <w:spacing w:after="0" w:line="312" w:lineRule="auto"/>
        <w:tabs>
          <w:tab w:leader="none" w:pos="8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880" w:right="160" w:hanging="440"/>
        <w:spacing w:after="0" w:line="266"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440" w:right="220" w:hanging="432"/>
        <w:spacing w:after="0" w:line="282"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880" w:right="60" w:hanging="440"/>
        <w:spacing w:after="0" w:line="282"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7"/>
          <w:szCs w:val="17"/>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27"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b w:val="1"/>
          <w:bCs w:val="1"/>
          <w:color w:val="auto"/>
        </w:rPr>
        <w:t>CERTIFICATION PURSUANT TO 18 U.S.C. SECTION 1350, AS ADOPTED</w:t>
      </w:r>
    </w:p>
    <w:p>
      <w:pPr>
        <w:spacing w:after="0" w:line="1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b w:val="1"/>
          <w:bCs w:val="1"/>
          <w:color w:val="auto"/>
        </w:rPr>
        <w:t>PURSUANT TO SECTION 906 OF THE SARBANES-OXLEY ACT OF 2002</w:t>
      </w:r>
    </w:p>
    <w:p>
      <w:pPr>
        <w:spacing w:after="0" w:line="209" w:lineRule="exact"/>
        <w:rPr>
          <w:sz w:val="20"/>
          <w:szCs w:val="20"/>
          <w:color w:val="auto"/>
        </w:rPr>
      </w:pPr>
    </w:p>
    <w:p>
      <w:pPr>
        <w:ind w:right="40" w:firstLine="441"/>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Galectin Therapeutics Inc. (the “Company”) on Form 10-Q for the period ended June 30, 2022 as filed with the Securities and Exchange Commission on the date hereof (the “Report”), I, Joel Lewis, Chief Executive Officer of the Company, certify, pursuant to 18 U.S.C. § 1350, as adopted pursuant to § 906 of the Sarbanes-Oxley Act of 2002, that, to my knowledge:</w:t>
      </w:r>
    </w:p>
    <w:p>
      <w:pPr>
        <w:spacing w:after="0" w:line="216" w:lineRule="exact"/>
        <w:rPr>
          <w:sz w:val="20"/>
          <w:szCs w:val="20"/>
          <w:color w:val="auto"/>
        </w:rPr>
      </w:pPr>
    </w:p>
    <w:p>
      <w:pPr>
        <w:ind w:left="880" w:hanging="427"/>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880" w:right="700" w:hanging="427"/>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7"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5" w:lineRule="exact"/>
        <w:rPr>
          <w:sz w:val="20"/>
          <w:szCs w:val="20"/>
          <w:color w:val="auto"/>
        </w:rPr>
      </w:pPr>
    </w:p>
    <w:p>
      <w:pPr>
        <w:ind w:right="140" w:firstLine="441"/>
        <w:spacing w:after="0" w:line="239"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b w:val="1"/>
          <w:bCs w:val="1"/>
          <w:color w:val="auto"/>
        </w:rPr>
        <w:t>CERTIFICATION PURSUANT TO 18 U.S.C. SECTION 1350, AS ADOPTED</w:t>
      </w:r>
    </w:p>
    <w:p>
      <w:pPr>
        <w:spacing w:after="0" w:line="1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b w:val="1"/>
          <w:bCs w:val="1"/>
          <w:color w:val="auto"/>
        </w:rPr>
        <w:t>PURSUANT TO SECTION 906 OF THE SARBANES-OXLEY ACT OF 2002</w:t>
      </w:r>
    </w:p>
    <w:p>
      <w:pPr>
        <w:spacing w:after="0" w:line="209" w:lineRule="exact"/>
        <w:rPr>
          <w:sz w:val="20"/>
          <w:szCs w:val="20"/>
          <w:color w:val="auto"/>
        </w:rPr>
      </w:pPr>
    </w:p>
    <w:p>
      <w:pPr>
        <w:jc w:val="both"/>
        <w:ind w:right="20" w:firstLine="441"/>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Galectin Therapeutics Inc. (the “Company”) on Form 10-Q for the period ended June 30, 2022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216" w:lineRule="exact"/>
        <w:rPr>
          <w:sz w:val="20"/>
          <w:szCs w:val="20"/>
          <w:color w:val="auto"/>
        </w:rPr>
      </w:pPr>
    </w:p>
    <w:p>
      <w:pPr>
        <w:ind w:left="980" w:hanging="432"/>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432"/>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7"/>
          <w:szCs w:val="17"/>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27"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25" w:lineRule="exact"/>
        <w:rPr>
          <w:sz w:val="20"/>
          <w:szCs w:val="20"/>
          <w:color w:val="auto"/>
        </w:rPr>
      </w:pPr>
    </w:p>
    <w:p>
      <w:pPr>
        <w:ind w:right="140" w:firstLine="441"/>
        <w:spacing w:after="0" w:line="239"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2022-08-15T06:56:23Z</dcterms:created>
  <dcterms:modified xsi:type="dcterms:W3CDTF">2022-08-15T06:56:23Z</dcterms:modified>
</cp:coreProperties>
</file>