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As filed with the Securities and Exchange Commission on December 31, 2003</w:t>
      </w:r>
    </w:p>
    <w:p>
      <w:pPr>
        <w:spacing w:after="0" w:line="21" w:lineRule="exact"/>
        <w:rPr>
          <w:sz w:val="24"/>
          <w:szCs w:val="24"/>
          <w:color w:val="auto"/>
        </w:rPr>
      </w:pPr>
    </w:p>
    <w:p>
      <w:pPr>
        <w:ind w:left="9300"/>
        <w:spacing w:after="0"/>
        <w:rPr>
          <w:sz w:val="20"/>
          <w:szCs w:val="20"/>
          <w:color w:val="auto"/>
        </w:rPr>
      </w:pPr>
      <w:r>
        <w:rPr>
          <w:rFonts w:ascii="Arial" w:cs="Arial" w:eastAsia="Arial" w:hAnsi="Arial"/>
          <w:sz w:val="15"/>
          <w:szCs w:val="15"/>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95250</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54"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71755</wp:posOffset>
            </wp:positionV>
            <wp:extent cx="13290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18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FORM S-3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91440</wp:posOffset>
            </wp:positionV>
            <wp:extent cx="13290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REGISTRATION STATEMENT</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UNDER</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75565</wp:posOffset>
            </wp:positionV>
            <wp:extent cx="13290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18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PRO-PHARMACEUTICALS,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60325</wp:posOffset>
            </wp:positionV>
            <wp:extent cx="13290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02" w:lineRule="exact"/>
        <w:rPr>
          <w:sz w:val="24"/>
          <w:szCs w:val="24"/>
          <w:color w:val="auto"/>
        </w:rPr>
      </w:pPr>
    </w:p>
    <w:p>
      <w:pPr>
        <w:ind w:left="2480"/>
        <w:spacing w:after="0"/>
        <w:rPr>
          <w:sz w:val="20"/>
          <w:szCs w:val="20"/>
          <w:color w:val="auto"/>
        </w:rPr>
      </w:pPr>
      <w:r>
        <w:rPr>
          <w:rFonts w:ascii="Arial" w:cs="Arial" w:eastAsia="Arial" w:hAnsi="Arial"/>
          <w:sz w:val="16"/>
          <w:szCs w:val="16"/>
          <w:b w:val="1"/>
          <w:bCs w:val="1"/>
          <w:color w:val="auto"/>
        </w:rPr>
        <w:t>Nevada</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04-3562325</w:t>
      </w:r>
    </w:p>
    <w:p>
      <w:pPr>
        <w:spacing w:after="0" w:line="55" w:lineRule="exact"/>
        <w:rPr>
          <w:sz w:val="24"/>
          <w:szCs w:val="24"/>
          <w:color w:val="auto"/>
        </w:rPr>
      </w:pPr>
    </w:p>
    <w:p>
      <w:pPr>
        <w:sectPr>
          <w:pgSz w:w="11900" w:h="16838" w:orient="portrait"/>
          <w:cols w:equalWidth="0" w:num="2">
            <w:col w:w="7500" w:space="720"/>
            <w:col w:w="3200"/>
          </w:cols>
          <w:pgMar w:left="240" w:top="230" w:right="239" w:bottom="1440" w:gutter="0" w:footer="0" w:header="0"/>
          <w:type w:val="continuous"/>
        </w:sectPr>
      </w:pPr>
    </w:p>
    <w:p>
      <w:pPr>
        <w:ind w:left="192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188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6" w:lineRule="exact"/>
        <w:rPr>
          <w:sz w:val="24"/>
          <w:szCs w:val="24"/>
          <w:color w:val="auto"/>
        </w:rPr>
      </w:pPr>
    </w:p>
    <w:p>
      <w:pPr>
        <w:sectPr>
          <w:pgSz w:w="11900" w:h="16838" w:orient="portrait"/>
          <w:cols w:equalWidth="0" w:num="2">
            <w:col w:w="7400" w:space="720"/>
            <w:col w:w="330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189 Wells Avenue</w:t>
      </w:r>
    </w:p>
    <w:p>
      <w:pPr>
        <w:jc w:val="center"/>
        <w:spacing w:after="0"/>
        <w:rPr>
          <w:sz w:val="20"/>
          <w:szCs w:val="20"/>
          <w:color w:val="auto"/>
        </w:rPr>
      </w:pPr>
      <w:r>
        <w:rPr>
          <w:rFonts w:ascii="Arial" w:cs="Arial" w:eastAsia="Arial" w:hAnsi="Arial"/>
          <w:sz w:val="15"/>
          <w:szCs w:val="15"/>
          <w:b w:val="1"/>
          <w:bCs w:val="1"/>
          <w:color w:val="auto"/>
        </w:rPr>
        <w:t>Newton, Massachusetts 02459</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 559-0033</w:t>
      </w:r>
    </w:p>
    <w:p>
      <w:pPr>
        <w:sectPr>
          <w:pgSz w:w="11900" w:h="16838" w:orient="portrait"/>
          <w:cols w:equalWidth="0" w:num="1">
            <w:col w:w="11420"/>
          </w:cols>
          <w:pgMar w:left="240" w:top="230" w:right="239" w:bottom="1440" w:gutter="0" w:footer="0" w:header="0"/>
          <w:type w:val="continuous"/>
        </w:sectPr>
      </w:pP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principal executive offices)</w:t>
      </w:r>
    </w:p>
    <w:p>
      <w:pPr>
        <w:jc w:val="center"/>
        <w:spacing w:after="0"/>
        <w:rPr>
          <w:sz w:val="20"/>
          <w:szCs w:val="20"/>
          <w:color w:val="auto"/>
        </w:rPr>
      </w:pPr>
      <w:r>
        <w:rPr>
          <w:rFonts w:ascii="Arial" w:cs="Arial" w:eastAsia="Arial" w:hAnsi="Arial"/>
          <w:sz w:val="18"/>
          <w:szCs w:val="18"/>
          <w:b w:val="1"/>
          <w:bCs w:val="1"/>
          <w:color w:val="auto"/>
        </w:rPr>
        <w:t>David Platt, Ph.D.</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Pro-Pharmaceuticals,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189 Wells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Newton, Massachusetts 02459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 559-0033</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jc w:val="center"/>
        <w:spacing w:after="0"/>
        <w:rPr>
          <w:sz w:val="20"/>
          <w:szCs w:val="20"/>
          <w:color w:val="auto"/>
        </w:rPr>
      </w:pPr>
      <w:r>
        <w:rPr>
          <w:rFonts w:ascii="Arial" w:cs="Arial" w:eastAsia="Arial" w:hAnsi="Arial"/>
          <w:sz w:val="18"/>
          <w:szCs w:val="18"/>
          <w:b w:val="1"/>
          <w:bCs w:val="1"/>
          <w:i w:val="1"/>
          <w:iCs w:val="1"/>
          <w:color w:val="auto"/>
        </w:rPr>
        <w:t>With a copy to:</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Jonathan C. Guest,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Perkins Smith &amp; Cohen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Beacon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Boston, Massachusetts 02108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 854-4000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75565</wp:posOffset>
            </wp:positionV>
            <wp:extent cx="13290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06" w:lineRule="exact"/>
        <w:rPr>
          <w:sz w:val="24"/>
          <w:szCs w:val="24"/>
          <w:color w:val="auto"/>
        </w:rPr>
      </w:pPr>
    </w:p>
    <w:p>
      <w:pPr>
        <w:ind w:left="460" w:right="300"/>
        <w:spacing w:after="0" w:line="221" w:lineRule="exact"/>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As soon as possible after this Registration Statement is declared effective.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If the only securities being registered on this Form are being offered pursuant to dividend or interest reinvestment plans, check the following box. </w:t>
      </w:r>
      <w:r>
        <w:rPr>
          <w:rFonts w:ascii="MS PGothic" w:cs="MS PGothic" w:eastAsia="MS PGothic" w:hAnsi="MS PGothic"/>
          <w:sz w:val="16"/>
          <w:szCs w:val="16"/>
          <w:color w:val="auto"/>
        </w:rPr>
        <w:t>☐</w:t>
      </w:r>
      <w:r>
        <w:rPr>
          <w:rFonts w:ascii="Arial" w:cs="Arial" w:eastAsia="Arial" w:hAnsi="Arial"/>
          <w:sz w:val="16"/>
          <w:szCs w:val="16"/>
          <w:color w:val="auto"/>
        </w:rPr>
        <w:t xml:space="preserve"> If any of the securities being registered on this Form are to be offered on a delayed or continuous basis pursuant to Rule 415 under the Securities Act of</w:t>
      </w:r>
    </w:p>
    <w:p>
      <w:pPr>
        <w:spacing w:after="0" w:line="1" w:lineRule="exact"/>
        <w:rPr>
          <w:sz w:val="24"/>
          <w:szCs w:val="24"/>
          <w:color w:val="auto"/>
        </w:rPr>
      </w:pPr>
    </w:p>
    <w:p>
      <w:pPr>
        <w:spacing w:after="0" w:line="184" w:lineRule="exact"/>
        <w:tabs>
          <w:tab w:leader="none" w:pos="8880" w:val="left"/>
        </w:tabs>
        <w:rPr>
          <w:sz w:val="20"/>
          <w:szCs w:val="20"/>
          <w:color w:val="auto"/>
        </w:rPr>
      </w:pPr>
      <w:r>
        <w:rPr>
          <w:rFonts w:ascii="Arial" w:cs="Arial" w:eastAsia="Arial" w:hAnsi="Arial"/>
          <w:sz w:val="16"/>
          <w:szCs w:val="16"/>
          <w:color w:val="auto"/>
        </w:rPr>
        <w:t>1933, other than securities offered only in connection with dividend or interest reinvestment plans, check the following box.</w:t>
      </w:r>
      <w:r>
        <w:rPr>
          <w:sz w:val="20"/>
          <w:szCs w:val="20"/>
          <w:color w:val="auto"/>
        </w:rPr>
        <w:tab/>
      </w:r>
      <w:r>
        <w:rPr>
          <w:rFonts w:ascii="MS PGothic" w:cs="MS PGothic" w:eastAsia="MS PGothic" w:hAnsi="MS PGothic"/>
          <w:sz w:val="16"/>
          <w:szCs w:val="16"/>
          <w:color w:val="auto"/>
        </w:rPr>
        <w:t>☒</w:t>
      </w:r>
    </w:p>
    <w:p>
      <w:pPr>
        <w:spacing w:after="0" w:line="40" w:lineRule="exact"/>
        <w:rPr>
          <w:sz w:val="24"/>
          <w:szCs w:val="24"/>
          <w:color w:val="auto"/>
        </w:rPr>
      </w:pPr>
    </w:p>
    <w:p>
      <w:pPr>
        <w:ind w:right="260" w:firstLine="456"/>
        <w:spacing w:after="0" w:line="216"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If this Form is a post-effective amendment filed pursuant to Rule 462(c) under the Securities Act, check the following box and list the Securities Act</w:t>
      </w:r>
    </w:p>
    <w:p>
      <w:pPr>
        <w:spacing w:after="0" w:line="24"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7560" w:type="dxa"/>
            <w:vAlign w:val="bottom"/>
            <w:gridSpan w:val="3"/>
          </w:tcPr>
          <w:p>
            <w:pPr>
              <w:spacing w:after="0" w:line="207" w:lineRule="exact"/>
              <w:rPr>
                <w:sz w:val="20"/>
                <w:szCs w:val="20"/>
                <w:color w:val="auto"/>
              </w:rPr>
            </w:pPr>
            <w:r>
              <w:rPr>
                <w:rFonts w:ascii="Arial" w:cs="Arial" w:eastAsia="Arial" w:hAnsi="Arial"/>
                <w:sz w:val="18"/>
                <w:szCs w:val="18"/>
                <w:color w:val="auto"/>
                <w:w w:val="94"/>
              </w:rPr>
              <w:t xml:space="preserve">registration statement number of the earlier effective registration statement for the same offering.  </w:t>
            </w:r>
            <w:r>
              <w:rPr>
                <w:rFonts w:ascii="MS PGothic" w:cs="MS PGothic" w:eastAsia="MS PGothic" w:hAnsi="MS PGothic"/>
                <w:sz w:val="18"/>
                <w:szCs w:val="18"/>
                <w:color w:val="auto"/>
                <w:w w:val="94"/>
              </w:rPr>
              <w:t>☐</w:t>
            </w:r>
          </w:p>
        </w:tc>
        <w:tc>
          <w:tcPr>
            <w:tcW w:w="640" w:type="dxa"/>
            <w:vAlign w:val="bottom"/>
            <w:vMerge w:val="restart"/>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60" w:type="dxa"/>
            <w:vAlign w:val="bottom"/>
            <w:gridSpan w:val="3"/>
          </w:tcPr>
          <w:p>
            <w:pPr>
              <w:ind w:left="460"/>
              <w:spacing w:after="0"/>
              <w:rPr>
                <w:sz w:val="20"/>
                <w:szCs w:val="20"/>
                <w:color w:val="auto"/>
              </w:rPr>
            </w:pPr>
            <w:r>
              <w:rPr>
                <w:rFonts w:ascii="Arial" w:cs="Arial" w:eastAsia="Arial" w:hAnsi="Arial"/>
                <w:sz w:val="18"/>
                <w:szCs w:val="18"/>
                <w:color w:val="auto"/>
                <w:w w:val="90"/>
              </w:rPr>
              <w:t>If delivery of the prospectus is expected to be made pursuant to Rule 434, check the following box.</w:t>
            </w:r>
          </w:p>
        </w:tc>
        <w:tc>
          <w:tcPr>
            <w:tcW w:w="64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320" w:type="dxa"/>
            <w:vAlign w:val="bottom"/>
          </w:tcPr>
          <w:p>
            <w:pPr>
              <w:spacing w:after="0"/>
              <w:rPr>
                <w:sz w:val="19"/>
                <w:szCs w:val="19"/>
                <w:color w:val="auto"/>
              </w:rPr>
            </w:pPr>
          </w:p>
        </w:tc>
        <w:tc>
          <w:tcPr>
            <w:tcW w:w="4240" w:type="dxa"/>
            <w:vAlign w:val="bottom"/>
            <w:gridSpan w:val="2"/>
          </w:tcPr>
          <w:p>
            <w:pPr>
              <w:ind w:left="700"/>
              <w:spacing w:after="0"/>
              <w:rPr>
                <w:sz w:val="20"/>
                <w:szCs w:val="20"/>
                <w:color w:val="auto"/>
              </w:rPr>
            </w:pPr>
            <w:r>
              <w:rPr>
                <w:rFonts w:ascii="Arial" w:cs="Arial" w:eastAsia="Arial" w:hAnsi="Arial"/>
                <w:sz w:val="18"/>
                <w:szCs w:val="18"/>
                <w:b w:val="1"/>
                <w:bCs w:val="1"/>
                <w:color w:val="auto"/>
              </w:rPr>
              <w:t>CALCULATION OF REGISTRATION FEE</w:t>
            </w: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3320" w:type="dxa"/>
            <w:vAlign w:val="bottom"/>
            <w:tcBorders>
              <w:bottom w:val="single" w:sz="8" w:color="auto"/>
            </w:tcBorders>
          </w:tcPr>
          <w:p>
            <w:pPr>
              <w:spacing w:after="0"/>
              <w:rPr>
                <w:sz w:val="11"/>
                <w:szCs w:val="11"/>
                <w:color w:val="auto"/>
              </w:rPr>
            </w:pPr>
          </w:p>
        </w:tc>
        <w:tc>
          <w:tcPr>
            <w:tcW w:w="298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gridSpan w:val="2"/>
          </w:tcPr>
          <w:p>
            <w:pPr>
              <w:spacing w:after="0"/>
              <w:rPr>
                <w:sz w:val="11"/>
                <w:szCs w:val="11"/>
                <w:color w:val="auto"/>
              </w:rPr>
            </w:pPr>
          </w:p>
        </w:tc>
        <w:tc>
          <w:tcPr>
            <w:tcW w:w="1900" w:type="dxa"/>
            <w:vAlign w:val="bottom"/>
            <w:tcBorders>
              <w:bottom w:val="single" w:sz="8" w:color="auto"/>
            </w:tcBorders>
            <w:gridSpan w:val="2"/>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1"/>
        </w:trPr>
        <w:tc>
          <w:tcPr>
            <w:tcW w:w="3320" w:type="dxa"/>
            <w:vAlign w:val="bottom"/>
          </w:tcPr>
          <w:p>
            <w:pPr>
              <w:jc w:val="center"/>
              <w:ind w:left="766"/>
              <w:spacing w:after="0"/>
              <w:rPr>
                <w:sz w:val="20"/>
                <w:szCs w:val="20"/>
                <w:color w:val="auto"/>
              </w:rPr>
            </w:pPr>
            <w:r>
              <w:rPr>
                <w:rFonts w:ascii="Arial" w:cs="Arial" w:eastAsia="Arial" w:hAnsi="Arial"/>
                <w:sz w:val="14"/>
                <w:szCs w:val="14"/>
                <w:b w:val="1"/>
                <w:bCs w:val="1"/>
                <w:color w:val="auto"/>
                <w:w w:val="86"/>
              </w:rPr>
              <w:t>Title of Each Class</w:t>
            </w:r>
          </w:p>
        </w:tc>
        <w:tc>
          <w:tcPr>
            <w:tcW w:w="2980" w:type="dxa"/>
            <w:vAlign w:val="bottom"/>
          </w:tcPr>
          <w:p>
            <w:pPr>
              <w:spacing w:after="0"/>
              <w:rPr>
                <w:sz w:val="20"/>
                <w:szCs w:val="20"/>
                <w:color w:val="auto"/>
              </w:rPr>
            </w:pPr>
          </w:p>
        </w:tc>
        <w:tc>
          <w:tcPr>
            <w:tcW w:w="1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Proposed Maximum</w:t>
            </w:r>
          </w:p>
        </w:tc>
        <w:tc>
          <w:tcPr>
            <w:tcW w:w="1900" w:type="dxa"/>
            <w:vAlign w:val="bottom"/>
            <w:gridSpan w:val="2"/>
          </w:tcPr>
          <w:p>
            <w:pPr>
              <w:ind w:left="380"/>
              <w:spacing w:after="0"/>
              <w:rPr>
                <w:sz w:val="20"/>
                <w:szCs w:val="20"/>
                <w:color w:val="auto"/>
              </w:rPr>
            </w:pPr>
            <w:r>
              <w:rPr>
                <w:rFonts w:ascii="Arial" w:cs="Arial" w:eastAsia="Arial" w:hAnsi="Arial"/>
                <w:sz w:val="14"/>
                <w:szCs w:val="14"/>
                <w:b w:val="1"/>
                <w:bCs w:val="1"/>
                <w:color w:val="auto"/>
              </w:rPr>
              <w:t>Proposed Maximum</w:t>
            </w:r>
          </w:p>
        </w:tc>
        <w:tc>
          <w:tcPr>
            <w:tcW w:w="500" w:type="dxa"/>
            <w:vAlign w:val="bottom"/>
          </w:tcPr>
          <w:p>
            <w:pPr>
              <w:spacing w:after="0"/>
              <w:rPr>
                <w:sz w:val="20"/>
                <w:szCs w:val="20"/>
                <w:color w:val="auto"/>
              </w:rPr>
            </w:pPr>
          </w:p>
        </w:tc>
        <w:tc>
          <w:tcPr>
            <w:tcW w:w="820" w:type="dxa"/>
            <w:vAlign w:val="bottom"/>
          </w:tcPr>
          <w:p>
            <w:pPr>
              <w:jc w:val="center"/>
              <w:ind w:right="52"/>
              <w:spacing w:after="0"/>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49"/>
        </w:trPr>
        <w:tc>
          <w:tcPr>
            <w:tcW w:w="3320" w:type="dxa"/>
            <w:vAlign w:val="bottom"/>
          </w:tcPr>
          <w:p>
            <w:pPr>
              <w:jc w:val="center"/>
              <w:ind w:left="786"/>
              <w:spacing w:after="0" w:line="149" w:lineRule="exact"/>
              <w:rPr>
                <w:sz w:val="20"/>
                <w:szCs w:val="20"/>
                <w:color w:val="auto"/>
              </w:rPr>
            </w:pPr>
            <w:r>
              <w:rPr>
                <w:rFonts w:ascii="Arial" w:cs="Arial" w:eastAsia="Arial" w:hAnsi="Arial"/>
                <w:sz w:val="14"/>
                <w:szCs w:val="14"/>
                <w:b w:val="1"/>
                <w:bCs w:val="1"/>
                <w:color w:val="auto"/>
                <w:w w:val="84"/>
              </w:rPr>
              <w:t>of Securities to be</w:t>
            </w:r>
          </w:p>
        </w:tc>
        <w:tc>
          <w:tcPr>
            <w:tcW w:w="2980" w:type="dxa"/>
            <w:vAlign w:val="bottom"/>
          </w:tcPr>
          <w:p>
            <w:pPr>
              <w:ind w:left="1700"/>
              <w:spacing w:after="0" w:line="149" w:lineRule="exact"/>
              <w:rPr>
                <w:sz w:val="20"/>
                <w:szCs w:val="20"/>
                <w:color w:val="auto"/>
              </w:rPr>
            </w:pPr>
            <w:r>
              <w:rPr>
                <w:rFonts w:ascii="Arial" w:cs="Arial" w:eastAsia="Arial" w:hAnsi="Arial"/>
                <w:sz w:val="14"/>
                <w:szCs w:val="14"/>
                <w:b w:val="1"/>
                <w:bCs w:val="1"/>
                <w:color w:val="auto"/>
              </w:rPr>
              <w:t>Amount to be</w:t>
            </w:r>
          </w:p>
        </w:tc>
        <w:tc>
          <w:tcPr>
            <w:tcW w:w="1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Offering Price per</w:t>
            </w:r>
          </w:p>
        </w:tc>
        <w:tc>
          <w:tcPr>
            <w:tcW w:w="1900" w:type="dxa"/>
            <w:vAlign w:val="bottom"/>
            <w:gridSpan w:val="2"/>
          </w:tcPr>
          <w:p>
            <w:pPr>
              <w:ind w:left="400"/>
              <w:spacing w:after="0" w:line="149" w:lineRule="exact"/>
              <w:rPr>
                <w:sz w:val="20"/>
                <w:szCs w:val="20"/>
                <w:color w:val="auto"/>
              </w:rPr>
            </w:pPr>
            <w:r>
              <w:rPr>
                <w:rFonts w:ascii="Arial" w:cs="Arial" w:eastAsia="Arial" w:hAnsi="Arial"/>
                <w:sz w:val="14"/>
                <w:szCs w:val="14"/>
                <w:b w:val="1"/>
                <w:bCs w:val="1"/>
                <w:color w:val="auto"/>
              </w:rPr>
              <w:t>Aggregate Offering</w:t>
            </w:r>
          </w:p>
        </w:tc>
        <w:tc>
          <w:tcPr>
            <w:tcW w:w="1320" w:type="dxa"/>
            <w:vAlign w:val="bottom"/>
            <w:gridSpan w:val="2"/>
          </w:tcPr>
          <w:p>
            <w:pPr>
              <w:jc w:val="center"/>
              <w:ind w:left="312"/>
              <w:spacing w:after="0" w:line="149" w:lineRule="exact"/>
              <w:rPr>
                <w:sz w:val="20"/>
                <w:szCs w:val="20"/>
                <w:color w:val="auto"/>
              </w:rPr>
            </w:pPr>
            <w:r>
              <w:rPr>
                <w:rFonts w:ascii="Arial" w:cs="Arial" w:eastAsia="Arial" w:hAnsi="Arial"/>
                <w:sz w:val="14"/>
                <w:szCs w:val="14"/>
                <w:b w:val="1"/>
                <w:bCs w:val="1"/>
                <w:color w:val="auto"/>
                <w:w w:val="85"/>
              </w:rPr>
              <w:t>Registration Fee</w:t>
            </w:r>
          </w:p>
        </w:tc>
        <w:tc>
          <w:tcPr>
            <w:tcW w:w="0" w:type="dxa"/>
            <w:vAlign w:val="bottom"/>
          </w:tcPr>
          <w:p>
            <w:pPr>
              <w:spacing w:after="0"/>
              <w:rPr>
                <w:sz w:val="1"/>
                <w:szCs w:val="1"/>
                <w:color w:val="auto"/>
              </w:rPr>
            </w:pPr>
          </w:p>
        </w:tc>
      </w:tr>
      <w:tr>
        <w:trPr>
          <w:trHeight w:val="174"/>
        </w:trPr>
        <w:tc>
          <w:tcPr>
            <w:tcW w:w="3320" w:type="dxa"/>
            <w:vAlign w:val="bottom"/>
          </w:tcPr>
          <w:p>
            <w:pPr>
              <w:jc w:val="center"/>
              <w:ind w:left="786"/>
              <w:spacing w:after="0"/>
              <w:rPr>
                <w:sz w:val="20"/>
                <w:szCs w:val="20"/>
                <w:color w:val="auto"/>
              </w:rPr>
            </w:pPr>
            <w:r>
              <w:rPr>
                <w:rFonts w:ascii="Arial" w:cs="Arial" w:eastAsia="Arial" w:hAnsi="Arial"/>
                <w:sz w:val="14"/>
                <w:szCs w:val="14"/>
                <w:b w:val="1"/>
                <w:bCs w:val="1"/>
                <w:color w:val="auto"/>
                <w:w w:val="85"/>
              </w:rPr>
              <w:t>Registered</w:t>
            </w:r>
          </w:p>
        </w:tc>
        <w:tc>
          <w:tcPr>
            <w:tcW w:w="2980" w:type="dxa"/>
            <w:vAlign w:val="bottom"/>
          </w:tcPr>
          <w:p>
            <w:pPr>
              <w:ind w:left="1620"/>
              <w:spacing w:after="0"/>
              <w:rPr>
                <w:sz w:val="20"/>
                <w:szCs w:val="20"/>
                <w:color w:val="auto"/>
              </w:rPr>
            </w:pPr>
            <w:r>
              <w:rPr>
                <w:rFonts w:ascii="Arial" w:cs="Arial" w:eastAsia="Arial" w:hAnsi="Arial"/>
                <w:sz w:val="14"/>
                <w:szCs w:val="14"/>
                <w:b w:val="1"/>
                <w:bCs w:val="1"/>
                <w:color w:val="auto"/>
              </w:rPr>
              <w:t>Registered (1)(3)</w:t>
            </w:r>
          </w:p>
        </w:tc>
        <w:tc>
          <w:tcPr>
            <w:tcW w:w="1260" w:type="dxa"/>
            <w:vAlign w:val="bottom"/>
          </w:tcPr>
          <w:p>
            <w:pPr>
              <w:jc w:val="center"/>
              <w:ind w:left="572"/>
              <w:spacing w:after="0"/>
              <w:rPr>
                <w:sz w:val="20"/>
                <w:szCs w:val="20"/>
                <w:color w:val="auto"/>
              </w:rPr>
            </w:pPr>
            <w:r>
              <w:rPr>
                <w:rFonts w:ascii="Arial" w:cs="Arial" w:eastAsia="Arial" w:hAnsi="Arial"/>
                <w:sz w:val="14"/>
                <w:szCs w:val="14"/>
                <w:b w:val="1"/>
                <w:bCs w:val="1"/>
                <w:color w:val="auto"/>
                <w:w w:val="90"/>
              </w:rPr>
              <w:t>Share (2)</w:t>
            </w: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20" w:type="dxa"/>
            <w:vAlign w:val="bottom"/>
          </w:tcPr>
          <w:p>
            <w:pPr>
              <w:jc w:val="right"/>
              <w:ind w:right="632"/>
              <w:spacing w:after="0"/>
              <w:rPr>
                <w:sz w:val="20"/>
                <w:szCs w:val="20"/>
                <w:color w:val="auto"/>
              </w:rPr>
            </w:pPr>
            <w:r>
              <w:rPr>
                <w:rFonts w:ascii="Arial" w:cs="Arial" w:eastAsia="Arial" w:hAnsi="Arial"/>
                <w:sz w:val="14"/>
                <w:szCs w:val="14"/>
                <w:b w:val="1"/>
                <w:bCs w:val="1"/>
                <w:color w:val="auto"/>
              </w:rPr>
              <w:t>Price (2)</w:t>
            </w:r>
          </w:p>
        </w:tc>
        <w:tc>
          <w:tcPr>
            <w:tcW w:w="500" w:type="dxa"/>
            <w:vAlign w:val="bottom"/>
          </w:tcPr>
          <w:p>
            <w:pPr>
              <w:spacing w:after="0"/>
              <w:rPr>
                <w:sz w:val="15"/>
                <w:szCs w:val="15"/>
                <w:color w:val="auto"/>
              </w:rPr>
            </w:pPr>
          </w:p>
        </w:tc>
        <w:tc>
          <w:tcPr>
            <w:tcW w:w="820" w:type="dxa"/>
            <w:vAlign w:val="bottom"/>
          </w:tcPr>
          <w:p>
            <w:pPr>
              <w:jc w:val="center"/>
              <w:ind w:right="72"/>
              <w:spacing w:after="0"/>
              <w:rPr>
                <w:sz w:val="20"/>
                <w:szCs w:val="20"/>
                <w:color w:val="auto"/>
              </w:rPr>
            </w:pPr>
            <w:r>
              <w:rPr>
                <w:rFonts w:ascii="Arial" w:cs="Arial" w:eastAsia="Arial" w:hAnsi="Arial"/>
                <w:sz w:val="14"/>
                <w:szCs w:val="14"/>
                <w:b w:val="1"/>
                <w:bCs w:val="1"/>
                <w:color w:val="auto"/>
                <w:w w:val="93"/>
              </w:rPr>
              <w:t>(2)</w:t>
            </w:r>
          </w:p>
        </w:tc>
        <w:tc>
          <w:tcPr>
            <w:tcW w:w="0" w:type="dxa"/>
            <w:vAlign w:val="bottom"/>
          </w:tcPr>
          <w:p>
            <w:pPr>
              <w:spacing w:after="0"/>
              <w:rPr>
                <w:sz w:val="1"/>
                <w:szCs w:val="1"/>
                <w:color w:val="auto"/>
              </w:rPr>
            </w:pPr>
          </w:p>
        </w:tc>
      </w:tr>
      <w:tr>
        <w:trPr>
          <w:trHeight w:val="95"/>
        </w:trPr>
        <w:tc>
          <w:tcPr>
            <w:tcW w:w="3320" w:type="dxa"/>
            <w:vAlign w:val="bottom"/>
            <w:tcBorders>
              <w:bottom w:val="single" w:sz="8" w:color="auto"/>
            </w:tcBorders>
          </w:tcPr>
          <w:p>
            <w:pPr>
              <w:spacing w:after="0"/>
              <w:rPr>
                <w:sz w:val="8"/>
                <w:szCs w:val="8"/>
                <w:color w:val="auto"/>
              </w:rPr>
            </w:pPr>
          </w:p>
        </w:tc>
        <w:tc>
          <w:tcPr>
            <w:tcW w:w="29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320" w:type="dxa"/>
            <w:vAlign w:val="bottom"/>
          </w:tcPr>
          <w:p>
            <w:pPr>
              <w:spacing w:after="0"/>
              <w:rPr>
                <w:sz w:val="20"/>
                <w:szCs w:val="20"/>
                <w:color w:val="auto"/>
              </w:rPr>
            </w:pPr>
            <w:r>
              <w:rPr>
                <w:rFonts w:ascii="Arial" w:cs="Arial" w:eastAsia="Arial" w:hAnsi="Arial"/>
                <w:sz w:val="14"/>
                <w:szCs w:val="14"/>
                <w:color w:val="auto"/>
              </w:rPr>
              <w:t>Common Stock, $.001 par value</w:t>
            </w:r>
          </w:p>
        </w:tc>
        <w:tc>
          <w:tcPr>
            <w:tcW w:w="2980" w:type="dxa"/>
            <w:vAlign w:val="bottom"/>
          </w:tcPr>
          <w:p>
            <w:pPr>
              <w:ind w:left="1700"/>
              <w:spacing w:after="0"/>
              <w:rPr>
                <w:sz w:val="20"/>
                <w:szCs w:val="20"/>
                <w:color w:val="auto"/>
              </w:rPr>
            </w:pPr>
            <w:r>
              <w:rPr>
                <w:rFonts w:ascii="Arial" w:cs="Arial" w:eastAsia="Arial" w:hAnsi="Arial"/>
                <w:sz w:val="14"/>
                <w:szCs w:val="14"/>
                <w:color w:val="auto"/>
              </w:rPr>
              <w:t>7,310,573 shares</w:t>
            </w:r>
          </w:p>
        </w:tc>
        <w:tc>
          <w:tcPr>
            <w:tcW w:w="1260" w:type="dxa"/>
            <w:vAlign w:val="bottom"/>
          </w:tcPr>
          <w:p>
            <w:pPr>
              <w:jc w:val="right"/>
              <w:ind w:right="752"/>
              <w:spacing w:after="0"/>
              <w:rPr>
                <w:sz w:val="20"/>
                <w:szCs w:val="20"/>
                <w:color w:val="auto"/>
              </w:rPr>
            </w:pPr>
            <w:r>
              <w:rPr>
                <w:rFonts w:ascii="Arial" w:cs="Arial" w:eastAsia="Arial" w:hAnsi="Arial"/>
                <w:sz w:val="14"/>
                <w:szCs w:val="14"/>
                <w:color w:val="auto"/>
              </w:rPr>
              <w:t>$</w:t>
            </w:r>
          </w:p>
        </w:tc>
        <w:tc>
          <w:tcPr>
            <w:tcW w:w="640" w:type="dxa"/>
            <w:vAlign w:val="bottom"/>
          </w:tcPr>
          <w:p>
            <w:pPr>
              <w:ind w:left="40"/>
              <w:spacing w:after="0"/>
              <w:rPr>
                <w:sz w:val="20"/>
                <w:szCs w:val="20"/>
                <w:color w:val="auto"/>
              </w:rPr>
            </w:pPr>
            <w:r>
              <w:rPr>
                <w:rFonts w:ascii="Arial" w:cs="Arial" w:eastAsia="Arial" w:hAnsi="Arial"/>
                <w:sz w:val="14"/>
                <w:szCs w:val="14"/>
                <w:color w:val="auto"/>
              </w:rPr>
              <w:t>4.04</w:t>
            </w:r>
          </w:p>
        </w:tc>
        <w:tc>
          <w:tcPr>
            <w:tcW w:w="580" w:type="dxa"/>
            <w:vAlign w:val="bottom"/>
          </w:tcPr>
          <w:p>
            <w:pPr>
              <w:ind w:left="38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92"/>
              <w:spacing w:after="0"/>
              <w:rPr>
                <w:sz w:val="20"/>
                <w:szCs w:val="20"/>
                <w:color w:val="auto"/>
              </w:rPr>
            </w:pPr>
            <w:r>
              <w:rPr>
                <w:rFonts w:ascii="Arial" w:cs="Arial" w:eastAsia="Arial" w:hAnsi="Arial"/>
                <w:sz w:val="14"/>
                <w:szCs w:val="14"/>
                <w:color w:val="auto"/>
              </w:rPr>
              <w:t>29,498,162.06</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2,386.40</w:t>
            </w:r>
          </w:p>
        </w:tc>
        <w:tc>
          <w:tcPr>
            <w:tcW w:w="0" w:type="dxa"/>
            <w:vAlign w:val="bottom"/>
          </w:tcPr>
          <w:p>
            <w:pPr>
              <w:spacing w:after="0"/>
              <w:rPr>
                <w:sz w:val="1"/>
                <w:szCs w:val="1"/>
                <w:color w:val="auto"/>
              </w:rPr>
            </w:pPr>
          </w:p>
        </w:tc>
      </w:tr>
      <w:tr>
        <w:trPr>
          <w:trHeight w:val="119"/>
        </w:trPr>
        <w:tc>
          <w:tcPr>
            <w:tcW w:w="3320" w:type="dxa"/>
            <w:vAlign w:val="bottom"/>
            <w:tcBorders>
              <w:bottom w:val="single" w:sz="8" w:color="auto"/>
            </w:tcBorders>
          </w:tcPr>
          <w:p>
            <w:pPr>
              <w:spacing w:after="0"/>
              <w:rPr>
                <w:sz w:val="10"/>
                <w:szCs w:val="10"/>
                <w:color w:val="auto"/>
              </w:rPr>
            </w:pPr>
          </w:p>
        </w:tc>
        <w:tc>
          <w:tcPr>
            <w:tcW w:w="29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-715010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-715010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74" w:lineRule="exact"/>
        <w:rPr>
          <w:sz w:val="24"/>
          <w:szCs w:val="24"/>
          <w:color w:val="auto"/>
        </w:rPr>
      </w:pPr>
    </w:p>
    <w:p>
      <w:pPr>
        <w:jc w:val="both"/>
        <w:ind w:left="340" w:hanging="332"/>
        <w:spacing w:after="0" w:line="265" w:lineRule="auto"/>
        <w:tabs>
          <w:tab w:leader="none" w:pos="340" w:val="left"/>
        </w:tabs>
        <w:numPr>
          <w:ilvl w:val="0"/>
          <w:numId w:val="1"/>
        </w:numPr>
        <w:rPr>
          <w:rFonts w:ascii="Arial" w:cs="Arial" w:eastAsia="Arial" w:hAnsi="Arial"/>
          <w:sz w:val="12"/>
          <w:szCs w:val="12"/>
          <w:color w:val="auto"/>
        </w:rPr>
      </w:pPr>
      <w:r>
        <w:rPr>
          <w:rFonts w:ascii="Arial" w:cs="Arial" w:eastAsia="Arial" w:hAnsi="Arial"/>
          <w:sz w:val="12"/>
          <w:szCs w:val="12"/>
          <w:color w:val="auto"/>
        </w:rPr>
        <w:t>Includes (A) 4,501,460 shares of common stock issued in a private placement that concluded in September 2002, (B) 2,399,500 shares of common stock issued in a private placement that concluded in July 2003, (C) 300,000 shares of common stock held by certain founders of the Registrant and (D) 109,613 shares of common stock underlying currently exercisable common stock purchase warrants. Pursuant to Rule 416 under the Securities Act, this Registration Statement also covers such additional number of shares of common stock as may be issuable upon a stock split, stock dividend or similar transaction.</w:t>
      </w:r>
    </w:p>
    <w:p>
      <w:pPr>
        <w:ind w:left="340" w:right="220" w:hanging="332"/>
        <w:spacing w:after="0" w:line="221"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offering price is estimated solely for the purpose of calculating the registration fee in accordance with Rule 457(c), using the average of the high and low prices of the Registrant’s common stock as reported on the American Stock Exchange on December 29, 2003, which was approximately $4.04 per share.</w:t>
      </w:r>
    </w:p>
    <w:p>
      <w:pPr>
        <w:ind w:left="340" w:right="380" w:hanging="332"/>
        <w:spacing w:after="0" w:line="262" w:lineRule="auto"/>
        <w:tabs>
          <w:tab w:leader="none" w:pos="340" w:val="left"/>
        </w:tabs>
        <w:numPr>
          <w:ilvl w:val="0"/>
          <w:numId w:val="1"/>
        </w:numPr>
        <w:rPr>
          <w:rFonts w:ascii="Arial" w:cs="Arial" w:eastAsia="Arial" w:hAnsi="Arial"/>
          <w:sz w:val="12"/>
          <w:szCs w:val="12"/>
          <w:color w:val="auto"/>
        </w:rPr>
      </w:pPr>
      <w:r>
        <w:rPr>
          <w:rFonts w:ascii="Arial" w:cs="Arial" w:eastAsia="Arial" w:hAnsi="Arial"/>
          <w:sz w:val="12"/>
          <w:szCs w:val="12"/>
          <w:color w:val="auto"/>
        </w:rPr>
        <w:t>Pursuant to Rule 429 under the Securities Act, in addition to the shares of common stock registered hereby, the prospectus included with this Registration Statement relates to 2,329,169 shares of the Registrant’s common stock previously registered on Form SB-2 (file no. 333-107112), as to which the prospectus constitutes a post-effective amendment.</w:t>
      </w:r>
    </w:p>
    <w:p>
      <w:pPr>
        <w:ind w:right="100" w:firstLine="456"/>
        <w:spacing w:after="0" w:line="292"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43180</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40"/>
        <w:spacing w:after="0" w:line="244" w:lineRule="auto"/>
        <w:rPr>
          <w:sz w:val="20"/>
          <w:szCs w:val="20"/>
          <w:color w:val="auto"/>
        </w:rPr>
      </w:pPr>
      <w:r>
        <w:rPr>
          <w:rFonts w:ascii="Arial" w:cs="Arial" w:eastAsia="Arial" w:hAnsi="Arial"/>
          <w:sz w:val="18"/>
          <w:szCs w:val="18"/>
          <w:b w:val="1"/>
          <w:bCs w:val="1"/>
          <w:color w:val="DE1A1E"/>
        </w:rPr>
        <w:t>The information contained in this prospectus is not complete and may be changed. These securities may not be sold until the registration statement containing this prospectus, which was filed with the Securities and Exchange Commission, is effective. This prospectus is not an offer to sell these securities and it is not soliciting an offer to buy these securities in any state where the offer or sale is not permitted.</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DE1A1E"/>
        </w:rPr>
        <w:t>SUBJECT TO COMPLETION, DATED DECEMBER 31, 2003</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PRO-PHARMACEUTICALS, INC.</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9,639,742 Shares of Common Stock</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(inclusive of 2,329,169 previously registered shares)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$.001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168275</wp:posOffset>
            </wp:positionV>
            <wp:extent cx="15347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This prospectus relates to the offer and sale from time to time of up to 9,639,742 shares of our outstanding common stock that are held by certain selling stockholders named in this prospectus. Of such shares, 2,329,169 were previously registered in July 2003 on Form SB-2 and are included in this prospectus pursuant to Rule 429 under the Securities Act.</w:t>
      </w:r>
    </w:p>
    <w:p>
      <w:pPr>
        <w:spacing w:after="0" w:line="12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prices at which such stockholders may sell the shares in this offering will be determined by the prevailing market price for the shares or in negotiated transactions. We will not receive any of the proceeds from the sale of the shares.</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common stock is listed on the American Stock Exchange under the symbol “PRW.” On December 29, 2003, the last reported sale price of our common stock was $3.98 per share.</w:t>
      </w:r>
    </w:p>
    <w:p>
      <w:pPr>
        <w:spacing w:after="0" w:line="99" w:lineRule="exact"/>
        <w:rPr>
          <w:sz w:val="20"/>
          <w:szCs w:val="20"/>
          <w:color w:val="auto"/>
        </w:rPr>
      </w:pPr>
    </w:p>
    <w:p>
      <w:pPr>
        <w:ind w:right="20" w:firstLine="571"/>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See “ </w:t>
      </w:r>
      <w:hyperlink w:anchor="page5">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3 to read about the risks you should consider carefully before buying shares of our common stock.</w:t>
      </w:r>
    </w:p>
    <w:p>
      <w:pPr>
        <w:spacing w:after="0" w:line="108" w:lineRule="exact"/>
        <w:rPr>
          <w:sz w:val="20"/>
          <w:szCs w:val="20"/>
          <w:color w:val="auto"/>
        </w:rPr>
      </w:pPr>
    </w:p>
    <w:p>
      <w:pPr>
        <w:ind w:right="20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116205</wp:posOffset>
            </wp:positionV>
            <wp:extent cx="15347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date of this prospectus is December 31, 2003.</w:t>
      </w:r>
    </w:p>
    <w:p>
      <w:pPr>
        <w:sectPr>
          <w:pgSz w:w="11900" w:h="16838" w:orient="portrait"/>
          <w:cols w:equalWidth="0" w:num="1">
            <w:col w:w="11380"/>
          </w:cols>
          <w:pgMar w:left="240" w:top="459"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60" w:type="dxa"/>
            <w:vAlign w:val="bottom"/>
          </w:tcPr>
          <w:p>
            <w:pPr>
              <w:jc w:val="right"/>
              <w:ind w:right="4672"/>
              <w:spacing w:after="0"/>
              <w:rPr>
                <w:sz w:val="20"/>
                <w:szCs w:val="20"/>
                <w:color w:val="auto"/>
              </w:rPr>
            </w:pPr>
            <w:r>
              <w:rPr>
                <w:rFonts w:ascii="Arial" w:cs="Arial" w:eastAsia="Arial" w:hAnsi="Arial"/>
                <w:sz w:val="18"/>
                <w:szCs w:val="18"/>
                <w:b w:val="1"/>
                <w:bCs w:val="1"/>
                <w:color w:val="auto"/>
              </w:rPr>
              <w:t>TABLE OF CONTENTS</w:t>
            </w:r>
          </w:p>
        </w:tc>
      </w:tr>
      <w:tr>
        <w:trPr>
          <w:trHeight w:val="326"/>
        </w:trPr>
        <w:tc>
          <w:tcPr>
            <w:tcW w:w="4160" w:type="dxa"/>
            <w:vAlign w:val="bottom"/>
            <w:gridSpan w:val="1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About This Prospectus</w:t>
              </w:r>
            </w:hyperlink>
          </w:p>
        </w:tc>
        <w:tc>
          <w:tcPr>
            <w:tcW w:w="72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196"/>
        </w:trPr>
        <w:tc>
          <w:tcPr>
            <w:tcW w:w="230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About Pro-Pharmaceuticals, Inc.</w:t>
              </w:r>
            </w:hyperlink>
          </w:p>
        </w:tc>
        <w:tc>
          <w:tcPr>
            <w:tcW w:w="1860" w:type="dxa"/>
            <w:vAlign w:val="bottom"/>
            <w:gridSpan w:val="3"/>
          </w:tcPr>
          <w:p>
            <w:pPr>
              <w:spacing w:after="0"/>
              <w:rPr>
                <w:sz w:val="17"/>
                <w:szCs w:val="17"/>
                <w:color w:val="auto"/>
              </w:rPr>
            </w:pPr>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Risk Factors</w:t>
              </w:r>
            </w:hyperlink>
          </w:p>
        </w:tc>
        <w:tc>
          <w:tcPr>
            <w:tcW w:w="3260" w:type="dxa"/>
            <w:vAlign w:val="bottom"/>
            <w:gridSpan w:val="11"/>
          </w:tcPr>
          <w:p>
            <w:pPr>
              <w:spacing w:after="0"/>
              <w:rPr>
                <w:sz w:val="17"/>
                <w:szCs w:val="17"/>
                <w:color w:val="auto"/>
              </w:rPr>
            </w:pPr>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020" w:type="dxa"/>
            <w:vAlign w:val="bottom"/>
            <w:tcBorders>
              <w:bottom w:val="single" w:sz="8" w:color="0000EE"/>
            </w:tcBorders>
            <w:gridSpan w:val="4"/>
          </w:tcPr>
          <w:p>
            <w:pPr>
              <w:spacing w:after="0" w:line="196" w:lineRule="exact"/>
              <w:rPr>
                <w:rFonts w:ascii="Arial" w:cs="Arial" w:eastAsia="Arial" w:hAnsi="Arial"/>
                <w:sz w:val="18"/>
                <w:szCs w:val="18"/>
                <w:color w:val="0000EE"/>
                <w:w w:val="85"/>
              </w:rPr>
            </w:pPr>
            <w:hyperlink w:anchor="page9">
              <w:r>
                <w:rPr>
                  <w:rFonts w:ascii="Arial" w:cs="Arial" w:eastAsia="Arial" w:hAnsi="Arial"/>
                  <w:sz w:val="18"/>
                  <w:szCs w:val="18"/>
                  <w:color w:val="0000EE"/>
                  <w:w w:val="85"/>
                </w:rPr>
                <w:t>Recent Events</w:t>
              </w:r>
            </w:hyperlink>
          </w:p>
        </w:tc>
        <w:tc>
          <w:tcPr>
            <w:tcW w:w="3140" w:type="dxa"/>
            <w:vAlign w:val="bottom"/>
            <w:gridSpan w:val="9"/>
          </w:tcPr>
          <w:p>
            <w:pPr>
              <w:spacing w:after="0"/>
              <w:rPr>
                <w:sz w:val="17"/>
                <w:szCs w:val="17"/>
                <w:color w:val="auto"/>
              </w:rPr>
            </w:pPr>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202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Forward-looking Statements</w:t>
              </w:r>
            </w:hyperlink>
          </w:p>
        </w:tc>
        <w:tc>
          <w:tcPr>
            <w:tcW w:w="2140" w:type="dxa"/>
            <w:vAlign w:val="bottom"/>
            <w:gridSpan w:val="4"/>
          </w:tcPr>
          <w:p>
            <w:pPr>
              <w:spacing w:after="0"/>
              <w:rPr>
                <w:sz w:val="17"/>
                <w:szCs w:val="17"/>
                <w:color w:val="auto"/>
              </w:rPr>
            </w:pPr>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4160" w:type="dxa"/>
            <w:vAlign w:val="bottom"/>
            <w:gridSpan w:val="13"/>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Use of Proceeds</w:t>
              </w:r>
            </w:hyperlink>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196"/>
        </w:trPr>
        <w:tc>
          <w:tcPr>
            <w:tcW w:w="4160" w:type="dxa"/>
            <w:vAlign w:val="bottom"/>
            <w:gridSpan w:val="13"/>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Selling Stockholders</w:t>
              </w:r>
            </w:hyperlink>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1460" w:type="dxa"/>
            <w:vAlign w:val="bottom"/>
            <w:tcBorders>
              <w:top w:val="single" w:sz="8" w:color="0000EE"/>
            </w:tcBorders>
            <w:gridSpan w:val="7"/>
          </w:tcPr>
          <w:p>
            <w:pPr>
              <w:spacing w:after="0" w:line="196" w:lineRule="exact"/>
              <w:rPr>
                <w:rFonts w:ascii="Arial" w:cs="Arial" w:eastAsia="Arial" w:hAnsi="Arial"/>
                <w:sz w:val="18"/>
                <w:szCs w:val="18"/>
                <w:color w:val="0000EE"/>
                <w:w w:val="95"/>
              </w:rPr>
            </w:pPr>
            <w:hyperlink w:anchor="page20">
              <w:r>
                <w:rPr>
                  <w:rFonts w:ascii="Arial" w:cs="Arial" w:eastAsia="Arial" w:hAnsi="Arial"/>
                  <w:sz w:val="18"/>
                  <w:szCs w:val="18"/>
                  <w:color w:val="0000EE"/>
                  <w:w w:val="95"/>
                </w:rPr>
                <w:t>Plan of Distribution</w:t>
              </w:r>
            </w:hyperlink>
          </w:p>
        </w:tc>
        <w:tc>
          <w:tcPr>
            <w:tcW w:w="2700" w:type="dxa"/>
            <w:vAlign w:val="bottom"/>
            <w:gridSpan w:val="6"/>
          </w:tcPr>
          <w:p>
            <w:pPr>
              <w:spacing w:after="0"/>
              <w:rPr>
                <w:sz w:val="17"/>
                <w:szCs w:val="17"/>
                <w:color w:val="auto"/>
              </w:rPr>
            </w:pPr>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14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Legal Matters</w:t>
              </w:r>
            </w:hyperlink>
          </w:p>
        </w:tc>
        <w:tc>
          <w:tcPr>
            <w:tcW w:w="2760" w:type="dxa"/>
            <w:vAlign w:val="bottom"/>
            <w:gridSpan w:val="7"/>
          </w:tcPr>
          <w:p>
            <w:pPr>
              <w:spacing w:after="0"/>
              <w:rPr>
                <w:sz w:val="17"/>
                <w:szCs w:val="17"/>
                <w:color w:val="auto"/>
              </w:rPr>
            </w:pPr>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Experts</w:t>
              </w:r>
            </w:hyperlink>
          </w:p>
        </w:tc>
        <w:tc>
          <w:tcPr>
            <w:tcW w:w="3180" w:type="dxa"/>
            <w:vAlign w:val="bottom"/>
            <w:gridSpan w:val="10"/>
          </w:tcPr>
          <w:p>
            <w:pPr>
              <w:spacing w:after="0"/>
              <w:rPr>
                <w:sz w:val="17"/>
                <w:szCs w:val="17"/>
                <w:color w:val="auto"/>
              </w:rPr>
            </w:pPr>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1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196"/>
        </w:trPr>
        <w:tc>
          <w:tcPr>
            <w:tcW w:w="4160" w:type="dxa"/>
            <w:vAlign w:val="bottom"/>
            <w:gridSpan w:val="13"/>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Where You Can Find More Information</w:t>
              </w:r>
            </w:hyperlink>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2800" w:type="dxa"/>
            <w:vAlign w:val="bottom"/>
            <w:gridSpan w:val="11"/>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196"/>
        </w:trPr>
        <w:tc>
          <w:tcPr>
            <w:tcW w:w="4160" w:type="dxa"/>
            <w:vAlign w:val="bottom"/>
            <w:gridSpan w:val="13"/>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Incorporation of Certain Documents by Reference</w:t>
              </w:r>
            </w:hyperlink>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383"/>
        </w:trPr>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7260" w:type="dxa"/>
            <w:vAlign w:val="bottom"/>
          </w:tcPr>
          <w:p>
            <w:pPr>
              <w:jc w:val="right"/>
              <w:ind w:right="5572"/>
              <w:spacing w:after="0"/>
              <w:rPr>
                <w:sz w:val="20"/>
                <w:szCs w:val="20"/>
                <w:color w:val="auto"/>
              </w:rPr>
            </w:pPr>
            <w:r>
              <w:rPr>
                <w:rFonts w:ascii="Arial" w:cs="Arial" w:eastAsia="Arial" w:hAnsi="Arial"/>
                <w:sz w:val="18"/>
                <w:szCs w:val="18"/>
                <w:color w:val="auto"/>
              </w:rPr>
              <w:t>1</w:t>
            </w: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ABOUT THIS PROSPECTUS</w:t>
      </w:r>
    </w:p>
    <w:p>
      <w:pPr>
        <w:spacing w:after="0" w:line="16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You should read this prospectus and the information and documents incorporated by reference carefully. Such documents contain important information you should consider when making your investment decision. See “Incorporation of Documents by Reference” on page 19. You should rely only on the information contained in this prospectus, including information incorporated by reference in this prospectus, or any supplement that we have referred you to. We have not authorized anyone else to provide you with different information. You should not assume that the information in this prospectus or any supplement is accurate as of any date other than the date on the front of those documents or that any document incorporated by reference is accurate as of any date other than its filing date. You should not consider this prospectus to be an offer or solicitation relating to the securities in any jurisdiction in which such an offer or solicitation relating to the securities is not authorized. Furthermore, you should not consider this prospectus to be an offer or solicitation relating to the securities if the person making the offer or solicitation is not qualified to do so, or if it is unlawful for you to receive such an offer or solicitation.</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ABOUT PRO-PHARMACEUTICALS, INC.</w:t>
      </w:r>
    </w:p>
    <w:p>
      <w:pPr>
        <w:spacing w:after="0" w:line="164"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are engaged in research and development of drug technologies to enable targeted delivery of widely used chemotherapy drugs. We intend initially to combine our proprietary carbohydrate compounds with existing generic chemotherapy drugs used to treat cancer. We believe our technology will increase the body’s tolerance to these toxic drugs by targeting the delivery directly to cancerous cells. Our company’s approach of improving existing chemotherapy drugs by adding a targeting mechanism should reduce the toxicity and increase the efficacy of these drugs thereby creating a preferable treatment to existing first line regimens. Additionally, we believe that this drug development strategy will enable our company to gain patent protection on drugs we reformulate with our carbohydrate compounds.</w:t>
      </w:r>
    </w:p>
    <w:p>
      <w:pPr>
        <w:spacing w:after="0" w:line="13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U.S. Food and Drug Administration (the “FDA”) has approved our first Investigational New Drug Application (“IND”) for Phase I human clinical trials relating to colorectal cancer. Additionally, the FDA also approved our amendment to broaden the scope of our IND to include all solid tumors. We have begun clinical trials of our drug and are in the process of collecting results. Also, we are currently conducting preclinical animal experiments with additional IND candidates. We have not yet generated any operating revenues.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were incorporated under Nevada law in January 2001. Our common stock trades on the American Stock Exchange under the symbol “PRW.”</w:t>
      </w:r>
    </w:p>
    <w:p>
      <w:pPr>
        <w:spacing w:after="0" w:line="18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address is 189 Wells Avenue, Newton, Massachusetts 02459. Our telephone number is (617) 559-0033, fax number is (617) 928-3450, e-mail address is squeglia@pro-pharmaceuticals.com, and our website address is www.pro-pharmaceuticals.com.</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i w:val="1"/>
          <w:iCs w:val="1"/>
          <w:color w:val="auto"/>
        </w:rPr>
        <w:t>An investment in our common stock involves a high degree of risk. You should carefully consider the risks described below and the other information contained in this prospectus before deciding to invest in our common stock. The risks described below are not the only ones facing our company. Additional risks not presently known to us or that we currently consider immaterial may also adversely affect our business. We have attempted to identify below the major factors that could cause differences between actual and planned or expected results, but we cannot assure you that we have identified all of those factors.</w:t>
      </w:r>
    </w:p>
    <w:p>
      <w:pPr>
        <w:spacing w:after="0" w:line="9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If any of the following risks actually happen, our business, financial condition and operating results could be materially adversely affected. In this case, the trading price of our common stock could decline, and you could lose part or all of your investment.</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Pro-Pharmaceuticals</w:t>
      </w:r>
    </w:p>
    <w:p>
      <w:pPr>
        <w:spacing w:after="0" w:line="77"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i w:val="1"/>
          <w:iCs w:val="1"/>
          <w:color w:val="auto"/>
        </w:rPr>
        <w:t xml:space="preserve">We Are At An Early Stage Of Development Without Operating History. </w:t>
      </w:r>
      <w:r>
        <w:rPr>
          <w:rFonts w:ascii="Arial" w:cs="Arial" w:eastAsia="Arial" w:hAnsi="Arial"/>
          <w:sz w:val="16"/>
          <w:szCs w:val="16"/>
          <w:color w:val="auto"/>
        </w:rPr>
        <w:t>We are a development-stage company with a limited operating history, and we have</w:t>
      </w:r>
      <w:r>
        <w:rPr>
          <w:rFonts w:ascii="Arial" w:cs="Arial" w:eastAsia="Arial" w:hAnsi="Arial"/>
          <w:sz w:val="16"/>
          <w:szCs w:val="16"/>
          <w:i w:val="1"/>
          <w:iCs w:val="1"/>
          <w:color w:val="auto"/>
        </w:rPr>
        <w:t xml:space="preserve"> </w:t>
      </w:r>
      <w:r>
        <w:rPr>
          <w:rFonts w:ascii="Arial" w:cs="Arial" w:eastAsia="Arial" w:hAnsi="Arial"/>
          <w:sz w:val="16"/>
          <w:szCs w:val="16"/>
          <w:color w:val="auto"/>
        </w:rPr>
        <w:t>not generated any revenues to date. We have no therapeutic products available for sale, and none are expected to be commercially available for several years, if at all. We may never generate revenue or become profitable, even if we are able to commercialize any products.</w:t>
      </w:r>
    </w:p>
    <w:p>
      <w:pPr>
        <w:spacing w:after="0" w:line="9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i w:val="1"/>
          <w:iCs w:val="1"/>
          <w:color w:val="auto"/>
        </w:rPr>
        <w:t xml:space="preserve">We Have Incurred Net Losses To Date And Depend On Outside Capital. </w:t>
      </w:r>
      <w:r>
        <w:rPr>
          <w:rFonts w:ascii="Arial" w:cs="Arial" w:eastAsia="Arial" w:hAnsi="Arial"/>
          <w:sz w:val="16"/>
          <w:szCs w:val="16"/>
          <w:color w:val="auto"/>
        </w:rPr>
        <w:t>Our accumulated deficit as of September 30, 2003 was $11,135,161, which</w:t>
      </w:r>
      <w:r>
        <w:rPr>
          <w:rFonts w:ascii="Arial" w:cs="Arial" w:eastAsia="Arial" w:hAnsi="Arial"/>
          <w:sz w:val="16"/>
          <w:szCs w:val="16"/>
          <w:i w:val="1"/>
          <w:iCs w:val="1"/>
          <w:color w:val="auto"/>
        </w:rPr>
        <w:t xml:space="preserve"> </w:t>
      </w:r>
      <w:r>
        <w:rPr>
          <w:rFonts w:ascii="Arial" w:cs="Arial" w:eastAsia="Arial" w:hAnsi="Arial"/>
          <w:sz w:val="16"/>
          <w:szCs w:val="16"/>
          <w:color w:val="auto"/>
        </w:rPr>
        <w:t>includes approximately $2,427,000 various non-cash charges related to certain equity transactions. We will need to continue to conduct significant research, development, testing and regulatory compliance activities that, together with projected general and administrative expenses, we expect will result in substantial operating losses for the next several years. Accordingly, we will not be generating our own capital and will remain dependent on outside sources of financing during that time. If we are unable to raise funds from outside sources for our continuing operations, we may be adversely affected.</w:t>
      </w:r>
    </w:p>
    <w:p>
      <w:pPr>
        <w:spacing w:after="0" w:line="10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may raise such capital through public or private equity financings, partnerships, debt financings, bank borrowings, or other sources. Additional funding may not be available on favorable terms or at all. If adequate funds are not otherwise available, we may curtail operations significantly. To obtain additional funding, we may need to enter into arrangements that require us to relinquish rights to certain technologies, products and/or potential markets. To the extent that additional capital is raised through the sale of equity, or securities convertible into equity, our equity holders may experience dilution of their proportionate ownership of the company.</w:t>
      </w:r>
    </w:p>
    <w:p>
      <w:pPr>
        <w:spacing w:after="0" w:line="129"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Based on $4,787,646 of available cash and cash equivalents as of September 30, 2003 and net proceeds of approximately $4,100,000 received in our private placement completed in October 2003, we believe that we have sufficient capital to fund our operations through at least the first quarter of 2005. If actual expenses exceed our budget, however, we will need to raise additional capital sooner in order to meet our cash needs.</w:t>
      </w:r>
    </w:p>
    <w:p>
      <w:pPr>
        <w:spacing w:after="0" w:line="93"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i w:val="1"/>
          <w:iCs w:val="1"/>
          <w:color w:val="auto"/>
        </w:rPr>
        <w:t xml:space="preserve">Our Product Candidates Will Be Based On Novel Unproven Technologies. </w:t>
      </w:r>
      <w:r>
        <w:rPr>
          <w:rFonts w:ascii="Arial" w:cs="Arial" w:eastAsia="Arial" w:hAnsi="Arial"/>
          <w:sz w:val="15"/>
          <w:szCs w:val="15"/>
          <w:color w:val="auto"/>
        </w:rPr>
        <w:t>Our product candidates will be based upon novel unproven technologies using</w:t>
      </w:r>
      <w:r>
        <w:rPr>
          <w:rFonts w:ascii="Arial" w:cs="Arial" w:eastAsia="Arial" w:hAnsi="Arial"/>
          <w:sz w:val="15"/>
          <w:szCs w:val="15"/>
          <w:i w:val="1"/>
          <w:iCs w:val="1"/>
          <w:color w:val="auto"/>
        </w:rPr>
        <w:t xml:space="preserve"> </w:t>
      </w:r>
      <w:r>
        <w:rPr>
          <w:rFonts w:ascii="Arial" w:cs="Arial" w:eastAsia="Arial" w:hAnsi="Arial"/>
          <w:sz w:val="15"/>
          <w:szCs w:val="15"/>
          <w:color w:val="auto"/>
        </w:rPr>
        <w:t>proprietary carbohydrate compounds that we plan to use to apply to drugs currently used in the treatment of cancer and other diseases. Carbohydrates are difficult to synthesize, and we may not be able to synthesize carbohydrates that would be usable as delivery vehicles for the anti-cancer drugs we plan to work with.</w:t>
      </w:r>
    </w:p>
    <w:p>
      <w:pPr>
        <w:spacing w:after="0" w:line="75"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i w:val="1"/>
          <w:iCs w:val="1"/>
          <w:color w:val="auto"/>
        </w:rPr>
        <w:t xml:space="preserve">We Have Only Recently Begun Clinical Trials And Results Are Uncertain. </w:t>
      </w:r>
      <w:r>
        <w:rPr>
          <w:rFonts w:ascii="Arial" w:cs="Arial" w:eastAsia="Arial" w:hAnsi="Arial"/>
          <w:sz w:val="16"/>
          <w:szCs w:val="16"/>
          <w:color w:val="auto"/>
        </w:rPr>
        <w:t>We have one product candidate in human clinical trials. Preclinical results in</w:t>
      </w:r>
      <w:r>
        <w:rPr>
          <w:rFonts w:ascii="Arial" w:cs="Arial" w:eastAsia="Arial" w:hAnsi="Arial"/>
          <w:sz w:val="16"/>
          <w:szCs w:val="16"/>
          <w:i w:val="1"/>
          <w:iCs w:val="1"/>
          <w:color w:val="auto"/>
        </w:rPr>
        <w:t xml:space="preserve"> </w:t>
      </w:r>
      <w:r>
        <w:rPr>
          <w:rFonts w:ascii="Arial" w:cs="Arial" w:eastAsia="Arial" w:hAnsi="Arial"/>
          <w:sz w:val="16"/>
          <w:szCs w:val="16"/>
          <w:color w:val="auto"/>
        </w:rPr>
        <w:t>animal studies are not necessarily predictive of outcomes in human clinical trials. Clinical trials are expensive, time-consuming and may not be successful. They involve the testing of potential therapeutic agents, or effective treatments, in humans typically in three phases (phases I, II, and III) to determine the safety and efficacy of the product candidates necessary for an approved drug. Many products in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human clinical trials fail to demonstrate the desired safety and efficacy characteristics. Even if our products progress successfully through initial human testing, they may fail in later stages of development. We will be dependent on others to conduct our clinical trials, including clinical research organizations and, possibly, government-sponsored agencies. These trials may not start or be completed as we forecast, or may be unsuccessful.</w:t>
      </w:r>
    </w:p>
    <w:p>
      <w:pPr>
        <w:spacing w:after="0" w:line="9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 xml:space="preserve">Our Product Candidates May Not Be Successfully Commercialized. </w:t>
      </w:r>
      <w:r>
        <w:rPr>
          <w:rFonts w:ascii="Arial" w:cs="Arial" w:eastAsia="Arial" w:hAnsi="Arial"/>
          <w:sz w:val="16"/>
          <w:szCs w:val="16"/>
          <w:color w:val="auto"/>
        </w:rPr>
        <w:t>Even if our product candidates are successful in clinical trials, they may not be</w:t>
      </w:r>
      <w:r>
        <w:rPr>
          <w:rFonts w:ascii="Arial" w:cs="Arial" w:eastAsia="Arial" w:hAnsi="Arial"/>
          <w:sz w:val="16"/>
          <w:szCs w:val="16"/>
          <w:i w:val="1"/>
          <w:iCs w:val="1"/>
          <w:color w:val="auto"/>
        </w:rPr>
        <w:t xml:space="preserve"> </w:t>
      </w:r>
      <w:r>
        <w:rPr>
          <w:rFonts w:ascii="Arial" w:cs="Arial" w:eastAsia="Arial" w:hAnsi="Arial"/>
          <w:sz w:val="16"/>
          <w:szCs w:val="16"/>
          <w:color w:val="auto"/>
        </w:rPr>
        <w:t>successfully commercialized. Potential products may fail to receive necessary regulatory approvals, be difficult to manufacture on a large scale, be uneconomical to produce, fail to achieve market acceptance, or be precluded from commercialization by proprietary rights of third parties.</w:t>
      </w:r>
    </w:p>
    <w:p>
      <w:pPr>
        <w:spacing w:after="0" w:line="93"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i w:val="1"/>
          <w:iCs w:val="1"/>
          <w:color w:val="auto"/>
        </w:rPr>
        <w:t xml:space="preserve">Our Lack Of Operating Experience May Cause Us Difficulty In Managing Our Growth. </w:t>
      </w:r>
      <w:r>
        <w:rPr>
          <w:rFonts w:ascii="Arial" w:cs="Arial" w:eastAsia="Arial" w:hAnsi="Arial"/>
          <w:sz w:val="18"/>
          <w:szCs w:val="18"/>
          <w:color w:val="auto"/>
        </w:rPr>
        <w:t>We have no direct experience in manufacturing or procuring</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in commercial quantities, conducting other later-stage phases of the regulatory approval process, selling pharmaceutical products, or negotiating, establishing and maintaining strategic relationships. Any growth of our company will require us to expand our management and our operational and financial systems and controls. If we are unable to do so, our business and financial condition would be materially harmed. If rapid growth occurs, it may strain our operational, managerial and financial resources.</w:t>
      </w:r>
    </w:p>
    <w:p>
      <w:pPr>
        <w:spacing w:after="0" w:line="129"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i w:val="1"/>
          <w:iCs w:val="1"/>
          <w:color w:val="auto"/>
        </w:rPr>
        <w:t xml:space="preserve">We Will Depend On Third Parties To Manufacture And Market Our Products. </w:t>
      </w:r>
      <w:r>
        <w:rPr>
          <w:rFonts w:ascii="Arial" w:cs="Arial" w:eastAsia="Arial" w:hAnsi="Arial"/>
          <w:sz w:val="15"/>
          <w:szCs w:val="15"/>
          <w:color w:val="auto"/>
        </w:rPr>
        <w:t>We do not have, and do not now intend to develop, facilities for the</w:t>
      </w:r>
      <w:r>
        <w:rPr>
          <w:rFonts w:ascii="Arial" w:cs="Arial" w:eastAsia="Arial" w:hAnsi="Arial"/>
          <w:sz w:val="15"/>
          <w:szCs w:val="15"/>
          <w:i w:val="1"/>
          <w:iCs w:val="1"/>
          <w:color w:val="auto"/>
        </w:rPr>
        <w:t xml:space="preserve"> </w:t>
      </w:r>
      <w:r>
        <w:rPr>
          <w:rFonts w:ascii="Arial" w:cs="Arial" w:eastAsia="Arial" w:hAnsi="Arial"/>
          <w:sz w:val="15"/>
          <w:szCs w:val="15"/>
          <w:color w:val="auto"/>
        </w:rPr>
        <w:t>manufacture of any of our products for clinical or commercial production. Accordingly, we will need to develop relationships with manufacturers and enter into collaborative arrangements with licensees or have others manufacture our products on a contract basis. We expect to depend on such collaborators to supply us with products manufactured in compliance with standards imposed by the FDA and foreign regulators. In addition, we have no direct experience in marketing, sales or distribution, and we do not intend to develop a sales and marketing infrastructure to commercialize our pharmaceutical products. If we develop commercial products, we will need to rely on licensees, collaborators, joint venture partners or independent distributors to market and sell those products.</w:t>
      </w:r>
    </w:p>
    <w:p>
      <w:pPr>
        <w:spacing w:after="0" w:line="91" w:lineRule="exact"/>
        <w:rPr>
          <w:sz w:val="20"/>
          <w:szCs w:val="20"/>
          <w:color w:val="auto"/>
        </w:rPr>
      </w:pPr>
    </w:p>
    <w:p>
      <w:pPr>
        <w:jc w:val="both"/>
        <w:ind w:right="180" w:firstLine="456"/>
        <w:spacing w:after="0" w:line="256" w:lineRule="auto"/>
        <w:rPr>
          <w:sz w:val="20"/>
          <w:szCs w:val="20"/>
          <w:color w:val="auto"/>
        </w:rPr>
      </w:pPr>
      <w:r>
        <w:rPr>
          <w:rFonts w:ascii="Arial" w:cs="Arial" w:eastAsia="Arial" w:hAnsi="Arial"/>
          <w:sz w:val="18"/>
          <w:szCs w:val="18"/>
          <w:i w:val="1"/>
          <w:iCs w:val="1"/>
          <w:color w:val="auto"/>
        </w:rPr>
        <w:t xml:space="preserve">We Depend On Key Individuals To Develop Our Products And Pursue Collaborations. </w:t>
      </w:r>
      <w:r>
        <w:rPr>
          <w:rFonts w:ascii="Arial" w:cs="Arial" w:eastAsia="Arial" w:hAnsi="Arial"/>
          <w:sz w:val="18"/>
          <w:szCs w:val="18"/>
          <w:color w:val="auto"/>
        </w:rPr>
        <w:t>We are highly dependent on Dr. David Platt, President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Dr. Anatole Klyosov, a member of our Scientific Advisory Board and a consultant; and Dr. Eliezer Zomer, Vice President of Manufacturing and Product Development. The loss of any of these persons, or failure to attract or retain other key personnel, could prevent us from pursuing collaborations or developing our products and core technologies.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the Drug Development Industry</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We Will Need Regulatory Approvals To Commercialize Our Products. </w:t>
      </w:r>
      <w:r>
        <w:rPr>
          <w:rFonts w:ascii="Arial" w:cs="Arial" w:eastAsia="Arial" w:hAnsi="Arial"/>
          <w:sz w:val="16"/>
          <w:szCs w:val="16"/>
          <w:color w:val="auto"/>
        </w:rPr>
        <w:t>We currently do not have products approved for sale in the U.S. or any foreign</w:t>
      </w:r>
      <w:r>
        <w:rPr>
          <w:rFonts w:ascii="Arial" w:cs="Arial" w:eastAsia="Arial" w:hAnsi="Arial"/>
          <w:sz w:val="16"/>
          <w:szCs w:val="16"/>
          <w:i w:val="1"/>
          <w:iCs w:val="1"/>
          <w:color w:val="auto"/>
        </w:rPr>
        <w:t xml:space="preserve"> </w:t>
      </w:r>
      <w:r>
        <w:rPr>
          <w:rFonts w:ascii="Arial" w:cs="Arial" w:eastAsia="Arial" w:hAnsi="Arial"/>
          <w:sz w:val="16"/>
          <w:szCs w:val="16"/>
          <w:color w:val="auto"/>
        </w:rPr>
        <w:t>market. We are required to obtain approval from the FDA in order to sell our products in the U.S. and from foreign regulatory authorities in order to sell our products in other countries. The FDA’s review and approval process is lengthy, expensive and uncertain. Extensive preclinical and clinical data and supporting information must be submitted to the FDA for each indication for each product candidate in order to secure FDA approval. The FDA could reject an application or require us to conduct additional clinical or other studies as part of the regulatory review process. Delays in obtaining or failure to obtain FDA approvals would prevent or delay the commercialization of our products, which would prevent, defer or decrease our receipt of revenues. If we receive initial regulatory approval, our product candidates will be subject to extensive and rigorous ongoing domestic and foreign government regulation.</w:t>
      </w:r>
    </w:p>
    <w:p>
      <w:pPr>
        <w:spacing w:after="0" w:line="10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 xml:space="preserve">Our Competitive Position Depends On Protection Of Our Intellectual Property. </w:t>
      </w:r>
      <w:r>
        <w:rPr>
          <w:rFonts w:ascii="Arial" w:cs="Arial" w:eastAsia="Arial" w:hAnsi="Arial"/>
          <w:sz w:val="18"/>
          <w:szCs w:val="18"/>
          <w:color w:val="auto"/>
        </w:rPr>
        <w:t>Development and protection of our intellectual property are critical to our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If we do not adequately protect our intellectual property, competitors may be able to practice our technologies. Our success depends in part on our ability to obtain patent protection for our products or processes in the United States and other countries, protect trade secrets, and prevent others from infringing on our proprietary rights.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459" w:right="3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Since patent applications in the United States are maintained in secrecy for at least portions of their pendency periods (published on U.S. patent issuance or, if earlier, 18 months from earliest filing date for most applications) and since other publication of discoveries in the scientific or patent literature often lags behind actual discoveries, we cannot be certain that we are the first to make the inventions to be covered by our patent applications. The patent position of biopharmaceutical firms generally is highly uncertain and involves complex legal and factual questions. The U.S. Patent and Trademark Office has not established a consistent policy regarding the breadth of claims that it will allow in biotechnology patents.</w:t>
      </w:r>
    </w:p>
    <w:p>
      <w:pPr>
        <w:spacing w:after="0" w:line="102"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We cannot assure you that all of our patent applications will issue as patents or that the claims of any issued patents will afford meaningful protection for our technologies or products. In addition, patents issued to us or our licensors may be challenged and subsequently narrowed, invalidated or circumvented. Patent litigation is widespread in the biotechnology industry and could harm our business. Litigation might be necessary to protect our patent position or to determine the scope and validity of third-party proprietary rights, and we may not have the required resources to pursue such litigation or to protect our patent rights.</w:t>
      </w:r>
    </w:p>
    <w:p>
      <w:pPr>
        <w:spacing w:after="0" w:line="8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Although we require our scientific and technical employees and consultants to enter into broad assignment of inventions agreements, we have not required Dr. Platt to do so. He has, however, assigned all his patents and patent applications of inventions related to our business. While our employees, consultants and corporate partners with access to proprietary information generally will be required to enter into confidentiality agreements, these agreements may not be honored.</w:t>
      </w:r>
    </w:p>
    <w:p>
      <w:pPr>
        <w:spacing w:after="0" w:line="13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i w:val="1"/>
          <w:iCs w:val="1"/>
          <w:color w:val="auto"/>
        </w:rPr>
        <w:t xml:space="preserve">Our Products Could Infringe The Intellectual Property Rights Of Others. </w:t>
      </w:r>
      <w:r>
        <w:rPr>
          <w:rFonts w:ascii="Arial" w:cs="Arial" w:eastAsia="Arial" w:hAnsi="Arial"/>
          <w:sz w:val="16"/>
          <w:szCs w:val="16"/>
          <w:color w:val="auto"/>
        </w:rPr>
        <w:t>We cannot assure that products based on our patents or intellectual property that</w:t>
      </w:r>
      <w:r>
        <w:rPr>
          <w:rFonts w:ascii="Arial" w:cs="Arial" w:eastAsia="Arial" w:hAnsi="Arial"/>
          <w:sz w:val="16"/>
          <w:szCs w:val="16"/>
          <w:i w:val="1"/>
          <w:iCs w:val="1"/>
          <w:color w:val="auto"/>
        </w:rPr>
        <w:t xml:space="preserve"> </w:t>
      </w:r>
      <w:r>
        <w:rPr>
          <w:rFonts w:ascii="Arial" w:cs="Arial" w:eastAsia="Arial" w:hAnsi="Arial"/>
          <w:sz w:val="16"/>
          <w:szCs w:val="16"/>
          <w:color w:val="auto"/>
        </w:rPr>
        <w:t>we license from others will not be challenged by a third party claiming infringement of its proprietary rights. If we were not able to successfully defend our patents or licensed rights, we may have to pay substantial damages, possibly including treble damages, for past infringement.</w:t>
      </w:r>
    </w:p>
    <w:p>
      <w:pPr>
        <w:spacing w:after="0" w:line="9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color w:val="auto"/>
        </w:rPr>
        <w:t xml:space="preserve">We Face Intense Competition In The Biotechnology And Pharmaceutical Industries. </w:t>
      </w:r>
      <w:r>
        <w:rPr>
          <w:rFonts w:ascii="Arial" w:cs="Arial" w:eastAsia="Arial" w:hAnsi="Arial"/>
          <w:sz w:val="16"/>
          <w:szCs w:val="16"/>
          <w:color w:val="auto"/>
        </w:rPr>
        <w:t>The biotechnology and pharmaceutical industries are intensely</w:t>
      </w:r>
      <w:r>
        <w:rPr>
          <w:rFonts w:ascii="Arial" w:cs="Arial" w:eastAsia="Arial" w:hAnsi="Arial"/>
          <w:sz w:val="16"/>
          <w:szCs w:val="16"/>
          <w:i w:val="1"/>
          <w:iCs w:val="1"/>
          <w:color w:val="auto"/>
        </w:rPr>
        <w:t xml:space="preserve"> </w:t>
      </w:r>
      <w:r>
        <w:rPr>
          <w:rFonts w:ascii="Arial" w:cs="Arial" w:eastAsia="Arial" w:hAnsi="Arial"/>
          <w:sz w:val="16"/>
          <w:szCs w:val="16"/>
          <w:color w:val="auto"/>
        </w:rPr>
        <w:t>competitive. We face direct competition from U.S. and foreign companies focusing on drug delivery technologies which are rapidly evolving. Our competitors include major, multinational pharmaceutical and chemical companies, specialized biotechnology firms and universities and other research institutions. Many of these competitors have greater financial and other resources, larger research and development staffs and more effective marketing and manufacturing organizations, than we do. In addition, academic and government institutions are increasingly likely to enter into exclusive licensing agreements with commercial enterprises, including our competitors, to market commercial products based on technology developed at such institutions. Our competitors may succeed in developing or licensing technologies and products that are more effective or less costly than ours, or succeed in obtaining FDA or other regulatory approvals for product candidates before we do.</w:t>
      </w:r>
    </w:p>
    <w:p>
      <w:pPr>
        <w:spacing w:after="0" w:line="10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i w:val="1"/>
          <w:iCs w:val="1"/>
          <w:color w:val="auto"/>
        </w:rPr>
        <w:t xml:space="preserve">Health Care Cost Containment Initiatives And The Growth Of Managed Care May Limit Our Returns. </w:t>
      </w:r>
      <w:r>
        <w:rPr>
          <w:rFonts w:ascii="Arial" w:cs="Arial" w:eastAsia="Arial" w:hAnsi="Arial"/>
          <w:sz w:val="16"/>
          <w:szCs w:val="16"/>
          <w:color w:val="auto"/>
        </w:rPr>
        <w:t>Our ability to commercialize our products</w:t>
      </w:r>
      <w:r>
        <w:rPr>
          <w:rFonts w:ascii="Arial" w:cs="Arial" w:eastAsia="Arial" w:hAnsi="Arial"/>
          <w:sz w:val="16"/>
          <w:szCs w:val="16"/>
          <w:i w:val="1"/>
          <w:iCs w:val="1"/>
          <w:color w:val="auto"/>
        </w:rPr>
        <w:t xml:space="preserve"> </w:t>
      </w:r>
      <w:r>
        <w:rPr>
          <w:rFonts w:ascii="Arial" w:cs="Arial" w:eastAsia="Arial" w:hAnsi="Arial"/>
          <w:sz w:val="16"/>
          <w:szCs w:val="16"/>
          <w:color w:val="auto"/>
        </w:rPr>
        <w:t>successfully will be affected by the ongoing efforts of governmental and third-party payors to contain the cost of health care. These entities are challenging prices of health care products and services, denying or limiting coverage and reimbursement amounts for new therapeutic products, and for FDA-approved products considered experimental or investigational, or which are used for disease indications without FDA marketing approval.</w:t>
      </w:r>
    </w:p>
    <w:p>
      <w:pPr>
        <w:spacing w:after="0" w:line="9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Even if we succeed in bringing any products to the market, they may not be considered cost-effective and third-party reimbursement might not be available or sufficient. If adequate third-party coverage is not available, we may not be able to maintain price levels sufficient to realize an appropriate return on our investment in research and product development. In addition, legislation and regulations affecting the pricing of pharmaceuticals may change in ways adverse to us before or after any of our proposed products are approved for marketing.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Our Insurance Coverage May Not Be Adequate In All Circumstances. </w:t>
      </w:r>
      <w:r>
        <w:rPr>
          <w:rFonts w:ascii="Arial" w:cs="Arial" w:eastAsia="Arial" w:hAnsi="Arial"/>
          <w:sz w:val="16"/>
          <w:szCs w:val="16"/>
          <w:color w:val="auto"/>
        </w:rPr>
        <w:t>In the future, we may, in the ordinary course of business, be subject to claims by, and</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liability to, persons alleging injury as a result of taking products we have under development. If we are successful in having products approved by the FDA, the sale of such products would expose us to additional potential product liability and other claims resulting from their use. This liability may result from claims made directly by consumers or by pharmaceutical companies or others selling such products. Although we currently have insurance coverage for both product liability and professional liability, it is possible that we will not be able to maintain such insurance on acceptable terms. Any inability to maintain insurance coverage on acceptable terms could prevent or limit the commercialization of any products we develop.</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Our Stock</w:t>
      </w:r>
    </w:p>
    <w:p>
      <w:pPr>
        <w:spacing w:after="0" w:line="77"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i w:val="1"/>
          <w:iCs w:val="1"/>
          <w:color w:val="auto"/>
        </w:rPr>
        <w:t xml:space="preserve">Stock Prices For Biopharmaceutical And Biotechnology Companies Are Volatile. </w:t>
      </w:r>
      <w:r>
        <w:rPr>
          <w:rFonts w:ascii="Arial" w:cs="Arial" w:eastAsia="Arial" w:hAnsi="Arial"/>
          <w:sz w:val="18"/>
          <w:szCs w:val="18"/>
          <w:color w:val="auto"/>
        </w:rPr>
        <w:t>The market price for securities of biopharmaceutical and biotechnology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historically has been highly volatile, and the market from time to time has experienced significant price and volume fluctuations that are unrelated to the operating performance of such companies. Fluctuations in the trading price or liquidity of our common stock may adversely affect our ability to raise capital through future equity financings.</w:t>
      </w:r>
    </w:p>
    <w:p>
      <w:pPr>
        <w:spacing w:after="0" w:line="13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 xml:space="preserve">Large Sales Could Reduce The Trading Price Of Our Common Stock. </w:t>
      </w:r>
      <w:r>
        <w:rPr>
          <w:rFonts w:ascii="Arial" w:cs="Arial" w:eastAsia="Arial" w:hAnsi="Arial"/>
          <w:sz w:val="16"/>
          <w:szCs w:val="16"/>
          <w:color w:val="auto"/>
        </w:rPr>
        <w:t>We listed our common stock on the American Stock Exchange in September 2003,</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which our stock traded on the OTC Bulletin Board. Accordingly, there is a limited history of trading of our stock on a national exchange and, based on trading volume to date, our stock could be considered “thinly traded.” In the registration statement of which this prospectus is a part, we are registering on behalf of certain of the “Selling Stockholders” identified below 7,200,960 shares of our common stock and 109,613 shares of stock issuable upon exercise of warrants, which warrants are immediately exercisable. In October 2003, we registered 1,315,000 shares of our common stock on behalf of certain of our stockholders and approximately 723,000 shares of stock issuable upon exercise of warrants, which warrants are immediately exercisable. Previously in July 2003, we registered on behalf of certain of our stockholders 2,843,304 shares of our common stock sold to them in private placements we commenced before 2002, which shares are included in this prospectus. In general, shares of registered common stock may be re-sold into the public markets without volume or other restrictions. Large sales of our registered shares could place substantial downward pressure on the trading price of our common stock, particularly if the amount sold significantly exceeds the then-current trading volume of our stock.</w:t>
      </w:r>
    </w:p>
    <w:p>
      <w:pPr>
        <w:spacing w:after="0" w:line="109"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i w:val="1"/>
          <w:iCs w:val="1"/>
          <w:color w:val="auto"/>
        </w:rPr>
        <w:t xml:space="preserve">Four Principal Stockholders Own Enough Shares To Control The Company. </w:t>
      </w:r>
      <w:r>
        <w:rPr>
          <w:rFonts w:ascii="Arial" w:cs="Arial" w:eastAsia="Arial" w:hAnsi="Arial"/>
          <w:sz w:val="18"/>
          <w:szCs w:val="18"/>
          <w:color w:val="auto"/>
        </w:rPr>
        <w:t>Four of our principal stockholders, David Platt, James Czirr, Offer Binder and</w:t>
      </w:r>
      <w:r>
        <w:rPr>
          <w:rFonts w:ascii="Arial" w:cs="Arial" w:eastAsia="Arial" w:hAnsi="Arial"/>
          <w:sz w:val="18"/>
          <w:szCs w:val="18"/>
          <w:i w:val="1"/>
          <w:iCs w:val="1"/>
          <w:color w:val="auto"/>
        </w:rPr>
        <w:t xml:space="preserve"> </w:t>
      </w:r>
      <w:r>
        <w:rPr>
          <w:rFonts w:ascii="Arial" w:cs="Arial" w:eastAsia="Arial" w:hAnsi="Arial"/>
          <w:sz w:val="18"/>
          <w:szCs w:val="18"/>
          <w:color w:val="auto"/>
        </w:rPr>
        <w:t>Anatole Klyosov own or control approximately 47% of our outstanding shares of our common stock, and Dr. Platt and Mr. Czirr together own approximately 37%. Some or all of these stockholders, acting in concert, may be able to substantially influence the election of the Board of Directors and other corporate actions requiring stockholder approval, such as recapitalization or other fundamental corporate action, as well as the direction and policies of our company. Such concentration of ownership also could have the effect of delaying, deterring or preventing a change in control of the company that might otherwise be beneficial to stockholders.</w:t>
      </w:r>
    </w:p>
    <w:p>
      <w:pPr>
        <w:spacing w:after="0" w:line="13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Changes In Laws, Regulations And Financial Accounting Standards May Affect Our Reported Results Of Operations. </w:t>
      </w:r>
      <w:r>
        <w:rPr>
          <w:rFonts w:ascii="Arial" w:cs="Arial" w:eastAsia="Arial" w:hAnsi="Arial"/>
          <w:sz w:val="16"/>
          <w:szCs w:val="16"/>
          <w:color w:val="auto"/>
        </w:rPr>
        <w:t>The recently enacted Sarbanes-Oxley</w:t>
      </w:r>
      <w:r>
        <w:rPr>
          <w:rFonts w:ascii="Arial" w:cs="Arial" w:eastAsia="Arial" w:hAnsi="Arial"/>
          <w:sz w:val="16"/>
          <w:szCs w:val="16"/>
          <w:i w:val="1"/>
          <w:iCs w:val="1"/>
          <w:color w:val="auto"/>
        </w:rPr>
        <w:t xml:space="preserve"> </w:t>
      </w:r>
      <w:r>
        <w:rPr>
          <w:rFonts w:ascii="Arial" w:cs="Arial" w:eastAsia="Arial" w:hAnsi="Arial"/>
          <w:sz w:val="16"/>
          <w:szCs w:val="16"/>
          <w:color w:val="auto"/>
        </w:rPr>
        <w:t>Act of 2002 and related regulations may result in changes in accounting standards or accepted practices within our industry and could add significant new costs to being a public company. New pronouncements and varying interpretations of pronouncements have occurred in the past and are likely to occur in the future as a result of recent Congressional and regulatory actions. New laws, regulations and accounting standards, as well as potential changes to currently accepted accounting practices, including the expensing of stock options, could adversely affect our reported financial results and negatively affect our stock price. Additional unanticipated expenses incurred to comply with new requirements could also negatively impact our results of operations.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RECENT EVENTS</w:t>
      </w:r>
    </w:p>
    <w:p>
      <w:pPr>
        <w:spacing w:after="0" w:line="16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connection with the SEC’s informal inquiry that we previously disclosed in note 5 to the unaudited condensed financial statements included in our Quarterly Report on Form 10-QSB for the quarter ended September 30, 2003, filed with the SEC on November 14, 2003, we have timely furnished the requested information.</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December 2003, we retained Mr. Charles F. Harney, an experienced financial professional, to assume the position of Chief Financial Officer.</w:t>
      </w:r>
    </w:p>
    <w:p>
      <w:pPr>
        <w:spacing w:after="0" w:line="175"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FORWARD-LOOKING STATEMENTS</w:t>
      </w:r>
    </w:p>
    <w:p>
      <w:pPr>
        <w:spacing w:after="0" w:line="16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This prospectus and the documents incorporated by reference contain, in addition to historical information, forward-looking statements within the meaning of the “safe harbor” provisions of the Private Securities Litigation Reform Act of 1995. These statements relate to future events or our future financial performance and can be identified by the use of forward-looking terminology such as “may,” “will,” “could,” “expect,” “anticipate,” “estimate,” “continue” or other similar words. These forward-looking statements are based on management’s current expectations and are subject to a number of factors and uncertainties which could cause actual results to differ materially from those described in such statements. We caution investors that actual results or business conditions may differ materially from those projected or suggested in forward-looking statements as a result of various factors including, but not limited to, those described in the Risk Factors section of this prospectus. We cannot assure you that we have identified all the factors that create uncertainties. Readers should not place undue reliance on forward-looking statements. We undertake no obligation to publicly release the result of any revision of these forward-looking statements to reflect events or circumstances after the date they are made or to reflect the occurrence of unanticipated events.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jc w:val="center"/>
        <w:ind w:left="440"/>
        <w:spacing w:after="0"/>
        <w:rPr>
          <w:sz w:val="20"/>
          <w:szCs w:val="20"/>
          <w:color w:val="auto"/>
        </w:rPr>
      </w:pPr>
      <w:r>
        <w:rPr>
          <w:rFonts w:ascii="Arial" w:cs="Arial" w:eastAsia="Arial" w:hAnsi="Arial"/>
          <w:sz w:val="16"/>
          <w:szCs w:val="16"/>
          <w:color w:val="auto"/>
        </w:rPr>
        <w:t>The proceeds from the sale of each selling stockholder’s common stock will belong to that selling stockholder. We will not receive any proceeds from those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sales.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16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This prospectus relates to the resale from time to time of up to a total of 9,639,742 shares of our common stock by the selling stockholders, comprising:</w:t>
      </w:r>
    </w:p>
    <w:p>
      <w:pPr>
        <w:spacing w:after="0" w:line="100" w:lineRule="exact"/>
        <w:rPr>
          <w:sz w:val="20"/>
          <w:szCs w:val="20"/>
          <w:color w:val="auto"/>
        </w:rPr>
      </w:pPr>
    </w:p>
    <w:p>
      <w:pPr>
        <w:ind w:left="800" w:hanging="346"/>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4,501,460 shares of common stock issued in a private placement that concluded in September 2002;</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2,399,500 shares of common stock issued in a private placement that concluded in July 2003;</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300,000 shares of common stock held by certain founders of the Company;</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109,613 shares of common stock underlying currently exercisable common stock purchase warrants; and</w:t>
      </w:r>
    </w:p>
    <w:p>
      <w:pPr>
        <w:spacing w:after="0" w:line="76" w:lineRule="exact"/>
        <w:rPr>
          <w:rFonts w:ascii="Arial" w:cs="Arial" w:eastAsia="Arial" w:hAnsi="Arial"/>
          <w:sz w:val="18"/>
          <w:szCs w:val="18"/>
          <w:color w:val="auto"/>
        </w:rPr>
      </w:pPr>
    </w:p>
    <w:p>
      <w:pPr>
        <w:ind w:left="800" w:right="340" w:hanging="346"/>
        <w:spacing w:after="0" w:line="268" w:lineRule="auto"/>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2,329,169 shares of common stock previously registered on Form SB-2 (file no. 333-107112) and included in this prospectus pursuant to Rule 429 under the Securities Act.</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shares issued in connection with the offerings that concluded in September 2002 and July 2003 were sold to investors in private placements exempt from the registration requirements of the Securities Act. The common stock purchase warrants were issued to four placement agents as part of their compensation for services rendered in the private placement that concluded in July 2003. We are registering the common stock issuable upon exercise of the warrants pursuant to registration rights held by the placement agents. Pursuant to Rule 429 under the Securities Act, the shares previously registered in July 2003 on Form SB-2 are set forth in a separate table below and are included in the combined prospectus that forms a part of this registration statement. The prospectus included herein, upon effectiveness, shall constitute a post-effective amendment to the Form SB-2 (file no. 333-107112).</w:t>
      </w:r>
    </w:p>
    <w:p>
      <w:pPr>
        <w:spacing w:after="0" w:line="107"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The following two tables, based upon information currently known by us, set forth, as of December 22, 2003, the number of shares held of record or beneficially by the selling stockholders that may be offered under this prospectus. The footnote references provided in each table refer to the notes that follow the second table. Beneficial ownership includes shares of common stock plus any securities held by the holder exercisable for or convertible into shares of common stock within sixty (60) days after the date of this prospectus, in accordance with Rule 13d-3(d)(1) under the Securities Exchange Act of 1934, as amended.</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of Selling Stockholders Offering Shares Registered Under this Registration Statement: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2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8"/>
              </w:rPr>
              <w:t>Common</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5"/>
              </w:rPr>
              <w:t>Common</w:t>
            </w:r>
          </w:p>
        </w:tc>
        <w:tc>
          <w:tcPr>
            <w:tcW w:w="82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Percentage (2)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Common</w:t>
            </w:r>
          </w:p>
        </w:tc>
        <w:tc>
          <w:tcPr>
            <w:tcW w:w="820" w:type="dxa"/>
            <w:vAlign w:val="bottom"/>
          </w:tcPr>
          <w:p>
            <w:pPr>
              <w:spacing w:after="0"/>
              <w:rPr>
                <w:sz w:val="12"/>
                <w:szCs w:val="12"/>
                <w:color w:val="auto"/>
              </w:rPr>
            </w:pPr>
          </w:p>
        </w:tc>
        <w:tc>
          <w:tcPr>
            <w:tcW w:w="172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6"/>
              </w:rPr>
              <w:t>Stock Being</w:t>
            </w:r>
          </w:p>
        </w:tc>
        <w:tc>
          <w:tcPr>
            <w:tcW w:w="9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2"/>
              </w:rPr>
              <w:t>Stock Owned</w:t>
            </w:r>
          </w:p>
        </w:tc>
        <w:tc>
          <w:tcPr>
            <w:tcW w:w="82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Stock Owned</w:t>
            </w:r>
          </w:p>
        </w:tc>
        <w:tc>
          <w:tcPr>
            <w:tcW w:w="820" w:type="dxa"/>
            <w:vAlign w:val="bottom"/>
          </w:tcPr>
          <w:p>
            <w:pPr>
              <w:spacing w:after="0"/>
              <w:rPr>
                <w:sz w:val="12"/>
                <w:szCs w:val="12"/>
                <w:color w:val="auto"/>
              </w:rPr>
            </w:pPr>
          </w:p>
        </w:tc>
        <w:tc>
          <w:tcPr>
            <w:tcW w:w="172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2"/>
              </w:rPr>
              <w:t>Offered</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Upon</w:t>
            </w:r>
          </w:p>
        </w:tc>
        <w:tc>
          <w:tcPr>
            <w:tcW w:w="82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Owned Upon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Prior to the</w:t>
            </w:r>
          </w:p>
        </w:tc>
        <w:tc>
          <w:tcPr>
            <w:tcW w:w="820" w:type="dxa"/>
            <w:vAlign w:val="bottom"/>
          </w:tcPr>
          <w:p>
            <w:pPr>
              <w:spacing w:after="0"/>
              <w:rPr>
                <w:sz w:val="12"/>
                <w:szCs w:val="12"/>
                <w:color w:val="auto"/>
              </w:rPr>
            </w:pPr>
          </w:p>
        </w:tc>
        <w:tc>
          <w:tcPr>
            <w:tcW w:w="172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7"/>
              </w:rPr>
              <w:t>Pursuant to</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Completion of</w:t>
            </w:r>
          </w:p>
        </w:tc>
        <w:tc>
          <w:tcPr>
            <w:tcW w:w="820" w:type="dxa"/>
            <w:vAlign w:val="bottom"/>
          </w:tcPr>
          <w:p>
            <w:pPr>
              <w:spacing w:after="0"/>
              <w:rPr>
                <w:sz w:val="12"/>
                <w:szCs w:val="12"/>
                <w:color w:val="auto"/>
              </w:rPr>
            </w:pP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Completion of</w:t>
            </w:r>
          </w:p>
        </w:tc>
        <w:tc>
          <w:tcPr>
            <w:tcW w:w="0" w:type="dxa"/>
            <w:vAlign w:val="bottom"/>
          </w:tcPr>
          <w:p>
            <w:pPr>
              <w:spacing w:after="0"/>
              <w:rPr>
                <w:sz w:val="1"/>
                <w:szCs w:val="1"/>
                <w:color w:val="auto"/>
              </w:rPr>
            </w:pPr>
          </w:p>
        </w:tc>
      </w:tr>
      <w:tr>
        <w:trPr>
          <w:trHeight w:val="174"/>
        </w:trPr>
        <w:tc>
          <w:tcPr>
            <w:tcW w:w="5280" w:type="dxa"/>
            <w:vAlign w:val="bottom"/>
            <w:gridSpan w:val="3"/>
          </w:tcPr>
          <w:p>
            <w:pPr>
              <w:spacing w:after="0"/>
              <w:rPr>
                <w:sz w:val="20"/>
                <w:szCs w:val="20"/>
                <w:color w:val="auto"/>
              </w:rPr>
            </w:pPr>
            <w:r>
              <w:rPr>
                <w:rFonts w:ascii="Arial" w:cs="Arial" w:eastAsia="Arial" w:hAnsi="Arial"/>
                <w:sz w:val="14"/>
                <w:szCs w:val="14"/>
                <w:b w:val="1"/>
                <w:bCs w:val="1"/>
                <w:color w:val="auto"/>
              </w:rPr>
              <w:t>Name of Selling Stockholder</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8"/>
              </w:rPr>
              <w:t>Offering</w:t>
            </w:r>
          </w:p>
        </w:tc>
        <w:tc>
          <w:tcPr>
            <w:tcW w:w="820" w:type="dxa"/>
            <w:vAlign w:val="bottom"/>
          </w:tcPr>
          <w:p>
            <w:pPr>
              <w:spacing w:after="0"/>
              <w:rPr>
                <w:sz w:val="15"/>
                <w:szCs w:val="15"/>
                <w:color w:val="auto"/>
              </w:rPr>
            </w:pPr>
          </w:p>
        </w:tc>
        <w:tc>
          <w:tcPr>
            <w:tcW w:w="172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1"/>
              </w:rPr>
              <w:t>this Prospectus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this Offering (1)</w:t>
            </w:r>
          </w:p>
        </w:tc>
        <w:tc>
          <w:tcPr>
            <w:tcW w:w="820" w:type="dxa"/>
            <w:vAlign w:val="bottom"/>
          </w:tcPr>
          <w:p>
            <w:pPr>
              <w:spacing w:after="0"/>
              <w:rPr>
                <w:sz w:val="15"/>
                <w:szCs w:val="15"/>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this Offering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308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80" w:type="dxa"/>
            <w:vAlign w:val="bottom"/>
          </w:tcPr>
          <w:p>
            <w:pPr>
              <w:spacing w:after="0"/>
              <w:rPr>
                <w:sz w:val="8"/>
                <w:szCs w:val="8"/>
                <w:color w:val="auto"/>
              </w:rPr>
            </w:pPr>
          </w:p>
        </w:tc>
        <w:tc>
          <w:tcPr>
            <w:tcW w:w="3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22 Willow Limited Partnership</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254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12,500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Robert J. Alldredge</w:t>
            </w:r>
          </w:p>
        </w:tc>
        <w:tc>
          <w:tcPr>
            <w:tcW w:w="760" w:type="dxa"/>
            <w:vAlign w:val="bottom"/>
          </w:tcPr>
          <w:p>
            <w:pPr>
              <w:jc w:val="right"/>
              <w:spacing w:after="0"/>
              <w:rPr>
                <w:sz w:val="20"/>
                <w:szCs w:val="20"/>
                <w:color w:val="auto"/>
              </w:rPr>
            </w:pPr>
            <w:r>
              <w:rPr>
                <w:rFonts w:ascii="Arial" w:cs="Arial" w:eastAsia="Arial" w:hAnsi="Arial"/>
                <w:sz w:val="18"/>
                <w:szCs w:val="18"/>
                <w:color w:val="auto"/>
              </w:rPr>
              <w:t>62,500</w:t>
            </w:r>
          </w:p>
        </w:tc>
        <w:tc>
          <w:tcPr>
            <w:tcW w:w="2540" w:type="dxa"/>
            <w:vAlign w:val="bottom"/>
            <w:gridSpan w:val="3"/>
          </w:tcPr>
          <w:p>
            <w:pPr>
              <w:jc w:val="right"/>
              <w:ind w:right="840"/>
              <w:spacing w:after="0"/>
              <w:rPr>
                <w:sz w:val="20"/>
                <w:szCs w:val="20"/>
                <w:color w:val="auto"/>
              </w:rPr>
            </w:pPr>
            <w:r>
              <w:rPr>
                <w:rFonts w:ascii="Arial" w:cs="Arial" w:eastAsia="Arial" w:hAnsi="Arial"/>
                <w:sz w:val="18"/>
                <w:szCs w:val="18"/>
                <w:color w:val="auto"/>
              </w:rPr>
              <w:t>62,500</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Avrit Family Trust dtd 9/29/92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254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15,000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Bear Stearns Securities Corp. as Custodian for William C.</w:t>
            </w: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gridSpan w:val="2"/>
          </w:tcPr>
          <w:p>
            <w:pPr>
              <w:ind w:left="200"/>
              <w:spacing w:after="0"/>
              <w:rPr>
                <w:sz w:val="20"/>
                <w:szCs w:val="20"/>
                <w:color w:val="auto"/>
              </w:rPr>
            </w:pPr>
            <w:r>
              <w:rPr>
                <w:rFonts w:ascii="Arial" w:cs="Arial" w:eastAsia="Arial" w:hAnsi="Arial"/>
                <w:sz w:val="18"/>
                <w:szCs w:val="18"/>
                <w:color w:val="auto"/>
              </w:rPr>
              <w:t>Mattison, Jr. IRA/Rollover</w:t>
            </w:r>
          </w:p>
        </w:tc>
        <w:tc>
          <w:tcPr>
            <w:tcW w:w="760" w:type="dxa"/>
            <w:vAlign w:val="bottom"/>
          </w:tcPr>
          <w:p>
            <w:pPr>
              <w:jc w:val="right"/>
              <w:spacing w:after="0"/>
              <w:rPr>
                <w:sz w:val="20"/>
                <w:szCs w:val="20"/>
                <w:color w:val="auto"/>
              </w:rPr>
            </w:pPr>
            <w:r>
              <w:rPr>
                <w:rFonts w:ascii="Arial" w:cs="Arial" w:eastAsia="Arial" w:hAnsi="Arial"/>
                <w:sz w:val="18"/>
                <w:szCs w:val="18"/>
                <w:color w:val="auto"/>
              </w:rPr>
              <w:t>75,000</w:t>
            </w:r>
          </w:p>
        </w:tc>
        <w:tc>
          <w:tcPr>
            <w:tcW w:w="2540" w:type="dxa"/>
            <w:vAlign w:val="bottom"/>
            <w:gridSpan w:val="3"/>
          </w:tcPr>
          <w:p>
            <w:pPr>
              <w:jc w:val="right"/>
              <w:ind w:right="840"/>
              <w:spacing w:after="0"/>
              <w:rPr>
                <w:sz w:val="20"/>
                <w:szCs w:val="20"/>
                <w:color w:val="auto"/>
              </w:rPr>
            </w:pPr>
            <w:r>
              <w:rPr>
                <w:rFonts w:ascii="Arial" w:cs="Arial" w:eastAsia="Arial" w:hAnsi="Arial"/>
                <w:sz w:val="18"/>
                <w:szCs w:val="18"/>
                <w:color w:val="auto"/>
              </w:rPr>
              <w:t>75,000</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Beckerman</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54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50,000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Pershing, LLC FBO, IRA Harvey Berkman</w:t>
            </w:r>
          </w:p>
        </w:tc>
        <w:tc>
          <w:tcPr>
            <w:tcW w:w="760" w:type="dxa"/>
            <w:vAlign w:val="bottom"/>
          </w:tcPr>
          <w:p>
            <w:pPr>
              <w:jc w:val="right"/>
              <w:spacing w:after="0"/>
              <w:rPr>
                <w:sz w:val="20"/>
                <w:szCs w:val="20"/>
                <w:color w:val="auto"/>
              </w:rPr>
            </w:pPr>
            <w:r>
              <w:rPr>
                <w:rFonts w:ascii="Arial" w:cs="Arial" w:eastAsia="Arial" w:hAnsi="Arial"/>
                <w:sz w:val="18"/>
                <w:szCs w:val="18"/>
                <w:color w:val="auto"/>
              </w:rPr>
              <w:t>10,000</w:t>
            </w:r>
          </w:p>
        </w:tc>
        <w:tc>
          <w:tcPr>
            <w:tcW w:w="2540" w:type="dxa"/>
            <w:vAlign w:val="bottom"/>
            <w:gridSpan w:val="3"/>
          </w:tcPr>
          <w:p>
            <w:pPr>
              <w:jc w:val="right"/>
              <w:ind w:right="840"/>
              <w:spacing w:after="0"/>
              <w:rPr>
                <w:sz w:val="20"/>
                <w:szCs w:val="20"/>
                <w:color w:val="auto"/>
              </w:rPr>
            </w:pPr>
            <w:r>
              <w:rPr>
                <w:rFonts w:ascii="Arial" w:cs="Arial" w:eastAsia="Arial" w:hAnsi="Arial"/>
                <w:sz w:val="18"/>
                <w:szCs w:val="18"/>
                <w:color w:val="auto"/>
              </w:rPr>
              <w:t>10,000</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Berkowitz</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54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25,000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Milton Berlinski</w:t>
            </w:r>
          </w:p>
        </w:tc>
        <w:tc>
          <w:tcPr>
            <w:tcW w:w="760" w:type="dxa"/>
            <w:vAlign w:val="bottom"/>
          </w:tcPr>
          <w:p>
            <w:pPr>
              <w:jc w:val="right"/>
              <w:spacing w:after="0"/>
              <w:rPr>
                <w:sz w:val="20"/>
                <w:szCs w:val="20"/>
                <w:color w:val="auto"/>
              </w:rPr>
            </w:pPr>
            <w:r>
              <w:rPr>
                <w:rFonts w:ascii="Arial" w:cs="Arial" w:eastAsia="Arial" w:hAnsi="Arial"/>
                <w:sz w:val="18"/>
                <w:szCs w:val="18"/>
                <w:color w:val="auto"/>
              </w:rPr>
              <w:t>25,000</w:t>
            </w:r>
          </w:p>
        </w:tc>
        <w:tc>
          <w:tcPr>
            <w:tcW w:w="2540" w:type="dxa"/>
            <w:vAlign w:val="bottom"/>
            <w:gridSpan w:val="3"/>
          </w:tcPr>
          <w:p>
            <w:pPr>
              <w:jc w:val="right"/>
              <w:ind w:right="840"/>
              <w:spacing w:after="0"/>
              <w:rPr>
                <w:sz w:val="20"/>
                <w:szCs w:val="20"/>
                <w:color w:val="auto"/>
              </w:rPr>
            </w:pPr>
            <w:r>
              <w:rPr>
                <w:rFonts w:ascii="Arial" w:cs="Arial" w:eastAsia="Arial" w:hAnsi="Arial"/>
                <w:sz w:val="18"/>
                <w:szCs w:val="18"/>
                <w:color w:val="auto"/>
              </w:rPr>
              <w:t>25,000</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Mary Jo Bianchini Revocable Living Trust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254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12,500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Offer Binder (3)</w:t>
            </w:r>
          </w:p>
        </w:tc>
        <w:tc>
          <w:tcPr>
            <w:tcW w:w="760" w:type="dxa"/>
            <w:vAlign w:val="bottom"/>
          </w:tcPr>
          <w:p>
            <w:pPr>
              <w:jc w:val="right"/>
              <w:spacing w:after="0"/>
              <w:rPr>
                <w:sz w:val="20"/>
                <w:szCs w:val="20"/>
                <w:color w:val="auto"/>
              </w:rPr>
            </w:pPr>
            <w:r>
              <w:rPr>
                <w:rFonts w:ascii="Arial" w:cs="Arial" w:eastAsia="Arial" w:hAnsi="Arial"/>
                <w:sz w:val="18"/>
                <w:szCs w:val="18"/>
                <w:color w:val="auto"/>
              </w:rPr>
              <w:t>50,000</w:t>
            </w:r>
          </w:p>
        </w:tc>
        <w:tc>
          <w:tcPr>
            <w:tcW w:w="2540" w:type="dxa"/>
            <w:vAlign w:val="bottom"/>
            <w:gridSpan w:val="3"/>
          </w:tcPr>
          <w:p>
            <w:pPr>
              <w:jc w:val="right"/>
              <w:ind w:right="840"/>
              <w:spacing w:after="0"/>
              <w:rPr>
                <w:sz w:val="20"/>
                <w:szCs w:val="20"/>
                <w:color w:val="auto"/>
              </w:rPr>
            </w:pPr>
            <w:r>
              <w:rPr>
                <w:rFonts w:ascii="Arial" w:cs="Arial" w:eastAsia="Arial" w:hAnsi="Arial"/>
                <w:sz w:val="18"/>
                <w:szCs w:val="18"/>
                <w:color w:val="auto"/>
              </w:rPr>
              <w:t>50,000</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Laurence W. Bunde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92,000</w:t>
            </w:r>
          </w:p>
        </w:tc>
        <w:tc>
          <w:tcPr>
            <w:tcW w:w="254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92,000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Charles S. III &amp; Donna Burge</w:t>
            </w:r>
          </w:p>
        </w:tc>
        <w:tc>
          <w:tcPr>
            <w:tcW w:w="760" w:type="dxa"/>
            <w:vAlign w:val="bottom"/>
          </w:tcPr>
          <w:p>
            <w:pPr>
              <w:jc w:val="right"/>
              <w:spacing w:after="0"/>
              <w:rPr>
                <w:sz w:val="20"/>
                <w:szCs w:val="20"/>
                <w:color w:val="auto"/>
              </w:rPr>
            </w:pPr>
            <w:r>
              <w:rPr>
                <w:rFonts w:ascii="Arial" w:cs="Arial" w:eastAsia="Arial" w:hAnsi="Arial"/>
                <w:sz w:val="18"/>
                <w:szCs w:val="18"/>
                <w:color w:val="auto"/>
              </w:rPr>
              <w:t>12,500</w:t>
            </w:r>
          </w:p>
        </w:tc>
        <w:tc>
          <w:tcPr>
            <w:tcW w:w="2540" w:type="dxa"/>
            <w:vAlign w:val="bottom"/>
            <w:gridSpan w:val="3"/>
          </w:tcPr>
          <w:p>
            <w:pPr>
              <w:jc w:val="right"/>
              <w:ind w:right="840"/>
              <w:spacing w:after="0"/>
              <w:rPr>
                <w:sz w:val="20"/>
                <w:szCs w:val="20"/>
                <w:color w:val="auto"/>
              </w:rPr>
            </w:pPr>
            <w:r>
              <w:rPr>
                <w:rFonts w:ascii="Arial" w:cs="Arial" w:eastAsia="Arial" w:hAnsi="Arial"/>
                <w:sz w:val="18"/>
                <w:szCs w:val="18"/>
                <w:color w:val="auto"/>
              </w:rPr>
              <w:t>12,500</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Chasan</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254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12,500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Mildred S. Christian (4)</w:t>
            </w:r>
          </w:p>
        </w:tc>
        <w:tc>
          <w:tcPr>
            <w:tcW w:w="760" w:type="dxa"/>
            <w:vAlign w:val="bottom"/>
          </w:tcPr>
          <w:p>
            <w:pPr>
              <w:jc w:val="right"/>
              <w:spacing w:after="0"/>
              <w:rPr>
                <w:sz w:val="20"/>
                <w:szCs w:val="20"/>
                <w:color w:val="auto"/>
              </w:rPr>
            </w:pPr>
            <w:r>
              <w:rPr>
                <w:rFonts w:ascii="Arial" w:cs="Arial" w:eastAsia="Arial" w:hAnsi="Arial"/>
                <w:sz w:val="18"/>
                <w:szCs w:val="18"/>
                <w:color w:val="auto"/>
              </w:rPr>
              <w:t>53,854</w:t>
            </w:r>
          </w:p>
        </w:tc>
        <w:tc>
          <w:tcPr>
            <w:tcW w:w="2540" w:type="dxa"/>
            <w:vAlign w:val="bottom"/>
            <w:gridSpan w:val="3"/>
          </w:tcPr>
          <w:p>
            <w:pPr>
              <w:jc w:val="right"/>
              <w:ind w:right="840"/>
              <w:spacing w:after="0"/>
              <w:rPr>
                <w:sz w:val="20"/>
                <w:szCs w:val="20"/>
                <w:color w:val="auto"/>
              </w:rPr>
            </w:pPr>
            <w:r>
              <w:rPr>
                <w:rFonts w:ascii="Arial" w:cs="Arial" w:eastAsia="Arial" w:hAnsi="Arial"/>
                <w:sz w:val="18"/>
                <w:szCs w:val="18"/>
                <w:color w:val="auto"/>
              </w:rPr>
              <w:t>17,500</w:t>
            </w:r>
          </w:p>
        </w:tc>
        <w:tc>
          <w:tcPr>
            <w:tcW w:w="920" w:type="dxa"/>
            <w:vAlign w:val="bottom"/>
          </w:tcPr>
          <w:p>
            <w:pPr>
              <w:jc w:val="right"/>
              <w:spacing w:after="0"/>
              <w:rPr>
                <w:sz w:val="20"/>
                <w:szCs w:val="20"/>
                <w:color w:val="auto"/>
              </w:rPr>
            </w:pPr>
            <w:r>
              <w:rPr>
                <w:rFonts w:ascii="Arial" w:cs="Arial" w:eastAsia="Arial" w:hAnsi="Arial"/>
                <w:sz w:val="18"/>
                <w:szCs w:val="18"/>
                <w:color w:val="auto"/>
              </w:rPr>
              <w:t>36,354</w:t>
            </w:r>
          </w:p>
        </w:tc>
        <w:tc>
          <w:tcPr>
            <w:tcW w:w="19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Dale A. Christie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254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7,500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760" w:type="dxa"/>
            <w:vAlign w:val="bottom"/>
          </w:tcPr>
          <w:p>
            <w:pPr>
              <w:jc w:val="right"/>
              <w:ind w:right="196"/>
              <w:spacing w:after="0"/>
              <w:rPr>
                <w:sz w:val="20"/>
                <w:szCs w:val="20"/>
                <w:color w:val="auto"/>
              </w:rPr>
            </w:pPr>
            <w:r>
              <w:rPr>
                <w:rFonts w:ascii="Arial" w:cs="Arial" w:eastAsia="Arial" w:hAnsi="Arial"/>
                <w:sz w:val="18"/>
                <w:szCs w:val="18"/>
                <w:color w:val="auto"/>
              </w:rPr>
              <w:t>8</w:t>
            </w: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8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8"/>
              </w:rPr>
              <w:t>Common</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8"/>
              </w:rPr>
              <w:t>Common</w:t>
            </w:r>
          </w:p>
        </w:tc>
        <w:tc>
          <w:tcPr>
            <w:tcW w:w="80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Percentage (2)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6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5"/>
              </w:rPr>
              <w:t>Common</w:t>
            </w:r>
          </w:p>
        </w:tc>
        <w:tc>
          <w:tcPr>
            <w:tcW w:w="16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3"/>
              </w:rPr>
              <w:t>Stock Being</w:t>
            </w:r>
          </w:p>
        </w:tc>
        <w:tc>
          <w:tcPr>
            <w:tcW w:w="9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Stock Owned</w:t>
            </w:r>
          </w:p>
        </w:tc>
        <w:tc>
          <w:tcPr>
            <w:tcW w:w="80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6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5"/>
              </w:rPr>
              <w:t>Stock Owned</w:t>
            </w:r>
          </w:p>
        </w:tc>
        <w:tc>
          <w:tcPr>
            <w:tcW w:w="16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8"/>
              </w:rPr>
              <w:t>Offered</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Upon</w:t>
            </w:r>
          </w:p>
        </w:tc>
        <w:tc>
          <w:tcPr>
            <w:tcW w:w="80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Owned Upon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6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0"/>
              </w:rPr>
              <w:t>Prior to the</w:t>
            </w:r>
          </w:p>
        </w:tc>
        <w:tc>
          <w:tcPr>
            <w:tcW w:w="16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7"/>
              </w:rPr>
              <w:t>Pursuant to</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Completion of</w:t>
            </w:r>
          </w:p>
        </w:tc>
        <w:tc>
          <w:tcPr>
            <w:tcW w:w="800" w:type="dxa"/>
            <w:vAlign w:val="bottom"/>
          </w:tcPr>
          <w:p>
            <w:pPr>
              <w:spacing w:after="0"/>
              <w:rPr>
                <w:sz w:val="12"/>
                <w:szCs w:val="12"/>
                <w:color w:val="auto"/>
              </w:rPr>
            </w:pP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Completion of</w:t>
            </w:r>
          </w:p>
        </w:tc>
        <w:tc>
          <w:tcPr>
            <w:tcW w:w="0" w:type="dxa"/>
            <w:vAlign w:val="bottom"/>
          </w:tcPr>
          <w:p>
            <w:pPr>
              <w:spacing w:after="0"/>
              <w:rPr>
                <w:sz w:val="1"/>
                <w:szCs w:val="1"/>
                <w:color w:val="auto"/>
              </w:rPr>
            </w:pPr>
          </w:p>
        </w:tc>
      </w:tr>
      <w:tr>
        <w:trPr>
          <w:trHeight w:val="174"/>
        </w:trPr>
        <w:tc>
          <w:tcPr>
            <w:tcW w:w="5300" w:type="dxa"/>
            <w:vAlign w:val="bottom"/>
            <w:gridSpan w:val="3"/>
          </w:tcPr>
          <w:p>
            <w:pPr>
              <w:spacing w:after="0"/>
              <w:rPr>
                <w:sz w:val="20"/>
                <w:szCs w:val="20"/>
                <w:color w:val="auto"/>
              </w:rPr>
            </w:pPr>
            <w:r>
              <w:rPr>
                <w:rFonts w:ascii="Arial" w:cs="Arial" w:eastAsia="Arial" w:hAnsi="Arial"/>
                <w:sz w:val="14"/>
                <w:szCs w:val="14"/>
                <w:b w:val="1"/>
                <w:bCs w:val="1"/>
                <w:color w:val="auto"/>
              </w:rPr>
              <w:t>Name of Selling Stockholder</w:t>
            </w:r>
          </w:p>
        </w:tc>
        <w:tc>
          <w:tcPr>
            <w:tcW w:w="160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8"/>
              </w:rPr>
              <w:t>Offering</w:t>
            </w:r>
          </w:p>
        </w:tc>
        <w:tc>
          <w:tcPr>
            <w:tcW w:w="168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3"/>
              </w:rPr>
              <w:t>this Prospectus</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0"/>
              </w:rPr>
              <w:t>this Offering (1)</w:t>
            </w:r>
          </w:p>
        </w:tc>
        <w:tc>
          <w:tcPr>
            <w:tcW w:w="800" w:type="dxa"/>
            <w:vAlign w:val="bottom"/>
          </w:tcPr>
          <w:p>
            <w:pPr>
              <w:spacing w:after="0"/>
              <w:rPr>
                <w:sz w:val="15"/>
                <w:szCs w:val="15"/>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this Offering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31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80" w:type="dxa"/>
            <w:vAlign w:val="bottom"/>
          </w:tcPr>
          <w:p>
            <w:pPr>
              <w:spacing w:after="0"/>
              <w:rPr>
                <w:sz w:val="8"/>
                <w:szCs w:val="8"/>
                <w:color w:val="auto"/>
              </w:rPr>
            </w:pPr>
          </w:p>
        </w:tc>
        <w:tc>
          <w:tcPr>
            <w:tcW w:w="3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Thelma K. &amp; Allan C. Christopher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12,500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Donald Collins</w:t>
            </w:r>
          </w:p>
        </w:tc>
        <w:tc>
          <w:tcPr>
            <w:tcW w:w="800" w:type="dxa"/>
            <w:vAlign w:val="bottom"/>
          </w:tcPr>
          <w:p>
            <w:pPr>
              <w:jc w:val="right"/>
              <w:spacing w:after="0"/>
              <w:rPr>
                <w:sz w:val="20"/>
                <w:szCs w:val="20"/>
                <w:color w:val="auto"/>
              </w:rPr>
            </w:pPr>
            <w:r>
              <w:rPr>
                <w:rFonts w:ascii="Arial" w:cs="Arial" w:eastAsia="Arial" w:hAnsi="Arial"/>
                <w:sz w:val="18"/>
                <w:szCs w:val="18"/>
                <w:color w:val="auto"/>
              </w:rPr>
              <w:t>25,000</w:t>
            </w:r>
          </w:p>
        </w:tc>
        <w:tc>
          <w:tcPr>
            <w:tcW w:w="800" w:type="dxa"/>
            <w:vAlign w:val="bottom"/>
          </w:tcPr>
          <w:p>
            <w:pPr>
              <w:spacing w:after="0"/>
              <w:rPr>
                <w:sz w:val="18"/>
                <w:szCs w:val="18"/>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25,000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Components Plus, Inc.</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12,500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Peter Cook Mortgage</w:t>
            </w:r>
          </w:p>
        </w:tc>
        <w:tc>
          <w:tcPr>
            <w:tcW w:w="800" w:type="dxa"/>
            <w:vAlign w:val="bottom"/>
          </w:tcPr>
          <w:p>
            <w:pPr>
              <w:jc w:val="right"/>
              <w:spacing w:after="0"/>
              <w:rPr>
                <w:sz w:val="20"/>
                <w:szCs w:val="20"/>
                <w:color w:val="auto"/>
              </w:rPr>
            </w:pPr>
            <w:r>
              <w:rPr>
                <w:rFonts w:ascii="Arial" w:cs="Arial" w:eastAsia="Arial" w:hAnsi="Arial"/>
                <w:sz w:val="18"/>
                <w:szCs w:val="18"/>
                <w:color w:val="auto"/>
              </w:rPr>
              <w:t>12,500</w:t>
            </w:r>
          </w:p>
        </w:tc>
        <w:tc>
          <w:tcPr>
            <w:tcW w:w="800" w:type="dxa"/>
            <w:vAlign w:val="bottom"/>
          </w:tcPr>
          <w:p>
            <w:pPr>
              <w:spacing w:after="0"/>
              <w:rPr>
                <w:sz w:val="18"/>
                <w:szCs w:val="18"/>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12,500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Judson Crane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25,000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Sarah Crane</w:t>
            </w:r>
          </w:p>
        </w:tc>
        <w:tc>
          <w:tcPr>
            <w:tcW w:w="800" w:type="dxa"/>
            <w:vAlign w:val="bottom"/>
          </w:tcPr>
          <w:p>
            <w:pPr>
              <w:jc w:val="right"/>
              <w:spacing w:after="0"/>
              <w:rPr>
                <w:sz w:val="20"/>
                <w:szCs w:val="20"/>
                <w:color w:val="auto"/>
              </w:rPr>
            </w:pPr>
            <w:r>
              <w:rPr>
                <w:rFonts w:ascii="Arial" w:cs="Arial" w:eastAsia="Arial" w:hAnsi="Arial"/>
                <w:sz w:val="18"/>
                <w:szCs w:val="18"/>
                <w:color w:val="auto"/>
              </w:rPr>
              <w:t>25,000</w:t>
            </w:r>
          </w:p>
        </w:tc>
        <w:tc>
          <w:tcPr>
            <w:tcW w:w="800" w:type="dxa"/>
            <w:vAlign w:val="bottom"/>
          </w:tcPr>
          <w:p>
            <w:pPr>
              <w:spacing w:after="0"/>
              <w:rPr>
                <w:sz w:val="18"/>
                <w:szCs w:val="18"/>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25,000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Teresa Crane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25,000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Howard Crosby</w:t>
            </w:r>
          </w:p>
        </w:tc>
        <w:tc>
          <w:tcPr>
            <w:tcW w:w="800" w:type="dxa"/>
            <w:vAlign w:val="bottom"/>
          </w:tcPr>
          <w:p>
            <w:pPr>
              <w:jc w:val="right"/>
              <w:spacing w:after="0"/>
              <w:rPr>
                <w:sz w:val="20"/>
                <w:szCs w:val="20"/>
                <w:color w:val="auto"/>
              </w:rPr>
            </w:pPr>
            <w:r>
              <w:rPr>
                <w:rFonts w:ascii="Arial" w:cs="Arial" w:eastAsia="Arial" w:hAnsi="Arial"/>
                <w:sz w:val="18"/>
                <w:szCs w:val="18"/>
                <w:color w:val="auto"/>
              </w:rPr>
              <w:t>6,000</w:t>
            </w:r>
          </w:p>
        </w:tc>
        <w:tc>
          <w:tcPr>
            <w:tcW w:w="800" w:type="dxa"/>
            <w:vAlign w:val="bottom"/>
          </w:tcPr>
          <w:p>
            <w:pPr>
              <w:spacing w:after="0"/>
              <w:rPr>
                <w:sz w:val="18"/>
                <w:szCs w:val="18"/>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6,000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Raymond &amp; Donna I. Crots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12,500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Desert Horizon Profit Sharing Plan</w:t>
            </w:r>
          </w:p>
        </w:tc>
        <w:tc>
          <w:tcPr>
            <w:tcW w:w="800" w:type="dxa"/>
            <w:vAlign w:val="bottom"/>
          </w:tcPr>
          <w:p>
            <w:pPr>
              <w:jc w:val="right"/>
              <w:spacing w:after="0"/>
              <w:rPr>
                <w:sz w:val="20"/>
                <w:szCs w:val="20"/>
                <w:color w:val="auto"/>
              </w:rPr>
            </w:pPr>
            <w:r>
              <w:rPr>
                <w:rFonts w:ascii="Arial" w:cs="Arial" w:eastAsia="Arial" w:hAnsi="Arial"/>
                <w:sz w:val="18"/>
                <w:szCs w:val="18"/>
                <w:color w:val="auto"/>
              </w:rPr>
              <w:t>25,000</w:t>
            </w:r>
          </w:p>
        </w:tc>
        <w:tc>
          <w:tcPr>
            <w:tcW w:w="800" w:type="dxa"/>
            <w:vAlign w:val="bottom"/>
          </w:tcPr>
          <w:p>
            <w:pPr>
              <w:spacing w:after="0"/>
              <w:rPr>
                <w:sz w:val="18"/>
                <w:szCs w:val="18"/>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25,000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F. &amp; Judith A. Dettinger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12,500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Jerry &amp; Susan O. Dowdy</w:t>
            </w:r>
          </w:p>
        </w:tc>
        <w:tc>
          <w:tcPr>
            <w:tcW w:w="800" w:type="dxa"/>
            <w:vAlign w:val="bottom"/>
          </w:tcPr>
          <w:p>
            <w:pPr>
              <w:jc w:val="right"/>
              <w:spacing w:after="0"/>
              <w:rPr>
                <w:sz w:val="20"/>
                <w:szCs w:val="20"/>
                <w:color w:val="auto"/>
              </w:rPr>
            </w:pPr>
            <w:r>
              <w:rPr>
                <w:rFonts w:ascii="Arial" w:cs="Arial" w:eastAsia="Arial" w:hAnsi="Arial"/>
                <w:sz w:val="18"/>
                <w:szCs w:val="18"/>
                <w:color w:val="auto"/>
              </w:rPr>
              <w:t>25,000</w:t>
            </w:r>
          </w:p>
        </w:tc>
        <w:tc>
          <w:tcPr>
            <w:tcW w:w="800" w:type="dxa"/>
            <w:vAlign w:val="bottom"/>
          </w:tcPr>
          <w:p>
            <w:pPr>
              <w:spacing w:after="0"/>
              <w:rPr>
                <w:sz w:val="18"/>
                <w:szCs w:val="18"/>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25,000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Vladimir Drits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17,500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Robin C. Dubuc</w:t>
            </w:r>
          </w:p>
        </w:tc>
        <w:tc>
          <w:tcPr>
            <w:tcW w:w="800" w:type="dxa"/>
            <w:vAlign w:val="bottom"/>
          </w:tcPr>
          <w:p>
            <w:pPr>
              <w:jc w:val="right"/>
              <w:spacing w:after="0"/>
              <w:rPr>
                <w:sz w:val="20"/>
                <w:szCs w:val="20"/>
                <w:color w:val="auto"/>
              </w:rPr>
            </w:pPr>
            <w:r>
              <w:rPr>
                <w:rFonts w:ascii="Arial" w:cs="Arial" w:eastAsia="Arial" w:hAnsi="Arial"/>
                <w:sz w:val="18"/>
                <w:szCs w:val="18"/>
                <w:color w:val="auto"/>
              </w:rPr>
              <w:t>25,000</w:t>
            </w:r>
          </w:p>
        </w:tc>
        <w:tc>
          <w:tcPr>
            <w:tcW w:w="800" w:type="dxa"/>
            <w:vAlign w:val="bottom"/>
          </w:tcPr>
          <w:p>
            <w:pPr>
              <w:spacing w:after="0"/>
              <w:rPr>
                <w:sz w:val="18"/>
                <w:szCs w:val="18"/>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25,000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 Duffey II Trust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20,000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The William A. Dunn Trust</w:t>
            </w:r>
          </w:p>
        </w:tc>
        <w:tc>
          <w:tcPr>
            <w:tcW w:w="800" w:type="dxa"/>
            <w:vAlign w:val="bottom"/>
          </w:tcPr>
          <w:p>
            <w:pPr>
              <w:jc w:val="right"/>
              <w:spacing w:after="0"/>
              <w:rPr>
                <w:sz w:val="20"/>
                <w:szCs w:val="20"/>
                <w:color w:val="auto"/>
              </w:rPr>
            </w:pPr>
            <w:r>
              <w:rPr>
                <w:rFonts w:ascii="Arial" w:cs="Arial" w:eastAsia="Arial" w:hAnsi="Arial"/>
                <w:sz w:val="18"/>
                <w:szCs w:val="18"/>
                <w:color w:val="auto"/>
              </w:rPr>
              <w:t>350,000</w:t>
            </w:r>
          </w:p>
        </w:tc>
        <w:tc>
          <w:tcPr>
            <w:tcW w:w="800" w:type="dxa"/>
            <w:vAlign w:val="bottom"/>
          </w:tcPr>
          <w:p>
            <w:pPr>
              <w:spacing w:after="0"/>
              <w:rPr>
                <w:sz w:val="18"/>
                <w:szCs w:val="18"/>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350,000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A. Dussich</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100,000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John R. Edman Revocable Trust</w:t>
            </w:r>
          </w:p>
        </w:tc>
        <w:tc>
          <w:tcPr>
            <w:tcW w:w="800" w:type="dxa"/>
            <w:vAlign w:val="bottom"/>
          </w:tcPr>
          <w:p>
            <w:pPr>
              <w:jc w:val="right"/>
              <w:spacing w:after="0"/>
              <w:rPr>
                <w:sz w:val="20"/>
                <w:szCs w:val="20"/>
                <w:color w:val="auto"/>
              </w:rPr>
            </w:pPr>
            <w:r>
              <w:rPr>
                <w:rFonts w:ascii="Arial" w:cs="Arial" w:eastAsia="Arial" w:hAnsi="Arial"/>
                <w:sz w:val="18"/>
                <w:szCs w:val="18"/>
                <w:color w:val="auto"/>
              </w:rPr>
              <w:t>12,500</w:t>
            </w:r>
          </w:p>
        </w:tc>
        <w:tc>
          <w:tcPr>
            <w:tcW w:w="800" w:type="dxa"/>
            <w:vAlign w:val="bottom"/>
          </w:tcPr>
          <w:p>
            <w:pPr>
              <w:spacing w:after="0"/>
              <w:rPr>
                <w:sz w:val="18"/>
                <w:szCs w:val="18"/>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12,500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Elkhorn Partners Limited Partnership</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65,000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Michael D. Emerson Revocable Trust</w:t>
            </w:r>
          </w:p>
        </w:tc>
        <w:tc>
          <w:tcPr>
            <w:tcW w:w="800" w:type="dxa"/>
            <w:vAlign w:val="bottom"/>
          </w:tcPr>
          <w:p>
            <w:pPr>
              <w:jc w:val="right"/>
              <w:spacing w:after="0"/>
              <w:rPr>
                <w:sz w:val="20"/>
                <w:szCs w:val="20"/>
                <w:color w:val="auto"/>
              </w:rPr>
            </w:pPr>
            <w:r>
              <w:rPr>
                <w:rFonts w:ascii="Arial" w:cs="Arial" w:eastAsia="Arial" w:hAnsi="Arial"/>
                <w:sz w:val="18"/>
                <w:szCs w:val="18"/>
                <w:color w:val="auto"/>
              </w:rPr>
              <w:t>7,500</w:t>
            </w:r>
          </w:p>
        </w:tc>
        <w:tc>
          <w:tcPr>
            <w:tcW w:w="800" w:type="dxa"/>
            <w:vAlign w:val="bottom"/>
          </w:tcPr>
          <w:p>
            <w:pPr>
              <w:spacing w:after="0"/>
              <w:rPr>
                <w:sz w:val="18"/>
                <w:szCs w:val="18"/>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7,500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Harold Faske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10,000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Joseph R. Favazza</w:t>
            </w:r>
          </w:p>
        </w:tc>
        <w:tc>
          <w:tcPr>
            <w:tcW w:w="800" w:type="dxa"/>
            <w:vAlign w:val="bottom"/>
          </w:tcPr>
          <w:p>
            <w:pPr>
              <w:jc w:val="right"/>
              <w:spacing w:after="0"/>
              <w:rPr>
                <w:sz w:val="20"/>
                <w:szCs w:val="20"/>
                <w:color w:val="auto"/>
              </w:rPr>
            </w:pPr>
            <w:r>
              <w:rPr>
                <w:rFonts w:ascii="Arial" w:cs="Arial" w:eastAsia="Arial" w:hAnsi="Arial"/>
                <w:sz w:val="18"/>
                <w:szCs w:val="18"/>
                <w:color w:val="auto"/>
              </w:rPr>
              <w:t>5,000</w:t>
            </w:r>
          </w:p>
        </w:tc>
        <w:tc>
          <w:tcPr>
            <w:tcW w:w="800" w:type="dxa"/>
            <w:vAlign w:val="bottom"/>
          </w:tcPr>
          <w:p>
            <w:pPr>
              <w:spacing w:after="0"/>
              <w:rPr>
                <w:sz w:val="18"/>
                <w:szCs w:val="18"/>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5,000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J. Favazza</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25,000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Burton C. Firtel</w:t>
            </w:r>
          </w:p>
        </w:tc>
        <w:tc>
          <w:tcPr>
            <w:tcW w:w="800" w:type="dxa"/>
            <w:vAlign w:val="bottom"/>
          </w:tcPr>
          <w:p>
            <w:pPr>
              <w:jc w:val="right"/>
              <w:spacing w:after="0"/>
              <w:rPr>
                <w:sz w:val="20"/>
                <w:szCs w:val="20"/>
                <w:color w:val="auto"/>
              </w:rPr>
            </w:pPr>
            <w:r>
              <w:rPr>
                <w:rFonts w:ascii="Arial" w:cs="Arial" w:eastAsia="Arial" w:hAnsi="Arial"/>
                <w:sz w:val="18"/>
                <w:szCs w:val="18"/>
                <w:color w:val="auto"/>
              </w:rPr>
              <w:t>12,500</w:t>
            </w:r>
          </w:p>
        </w:tc>
        <w:tc>
          <w:tcPr>
            <w:tcW w:w="800" w:type="dxa"/>
            <w:vAlign w:val="bottom"/>
          </w:tcPr>
          <w:p>
            <w:pPr>
              <w:spacing w:after="0"/>
              <w:rPr>
                <w:sz w:val="18"/>
                <w:szCs w:val="18"/>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12,500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Fitzpatrick</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10,000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Bruce W. Franklin</w:t>
            </w:r>
          </w:p>
        </w:tc>
        <w:tc>
          <w:tcPr>
            <w:tcW w:w="800" w:type="dxa"/>
            <w:vAlign w:val="bottom"/>
          </w:tcPr>
          <w:p>
            <w:pPr>
              <w:jc w:val="right"/>
              <w:spacing w:after="0"/>
              <w:rPr>
                <w:sz w:val="20"/>
                <w:szCs w:val="20"/>
                <w:color w:val="auto"/>
              </w:rPr>
            </w:pPr>
            <w:r>
              <w:rPr>
                <w:rFonts w:ascii="Arial" w:cs="Arial" w:eastAsia="Arial" w:hAnsi="Arial"/>
                <w:sz w:val="18"/>
                <w:szCs w:val="18"/>
                <w:color w:val="auto"/>
              </w:rPr>
              <w:t>10,000</w:t>
            </w:r>
          </w:p>
        </w:tc>
        <w:tc>
          <w:tcPr>
            <w:tcW w:w="800" w:type="dxa"/>
            <w:vAlign w:val="bottom"/>
          </w:tcPr>
          <w:p>
            <w:pPr>
              <w:spacing w:after="0"/>
              <w:rPr>
                <w:sz w:val="18"/>
                <w:szCs w:val="18"/>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10,000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Bruce W. Franklin CGM, IRA Account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10,000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Richard H. Garrison</w:t>
            </w:r>
          </w:p>
        </w:tc>
        <w:tc>
          <w:tcPr>
            <w:tcW w:w="800" w:type="dxa"/>
            <w:vAlign w:val="bottom"/>
          </w:tcPr>
          <w:p>
            <w:pPr>
              <w:jc w:val="right"/>
              <w:spacing w:after="0"/>
              <w:rPr>
                <w:sz w:val="20"/>
                <w:szCs w:val="20"/>
                <w:color w:val="auto"/>
              </w:rPr>
            </w:pPr>
            <w:r>
              <w:rPr>
                <w:rFonts w:ascii="Arial" w:cs="Arial" w:eastAsia="Arial" w:hAnsi="Arial"/>
                <w:sz w:val="18"/>
                <w:szCs w:val="18"/>
                <w:color w:val="auto"/>
              </w:rPr>
              <w:t>6,000</w:t>
            </w:r>
          </w:p>
        </w:tc>
        <w:tc>
          <w:tcPr>
            <w:tcW w:w="800" w:type="dxa"/>
            <w:vAlign w:val="bottom"/>
          </w:tcPr>
          <w:p>
            <w:pPr>
              <w:spacing w:after="0"/>
              <w:rPr>
                <w:sz w:val="18"/>
                <w:szCs w:val="18"/>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6,000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Louis M. Gherlone, Jr.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5,000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Irwin J. Goldstein</w:t>
            </w:r>
          </w:p>
        </w:tc>
        <w:tc>
          <w:tcPr>
            <w:tcW w:w="800" w:type="dxa"/>
            <w:vAlign w:val="bottom"/>
          </w:tcPr>
          <w:p>
            <w:pPr>
              <w:jc w:val="right"/>
              <w:spacing w:after="0"/>
              <w:rPr>
                <w:sz w:val="20"/>
                <w:szCs w:val="20"/>
                <w:color w:val="auto"/>
              </w:rPr>
            </w:pPr>
            <w:r>
              <w:rPr>
                <w:rFonts w:ascii="Arial" w:cs="Arial" w:eastAsia="Arial" w:hAnsi="Arial"/>
                <w:sz w:val="18"/>
                <w:szCs w:val="18"/>
                <w:color w:val="auto"/>
              </w:rPr>
              <w:t>5,000</w:t>
            </w:r>
          </w:p>
        </w:tc>
        <w:tc>
          <w:tcPr>
            <w:tcW w:w="800" w:type="dxa"/>
            <w:vAlign w:val="bottom"/>
          </w:tcPr>
          <w:p>
            <w:pPr>
              <w:spacing w:after="0"/>
              <w:rPr>
                <w:sz w:val="18"/>
                <w:szCs w:val="18"/>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5,000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Carrie A. Hawkins IRA</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15,000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H. Preston Hawkins IRA</w:t>
            </w:r>
          </w:p>
        </w:tc>
        <w:tc>
          <w:tcPr>
            <w:tcW w:w="800" w:type="dxa"/>
            <w:vAlign w:val="bottom"/>
          </w:tcPr>
          <w:p>
            <w:pPr>
              <w:jc w:val="right"/>
              <w:spacing w:after="0"/>
              <w:rPr>
                <w:sz w:val="20"/>
                <w:szCs w:val="20"/>
                <w:color w:val="auto"/>
              </w:rPr>
            </w:pPr>
            <w:r>
              <w:rPr>
                <w:rFonts w:ascii="Arial" w:cs="Arial" w:eastAsia="Arial" w:hAnsi="Arial"/>
                <w:sz w:val="18"/>
                <w:szCs w:val="18"/>
                <w:color w:val="auto"/>
              </w:rPr>
              <w:t>25,000</w:t>
            </w:r>
          </w:p>
        </w:tc>
        <w:tc>
          <w:tcPr>
            <w:tcW w:w="800" w:type="dxa"/>
            <w:vAlign w:val="bottom"/>
          </w:tcPr>
          <w:p>
            <w:pPr>
              <w:spacing w:after="0"/>
              <w:rPr>
                <w:sz w:val="18"/>
                <w:szCs w:val="18"/>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25,000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Harold Hoder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25,000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Gary L. &amp; Denise G. Hodes</w:t>
            </w:r>
          </w:p>
        </w:tc>
        <w:tc>
          <w:tcPr>
            <w:tcW w:w="800" w:type="dxa"/>
            <w:vAlign w:val="bottom"/>
          </w:tcPr>
          <w:p>
            <w:pPr>
              <w:jc w:val="right"/>
              <w:spacing w:after="0"/>
              <w:rPr>
                <w:sz w:val="20"/>
                <w:szCs w:val="20"/>
                <w:color w:val="auto"/>
              </w:rPr>
            </w:pPr>
            <w:r>
              <w:rPr>
                <w:rFonts w:ascii="Arial" w:cs="Arial" w:eastAsia="Arial" w:hAnsi="Arial"/>
                <w:sz w:val="18"/>
                <w:szCs w:val="18"/>
                <w:color w:val="auto"/>
              </w:rPr>
              <w:t>12,500</w:t>
            </w:r>
          </w:p>
        </w:tc>
        <w:tc>
          <w:tcPr>
            <w:tcW w:w="800" w:type="dxa"/>
            <w:vAlign w:val="bottom"/>
          </w:tcPr>
          <w:p>
            <w:pPr>
              <w:spacing w:after="0"/>
              <w:rPr>
                <w:sz w:val="18"/>
                <w:szCs w:val="18"/>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12,500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R. Howell</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100,000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Robert Jacobs</w:t>
            </w:r>
          </w:p>
        </w:tc>
        <w:tc>
          <w:tcPr>
            <w:tcW w:w="1600" w:type="dxa"/>
            <w:vAlign w:val="bottom"/>
            <w:gridSpan w:val="2"/>
          </w:tcPr>
          <w:p>
            <w:pPr>
              <w:jc w:val="right"/>
              <w:ind w:right="800"/>
              <w:spacing w:after="0"/>
              <w:rPr>
                <w:sz w:val="20"/>
                <w:szCs w:val="20"/>
                <w:color w:val="auto"/>
              </w:rPr>
            </w:pPr>
            <w:r>
              <w:rPr>
                <w:rFonts w:ascii="Arial" w:cs="Arial" w:eastAsia="Arial" w:hAnsi="Arial"/>
                <w:sz w:val="18"/>
                <w:szCs w:val="18"/>
                <w:color w:val="auto"/>
              </w:rPr>
              <w:t>11,000</w:t>
            </w: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11,000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Jacobson</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12,500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Larry L. Johnson Pension Plan</w:t>
            </w:r>
          </w:p>
        </w:tc>
        <w:tc>
          <w:tcPr>
            <w:tcW w:w="800" w:type="dxa"/>
            <w:vAlign w:val="bottom"/>
          </w:tcPr>
          <w:p>
            <w:pPr>
              <w:jc w:val="right"/>
              <w:spacing w:after="0"/>
              <w:rPr>
                <w:sz w:val="20"/>
                <w:szCs w:val="20"/>
                <w:color w:val="auto"/>
              </w:rPr>
            </w:pPr>
            <w:r>
              <w:rPr>
                <w:rFonts w:ascii="Arial" w:cs="Arial" w:eastAsia="Arial" w:hAnsi="Arial"/>
                <w:sz w:val="18"/>
                <w:szCs w:val="18"/>
                <w:color w:val="auto"/>
              </w:rPr>
              <w:t>20,000</w:t>
            </w:r>
          </w:p>
        </w:tc>
        <w:tc>
          <w:tcPr>
            <w:tcW w:w="800" w:type="dxa"/>
            <w:vAlign w:val="bottom"/>
          </w:tcPr>
          <w:p>
            <w:pPr>
              <w:spacing w:after="0"/>
              <w:rPr>
                <w:sz w:val="18"/>
                <w:szCs w:val="18"/>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20,000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Kendler Family Trust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20,000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Patrick E. &amp; Tina M. Kensicki</w:t>
            </w:r>
          </w:p>
        </w:tc>
        <w:tc>
          <w:tcPr>
            <w:tcW w:w="800" w:type="dxa"/>
            <w:vAlign w:val="bottom"/>
          </w:tcPr>
          <w:p>
            <w:pPr>
              <w:jc w:val="right"/>
              <w:spacing w:after="0"/>
              <w:rPr>
                <w:sz w:val="20"/>
                <w:szCs w:val="20"/>
                <w:color w:val="auto"/>
              </w:rPr>
            </w:pPr>
            <w:r>
              <w:rPr>
                <w:rFonts w:ascii="Arial" w:cs="Arial" w:eastAsia="Arial" w:hAnsi="Arial"/>
                <w:sz w:val="18"/>
                <w:szCs w:val="18"/>
                <w:color w:val="auto"/>
              </w:rPr>
              <w:t>8,500</w:t>
            </w:r>
          </w:p>
        </w:tc>
        <w:tc>
          <w:tcPr>
            <w:tcW w:w="800" w:type="dxa"/>
            <w:vAlign w:val="bottom"/>
          </w:tcPr>
          <w:p>
            <w:pPr>
              <w:spacing w:after="0"/>
              <w:rPr>
                <w:sz w:val="18"/>
                <w:szCs w:val="18"/>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8,500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Kinloch &amp; Company LLC</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125,000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Arnold J. &amp; Jane F. Klugman</w:t>
            </w:r>
          </w:p>
        </w:tc>
        <w:tc>
          <w:tcPr>
            <w:tcW w:w="800" w:type="dxa"/>
            <w:vAlign w:val="bottom"/>
          </w:tcPr>
          <w:p>
            <w:pPr>
              <w:jc w:val="right"/>
              <w:spacing w:after="0"/>
              <w:rPr>
                <w:sz w:val="20"/>
                <w:szCs w:val="20"/>
                <w:color w:val="auto"/>
              </w:rPr>
            </w:pPr>
            <w:r>
              <w:rPr>
                <w:rFonts w:ascii="Arial" w:cs="Arial" w:eastAsia="Arial" w:hAnsi="Arial"/>
                <w:sz w:val="18"/>
                <w:szCs w:val="18"/>
                <w:color w:val="auto"/>
              </w:rPr>
              <w:t>25,000</w:t>
            </w:r>
          </w:p>
        </w:tc>
        <w:tc>
          <w:tcPr>
            <w:tcW w:w="800" w:type="dxa"/>
            <w:vAlign w:val="bottom"/>
          </w:tcPr>
          <w:p>
            <w:pPr>
              <w:spacing w:after="0"/>
              <w:rPr>
                <w:sz w:val="18"/>
                <w:szCs w:val="18"/>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25,000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Anatole Klyosov (5)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50,000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Rex Knepper</w:t>
            </w:r>
          </w:p>
        </w:tc>
        <w:tc>
          <w:tcPr>
            <w:tcW w:w="800" w:type="dxa"/>
            <w:vAlign w:val="bottom"/>
          </w:tcPr>
          <w:p>
            <w:pPr>
              <w:jc w:val="right"/>
              <w:spacing w:after="0"/>
              <w:rPr>
                <w:sz w:val="20"/>
                <w:szCs w:val="20"/>
                <w:color w:val="auto"/>
              </w:rPr>
            </w:pPr>
            <w:r>
              <w:rPr>
                <w:rFonts w:ascii="Arial" w:cs="Arial" w:eastAsia="Arial" w:hAnsi="Arial"/>
                <w:sz w:val="18"/>
                <w:szCs w:val="18"/>
                <w:color w:val="auto"/>
              </w:rPr>
              <w:t>12,500</w:t>
            </w:r>
          </w:p>
        </w:tc>
        <w:tc>
          <w:tcPr>
            <w:tcW w:w="800" w:type="dxa"/>
            <w:vAlign w:val="bottom"/>
          </w:tcPr>
          <w:p>
            <w:pPr>
              <w:spacing w:after="0"/>
              <w:rPr>
                <w:sz w:val="18"/>
                <w:szCs w:val="18"/>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12,500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T. Kosek</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23,000</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23,000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Terry J. Kuras, MD</w:t>
            </w:r>
          </w:p>
        </w:tc>
        <w:tc>
          <w:tcPr>
            <w:tcW w:w="800" w:type="dxa"/>
            <w:vAlign w:val="bottom"/>
          </w:tcPr>
          <w:p>
            <w:pPr>
              <w:jc w:val="right"/>
              <w:spacing w:after="0"/>
              <w:rPr>
                <w:sz w:val="20"/>
                <w:szCs w:val="20"/>
                <w:color w:val="auto"/>
              </w:rPr>
            </w:pPr>
            <w:r>
              <w:rPr>
                <w:rFonts w:ascii="Arial" w:cs="Arial" w:eastAsia="Arial" w:hAnsi="Arial"/>
                <w:sz w:val="18"/>
                <w:szCs w:val="18"/>
                <w:color w:val="auto"/>
              </w:rPr>
              <w:t>10,000</w:t>
            </w:r>
          </w:p>
        </w:tc>
        <w:tc>
          <w:tcPr>
            <w:tcW w:w="800" w:type="dxa"/>
            <w:vAlign w:val="bottom"/>
          </w:tcPr>
          <w:p>
            <w:pPr>
              <w:spacing w:after="0"/>
              <w:rPr>
                <w:sz w:val="18"/>
                <w:szCs w:val="18"/>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10,000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B. Lewis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12,500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Lightning Ridge Enterprises</w:t>
            </w:r>
          </w:p>
        </w:tc>
        <w:tc>
          <w:tcPr>
            <w:tcW w:w="800" w:type="dxa"/>
            <w:vAlign w:val="bottom"/>
          </w:tcPr>
          <w:p>
            <w:pPr>
              <w:jc w:val="right"/>
              <w:spacing w:after="0"/>
              <w:rPr>
                <w:sz w:val="20"/>
                <w:szCs w:val="20"/>
                <w:color w:val="auto"/>
              </w:rPr>
            </w:pPr>
            <w:r>
              <w:rPr>
                <w:rFonts w:ascii="Arial" w:cs="Arial" w:eastAsia="Arial" w:hAnsi="Arial"/>
                <w:sz w:val="18"/>
                <w:szCs w:val="18"/>
                <w:color w:val="auto"/>
              </w:rPr>
              <w:t>30,000</w:t>
            </w:r>
          </w:p>
        </w:tc>
        <w:tc>
          <w:tcPr>
            <w:tcW w:w="800" w:type="dxa"/>
            <w:vAlign w:val="bottom"/>
          </w:tcPr>
          <w:p>
            <w:pPr>
              <w:spacing w:after="0"/>
              <w:rPr>
                <w:sz w:val="19"/>
                <w:szCs w:val="19"/>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30,000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5"/>
              </w:rPr>
              <w:t>Common</w:t>
            </w:r>
          </w:p>
        </w:tc>
        <w:tc>
          <w:tcPr>
            <w:tcW w:w="16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Common</w:t>
            </w:r>
          </w:p>
        </w:tc>
        <w:tc>
          <w:tcPr>
            <w:tcW w:w="11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Percentage (2)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5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Common</w:t>
            </w:r>
          </w:p>
        </w:tc>
        <w:tc>
          <w:tcPr>
            <w:tcW w:w="15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3"/>
              </w:rPr>
              <w:t>Stock Being</w:t>
            </w:r>
          </w:p>
        </w:tc>
        <w:tc>
          <w:tcPr>
            <w:tcW w:w="162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w w:val="94"/>
              </w:rPr>
              <w:t>Stock Owned</w:t>
            </w:r>
          </w:p>
        </w:tc>
        <w:tc>
          <w:tcPr>
            <w:tcW w:w="1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5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5"/>
              </w:rPr>
              <w:t>Stock Owned</w:t>
            </w:r>
          </w:p>
        </w:tc>
        <w:tc>
          <w:tcPr>
            <w:tcW w:w="15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Offered</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3"/>
              </w:rPr>
              <w:t>Upon</w:t>
            </w:r>
          </w:p>
        </w:tc>
        <w:tc>
          <w:tcPr>
            <w:tcW w:w="1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Owned Upon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5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Prior to the</w:t>
            </w:r>
          </w:p>
        </w:tc>
        <w:tc>
          <w:tcPr>
            <w:tcW w:w="15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Pursuant to</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Completion of</w:t>
            </w: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Completion of</w:t>
            </w:r>
          </w:p>
        </w:tc>
        <w:tc>
          <w:tcPr>
            <w:tcW w:w="0" w:type="dxa"/>
            <w:vAlign w:val="bottom"/>
          </w:tcPr>
          <w:p>
            <w:pPr>
              <w:spacing w:after="0"/>
              <w:rPr>
                <w:sz w:val="1"/>
                <w:szCs w:val="1"/>
                <w:color w:val="auto"/>
              </w:rPr>
            </w:pPr>
          </w:p>
        </w:tc>
      </w:tr>
      <w:tr>
        <w:trPr>
          <w:trHeight w:val="174"/>
        </w:trPr>
        <w:tc>
          <w:tcPr>
            <w:tcW w:w="5520" w:type="dxa"/>
            <w:vAlign w:val="bottom"/>
            <w:gridSpan w:val="3"/>
          </w:tcPr>
          <w:p>
            <w:pPr>
              <w:spacing w:after="0"/>
              <w:rPr>
                <w:sz w:val="20"/>
                <w:szCs w:val="20"/>
                <w:color w:val="auto"/>
              </w:rPr>
            </w:pPr>
            <w:r>
              <w:rPr>
                <w:rFonts w:ascii="Arial" w:cs="Arial" w:eastAsia="Arial" w:hAnsi="Arial"/>
                <w:sz w:val="14"/>
                <w:szCs w:val="14"/>
                <w:b w:val="1"/>
                <w:bCs w:val="1"/>
                <w:color w:val="auto"/>
              </w:rPr>
              <w:t>Name of Selling Stockholder</w:t>
            </w:r>
          </w:p>
        </w:tc>
        <w:tc>
          <w:tcPr>
            <w:tcW w:w="15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1"/>
              </w:rPr>
              <w:t>Offering</w:t>
            </w:r>
          </w:p>
        </w:tc>
        <w:tc>
          <w:tcPr>
            <w:tcW w:w="15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3"/>
              </w:rPr>
              <w:t>this Prospectus</w:t>
            </w:r>
          </w:p>
        </w:tc>
        <w:tc>
          <w:tcPr>
            <w:tcW w:w="16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0"/>
              </w:rPr>
              <w:t>this Offering (1)</w:t>
            </w: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this Offering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33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80" w:type="dxa"/>
            <w:vAlign w:val="bottom"/>
          </w:tcPr>
          <w:p>
            <w:pPr>
              <w:spacing w:after="0"/>
              <w:rPr>
                <w:sz w:val="8"/>
                <w:szCs w:val="8"/>
                <w:color w:val="auto"/>
              </w:rPr>
            </w:pPr>
          </w:p>
        </w:tc>
        <w:tc>
          <w:tcPr>
            <w:tcW w:w="332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Lubin</w:t>
            </w: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25,000</w:t>
            </w: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25,000</w:t>
            </w:r>
          </w:p>
        </w:tc>
        <w:tc>
          <w:tcPr>
            <w:tcW w:w="16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Andrew J. Mandell</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color w:val="auto"/>
              </w:rPr>
              <w:t>12,500</w:t>
            </w: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12,500</w:t>
            </w:r>
          </w:p>
        </w:tc>
        <w:tc>
          <w:tcPr>
            <w:tcW w:w="16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S. &amp; Mary Ann Marko</w:t>
            </w: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20,000</w:t>
            </w: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20,000</w:t>
            </w:r>
          </w:p>
        </w:tc>
        <w:tc>
          <w:tcPr>
            <w:tcW w:w="16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William C. Mattison, Jr.</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color w:val="auto"/>
              </w:rPr>
              <w:t>75,000</w:t>
            </w: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75,000</w:t>
            </w:r>
          </w:p>
        </w:tc>
        <w:tc>
          <w:tcPr>
            <w:tcW w:w="16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Mattison Foundation</w:t>
            </w: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25,000</w:t>
            </w: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25,000</w:t>
            </w:r>
          </w:p>
        </w:tc>
        <w:tc>
          <w:tcPr>
            <w:tcW w:w="16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Mattison Family Trust</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color w:val="auto"/>
              </w:rPr>
              <w:t>75,000</w:t>
            </w: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75,000</w:t>
            </w:r>
          </w:p>
        </w:tc>
        <w:tc>
          <w:tcPr>
            <w:tcW w:w="16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&amp; Cathy A. Messina</w:t>
            </w: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12,500</w:t>
            </w: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12,500</w:t>
            </w:r>
          </w:p>
        </w:tc>
        <w:tc>
          <w:tcPr>
            <w:tcW w:w="16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Carl R. Messing</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color w:val="auto"/>
              </w:rPr>
              <w:t>5,000</w:t>
            </w: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5,000</w:t>
            </w:r>
          </w:p>
        </w:tc>
        <w:tc>
          <w:tcPr>
            <w:tcW w:w="16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Sebastian Minaudo</w:t>
            </w: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5,000</w:t>
            </w: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5,000</w:t>
            </w:r>
          </w:p>
        </w:tc>
        <w:tc>
          <w:tcPr>
            <w:tcW w:w="16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Myers Family Trust</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color w:val="auto"/>
              </w:rPr>
              <w:t>75,000</w:t>
            </w: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75,000</w:t>
            </w:r>
          </w:p>
        </w:tc>
        <w:tc>
          <w:tcPr>
            <w:tcW w:w="16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NPV Family Limited Partnership</w:t>
            </w: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25,000</w:t>
            </w: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25,000</w:t>
            </w:r>
          </w:p>
        </w:tc>
        <w:tc>
          <w:tcPr>
            <w:tcW w:w="16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Nassau Time Inc. Profit Sharing Plan</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color w:val="auto"/>
              </w:rPr>
              <w:t>5,000</w:t>
            </w: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5,000</w:t>
            </w:r>
          </w:p>
        </w:tc>
        <w:tc>
          <w:tcPr>
            <w:tcW w:w="16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Jimmie L. &amp; Verna J. O’Connor</w:t>
            </w: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12,500</w:t>
            </w: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12,500</w:t>
            </w:r>
          </w:p>
        </w:tc>
        <w:tc>
          <w:tcPr>
            <w:tcW w:w="16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Gilbert S. Omenn</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color w:val="auto"/>
              </w:rPr>
              <w:t>40,000</w:t>
            </w: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40,000</w:t>
            </w:r>
          </w:p>
        </w:tc>
        <w:tc>
          <w:tcPr>
            <w:tcW w:w="16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Ottawa Valley Properties LLC</w:t>
            </w: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13,000</w:t>
            </w: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13,000</w:t>
            </w:r>
          </w:p>
        </w:tc>
        <w:tc>
          <w:tcPr>
            <w:tcW w:w="16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Carol Ott</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color w:val="auto"/>
              </w:rPr>
              <w:t>32,500</w:t>
            </w: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32,500</w:t>
            </w:r>
          </w:p>
        </w:tc>
        <w:tc>
          <w:tcPr>
            <w:tcW w:w="16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Frances A. Parody Family Trust dtd 9/11/91</w:t>
            </w: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12,500</w:t>
            </w: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12,500</w:t>
            </w:r>
          </w:p>
        </w:tc>
        <w:tc>
          <w:tcPr>
            <w:tcW w:w="16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Kirk F. Paul</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color w:val="auto"/>
              </w:rPr>
              <w:t>12,500</w:t>
            </w: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12,500</w:t>
            </w:r>
          </w:p>
        </w:tc>
        <w:tc>
          <w:tcPr>
            <w:tcW w:w="16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Jerry &amp; Rosann Pelosi</w:t>
            </w: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60,000</w:t>
            </w: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60,000</w:t>
            </w:r>
          </w:p>
        </w:tc>
        <w:tc>
          <w:tcPr>
            <w:tcW w:w="16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Richard J. Pieranunzi</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color w:val="auto"/>
              </w:rPr>
              <w:t>10,000</w:t>
            </w: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10,000</w:t>
            </w:r>
          </w:p>
        </w:tc>
        <w:tc>
          <w:tcPr>
            <w:tcW w:w="16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Bertram Pitt</w:t>
            </w: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50,000</w:t>
            </w: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50,000</w:t>
            </w:r>
          </w:p>
        </w:tc>
        <w:tc>
          <w:tcPr>
            <w:tcW w:w="16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David Platt (6)</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color w:val="auto"/>
              </w:rPr>
              <w:t>4,542,368</w:t>
            </w: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200,000</w:t>
            </w:r>
          </w:p>
        </w:tc>
        <w:tc>
          <w:tcPr>
            <w:tcW w:w="1620" w:type="dxa"/>
            <w:vAlign w:val="bottom"/>
            <w:gridSpan w:val="2"/>
          </w:tcPr>
          <w:p>
            <w:pPr>
              <w:jc w:val="right"/>
              <w:ind w:right="680"/>
              <w:spacing w:after="0"/>
              <w:rPr>
                <w:sz w:val="20"/>
                <w:szCs w:val="20"/>
                <w:color w:val="auto"/>
              </w:rPr>
            </w:pPr>
            <w:r>
              <w:rPr>
                <w:rFonts w:ascii="Arial" w:cs="Arial" w:eastAsia="Arial" w:hAnsi="Arial"/>
                <w:sz w:val="18"/>
                <w:szCs w:val="18"/>
                <w:color w:val="auto"/>
              </w:rPr>
              <w:t>4,342,368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Julian F. Prince</w:t>
            </w: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32,000</w:t>
            </w: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32,000</w:t>
            </w:r>
          </w:p>
        </w:tc>
        <w:tc>
          <w:tcPr>
            <w:tcW w:w="16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Dr. Thomas K. Pow</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color w:val="auto"/>
              </w:rPr>
              <w:t>125,000</w:t>
            </w: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125,000</w:t>
            </w:r>
          </w:p>
        </w:tc>
        <w:tc>
          <w:tcPr>
            <w:tcW w:w="16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Yigal Ran</w:t>
            </w: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50,000</w:t>
            </w: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50,000</w:t>
            </w:r>
          </w:p>
        </w:tc>
        <w:tc>
          <w:tcPr>
            <w:tcW w:w="16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Kirkland B. &amp; Paula J. Reuer</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color w:val="auto"/>
              </w:rPr>
              <w:t>12,500</w:t>
            </w: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12,500</w:t>
            </w:r>
          </w:p>
        </w:tc>
        <w:tc>
          <w:tcPr>
            <w:tcW w:w="16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Carl V. Richard</w:t>
            </w: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15,500</w:t>
            </w: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15,500</w:t>
            </w:r>
          </w:p>
        </w:tc>
        <w:tc>
          <w:tcPr>
            <w:tcW w:w="16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John P. Richardville</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color w:val="auto"/>
              </w:rPr>
              <w:t>12,500</w:t>
            </w: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12,500</w:t>
            </w:r>
          </w:p>
        </w:tc>
        <w:tc>
          <w:tcPr>
            <w:tcW w:w="16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V. Robertson</w:t>
            </w: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12,500</w:t>
            </w: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12,500</w:t>
            </w:r>
          </w:p>
        </w:tc>
        <w:tc>
          <w:tcPr>
            <w:tcW w:w="16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Jerald K. &amp; Sandra S. Rome</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color w:val="auto"/>
              </w:rPr>
              <w:t>15,000</w:t>
            </w: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15,000</w:t>
            </w:r>
          </w:p>
        </w:tc>
        <w:tc>
          <w:tcPr>
            <w:tcW w:w="16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Marvin S. Rosenshine</w:t>
            </w: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20,000</w:t>
            </w: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20,000</w:t>
            </w:r>
          </w:p>
        </w:tc>
        <w:tc>
          <w:tcPr>
            <w:tcW w:w="16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James S. &amp; Adrienne Rudolph</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color w:val="auto"/>
              </w:rPr>
              <w:t>12,500</w:t>
            </w: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12,500</w:t>
            </w:r>
          </w:p>
        </w:tc>
        <w:tc>
          <w:tcPr>
            <w:tcW w:w="16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Kermit C. Rudolph</w:t>
            </w: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12,500</w:t>
            </w: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12,500</w:t>
            </w:r>
          </w:p>
        </w:tc>
        <w:tc>
          <w:tcPr>
            <w:tcW w:w="16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Martin L. Schmidt Living Trust</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color w:val="auto"/>
              </w:rPr>
              <w:t>7,500</w:t>
            </w: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7,500</w:t>
            </w:r>
          </w:p>
        </w:tc>
        <w:tc>
          <w:tcPr>
            <w:tcW w:w="16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Lewis P. Schneider, MD</w:t>
            </w: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25,000</w:t>
            </w: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25,000</w:t>
            </w:r>
          </w:p>
        </w:tc>
        <w:tc>
          <w:tcPr>
            <w:tcW w:w="16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Kraig Selleke</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color w:val="auto"/>
              </w:rPr>
              <w:t>25,000</w:t>
            </w: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25,000</w:t>
            </w:r>
          </w:p>
        </w:tc>
        <w:tc>
          <w:tcPr>
            <w:tcW w:w="16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Theodore Shaine</w:t>
            </w: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45,000</w:t>
            </w: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45,000</w:t>
            </w:r>
          </w:p>
        </w:tc>
        <w:tc>
          <w:tcPr>
            <w:tcW w:w="16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George Sharninghouse</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color w:val="auto"/>
              </w:rPr>
              <w:t>12,500</w:t>
            </w: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12,500</w:t>
            </w:r>
          </w:p>
        </w:tc>
        <w:tc>
          <w:tcPr>
            <w:tcW w:w="16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Sheikh</w:t>
            </w: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15,000</w:t>
            </w: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15,000</w:t>
            </w:r>
          </w:p>
        </w:tc>
        <w:tc>
          <w:tcPr>
            <w:tcW w:w="16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Dickson R. Shipman</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color w:val="auto"/>
              </w:rPr>
              <w:t>12,500</w:t>
            </w: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12,500</w:t>
            </w:r>
          </w:p>
        </w:tc>
        <w:tc>
          <w:tcPr>
            <w:tcW w:w="16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H. Smith (7)</w:t>
            </w: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133,667</w:t>
            </w: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62,500</w:t>
            </w:r>
          </w:p>
        </w:tc>
        <w:tc>
          <w:tcPr>
            <w:tcW w:w="16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71,167</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Irving Sparage TTEE u/a dtd 1/30/92</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color w:val="auto"/>
              </w:rPr>
              <w:t>12,500</w:t>
            </w: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12,500</w:t>
            </w:r>
          </w:p>
        </w:tc>
        <w:tc>
          <w:tcPr>
            <w:tcW w:w="16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Swank</w:t>
            </w: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10,000</w:t>
            </w: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10,000</w:t>
            </w:r>
          </w:p>
        </w:tc>
        <w:tc>
          <w:tcPr>
            <w:tcW w:w="16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Brooks &amp; Amy Tessier</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color w:val="auto"/>
              </w:rPr>
              <w:t>12,500</w:t>
            </w: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12,500</w:t>
            </w:r>
          </w:p>
        </w:tc>
        <w:tc>
          <w:tcPr>
            <w:tcW w:w="16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Leland L. &amp; Cessily J. Thalacker</w:t>
            </w: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25,000</w:t>
            </w: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25,000</w:t>
            </w:r>
          </w:p>
        </w:tc>
        <w:tc>
          <w:tcPr>
            <w:tcW w:w="16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Ronda Bradetich-Tifft &amp; Jerry A. Tifft</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color w:val="auto"/>
              </w:rPr>
              <w:t>12,500</w:t>
            </w: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12,500</w:t>
            </w:r>
          </w:p>
        </w:tc>
        <w:tc>
          <w:tcPr>
            <w:tcW w:w="16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F. Upton Living Trust dtd 7/19/97</w:t>
            </w: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75,000</w:t>
            </w: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75,000</w:t>
            </w:r>
          </w:p>
        </w:tc>
        <w:tc>
          <w:tcPr>
            <w:tcW w:w="16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Linda L. Upton Living Trust dtd 7/19/97</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color w:val="auto"/>
              </w:rPr>
              <w:t>95,680</w:t>
            </w: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95,680</w:t>
            </w:r>
          </w:p>
        </w:tc>
        <w:tc>
          <w:tcPr>
            <w:tcW w:w="16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880" w:type="dxa"/>
            <w:vAlign w:val="bottom"/>
          </w:tcPr>
          <w:p>
            <w:pPr>
              <w:jc w:val="right"/>
              <w:ind w:right="514"/>
              <w:spacing w:after="0"/>
              <w:rPr>
                <w:sz w:val="20"/>
                <w:szCs w:val="20"/>
                <w:color w:val="auto"/>
              </w:rPr>
            </w:pPr>
            <w:r>
              <w:rPr>
                <w:rFonts w:ascii="Arial" w:cs="Arial" w:eastAsia="Arial" w:hAnsi="Arial"/>
                <w:sz w:val="18"/>
                <w:szCs w:val="18"/>
                <w:color w:val="auto"/>
              </w:rPr>
              <w:t>10</w:t>
            </w: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8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8"/>
              </w:rPr>
              <w:t>Common</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8"/>
              </w:rPr>
              <w:t>Common</w:t>
            </w:r>
          </w:p>
        </w:tc>
        <w:tc>
          <w:tcPr>
            <w:tcW w:w="80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Percentage (2)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Common</w:t>
            </w:r>
          </w:p>
        </w:tc>
        <w:tc>
          <w:tcPr>
            <w:tcW w:w="800" w:type="dxa"/>
            <w:vAlign w:val="bottom"/>
          </w:tcPr>
          <w:p>
            <w:pPr>
              <w:spacing w:after="0"/>
              <w:rPr>
                <w:sz w:val="12"/>
                <w:szCs w:val="12"/>
                <w:color w:val="auto"/>
              </w:rPr>
            </w:pPr>
          </w:p>
        </w:tc>
        <w:tc>
          <w:tcPr>
            <w:tcW w:w="16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3"/>
              </w:rPr>
              <w:t>Stock Being</w:t>
            </w:r>
          </w:p>
        </w:tc>
        <w:tc>
          <w:tcPr>
            <w:tcW w:w="9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Stock Owned</w:t>
            </w:r>
          </w:p>
        </w:tc>
        <w:tc>
          <w:tcPr>
            <w:tcW w:w="80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Stock Owned</w:t>
            </w:r>
          </w:p>
        </w:tc>
        <w:tc>
          <w:tcPr>
            <w:tcW w:w="800" w:type="dxa"/>
            <w:vAlign w:val="bottom"/>
          </w:tcPr>
          <w:p>
            <w:pPr>
              <w:spacing w:after="0"/>
              <w:rPr>
                <w:sz w:val="12"/>
                <w:szCs w:val="12"/>
                <w:color w:val="auto"/>
              </w:rPr>
            </w:pPr>
          </w:p>
        </w:tc>
        <w:tc>
          <w:tcPr>
            <w:tcW w:w="16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8"/>
              </w:rPr>
              <w:t>Offered</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Upon</w:t>
            </w:r>
          </w:p>
        </w:tc>
        <w:tc>
          <w:tcPr>
            <w:tcW w:w="80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Owned Upon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Prior to the</w:t>
            </w:r>
          </w:p>
        </w:tc>
        <w:tc>
          <w:tcPr>
            <w:tcW w:w="800" w:type="dxa"/>
            <w:vAlign w:val="bottom"/>
          </w:tcPr>
          <w:p>
            <w:pPr>
              <w:spacing w:after="0"/>
              <w:rPr>
                <w:sz w:val="12"/>
                <w:szCs w:val="12"/>
                <w:color w:val="auto"/>
              </w:rPr>
            </w:pPr>
          </w:p>
        </w:tc>
        <w:tc>
          <w:tcPr>
            <w:tcW w:w="16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7"/>
              </w:rPr>
              <w:t>Pursuant to</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Completion of</w:t>
            </w:r>
          </w:p>
        </w:tc>
        <w:tc>
          <w:tcPr>
            <w:tcW w:w="800" w:type="dxa"/>
            <w:vAlign w:val="bottom"/>
          </w:tcPr>
          <w:p>
            <w:pPr>
              <w:spacing w:after="0"/>
              <w:rPr>
                <w:sz w:val="12"/>
                <w:szCs w:val="12"/>
                <w:color w:val="auto"/>
              </w:rPr>
            </w:pP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Completion of</w:t>
            </w:r>
          </w:p>
        </w:tc>
        <w:tc>
          <w:tcPr>
            <w:tcW w:w="0" w:type="dxa"/>
            <w:vAlign w:val="bottom"/>
          </w:tcPr>
          <w:p>
            <w:pPr>
              <w:spacing w:after="0"/>
              <w:rPr>
                <w:sz w:val="1"/>
                <w:szCs w:val="1"/>
                <w:color w:val="auto"/>
              </w:rPr>
            </w:pPr>
          </w:p>
        </w:tc>
      </w:tr>
      <w:tr>
        <w:trPr>
          <w:trHeight w:val="174"/>
        </w:trPr>
        <w:tc>
          <w:tcPr>
            <w:tcW w:w="5300" w:type="dxa"/>
            <w:vAlign w:val="bottom"/>
            <w:gridSpan w:val="3"/>
          </w:tcPr>
          <w:p>
            <w:pPr>
              <w:spacing w:after="0"/>
              <w:rPr>
                <w:sz w:val="20"/>
                <w:szCs w:val="20"/>
                <w:color w:val="auto"/>
              </w:rPr>
            </w:pPr>
            <w:r>
              <w:rPr>
                <w:rFonts w:ascii="Arial" w:cs="Arial" w:eastAsia="Arial" w:hAnsi="Arial"/>
                <w:sz w:val="14"/>
                <w:szCs w:val="14"/>
                <w:b w:val="1"/>
                <w:bCs w:val="1"/>
                <w:color w:val="auto"/>
              </w:rPr>
              <w:t>Name of Selling Stockholder</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8"/>
              </w:rPr>
              <w:t>Offering</w:t>
            </w:r>
          </w:p>
        </w:tc>
        <w:tc>
          <w:tcPr>
            <w:tcW w:w="800" w:type="dxa"/>
            <w:vAlign w:val="bottom"/>
          </w:tcPr>
          <w:p>
            <w:pPr>
              <w:spacing w:after="0"/>
              <w:rPr>
                <w:sz w:val="15"/>
                <w:szCs w:val="15"/>
                <w:color w:val="auto"/>
              </w:rPr>
            </w:pPr>
          </w:p>
        </w:tc>
        <w:tc>
          <w:tcPr>
            <w:tcW w:w="168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3"/>
              </w:rPr>
              <w:t>this Prospectus</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0"/>
              </w:rPr>
              <w:t>this Offering (1)</w:t>
            </w:r>
          </w:p>
        </w:tc>
        <w:tc>
          <w:tcPr>
            <w:tcW w:w="800" w:type="dxa"/>
            <w:vAlign w:val="bottom"/>
          </w:tcPr>
          <w:p>
            <w:pPr>
              <w:spacing w:after="0"/>
              <w:rPr>
                <w:sz w:val="15"/>
                <w:szCs w:val="15"/>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this Offering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31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80" w:type="dxa"/>
            <w:vAlign w:val="bottom"/>
          </w:tcPr>
          <w:p>
            <w:pPr>
              <w:spacing w:after="0"/>
              <w:rPr>
                <w:sz w:val="8"/>
                <w:szCs w:val="8"/>
                <w:color w:val="auto"/>
              </w:rPr>
            </w:pPr>
          </w:p>
        </w:tc>
        <w:tc>
          <w:tcPr>
            <w:tcW w:w="3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E. Upton</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248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12,500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Dick Martijn Van Leijenhorst</w:t>
            </w:r>
          </w:p>
        </w:tc>
        <w:tc>
          <w:tcPr>
            <w:tcW w:w="800" w:type="dxa"/>
            <w:vAlign w:val="bottom"/>
          </w:tcPr>
          <w:p>
            <w:pPr>
              <w:jc w:val="right"/>
              <w:spacing w:after="0"/>
              <w:rPr>
                <w:sz w:val="20"/>
                <w:szCs w:val="20"/>
                <w:color w:val="auto"/>
              </w:rPr>
            </w:pPr>
            <w:r>
              <w:rPr>
                <w:rFonts w:ascii="Arial" w:cs="Arial" w:eastAsia="Arial" w:hAnsi="Arial"/>
                <w:sz w:val="18"/>
                <w:szCs w:val="18"/>
                <w:color w:val="auto"/>
              </w:rPr>
              <w:t>15,000</w:t>
            </w:r>
          </w:p>
        </w:tc>
        <w:tc>
          <w:tcPr>
            <w:tcW w:w="2480" w:type="dxa"/>
            <w:vAlign w:val="bottom"/>
            <w:gridSpan w:val="3"/>
          </w:tcPr>
          <w:p>
            <w:pPr>
              <w:jc w:val="right"/>
              <w:ind w:right="800"/>
              <w:spacing w:after="0"/>
              <w:rPr>
                <w:sz w:val="20"/>
                <w:szCs w:val="20"/>
                <w:color w:val="auto"/>
              </w:rPr>
            </w:pPr>
            <w:r>
              <w:rPr>
                <w:rFonts w:ascii="Arial" w:cs="Arial" w:eastAsia="Arial" w:hAnsi="Arial"/>
                <w:sz w:val="18"/>
                <w:szCs w:val="18"/>
                <w:color w:val="auto"/>
              </w:rPr>
              <w:t>15,000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J. Werth, Jr.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32,500</w:t>
            </w:r>
          </w:p>
        </w:tc>
        <w:tc>
          <w:tcPr>
            <w:tcW w:w="248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32,500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Antoinette M. &amp; Norman Wisbaum</w:t>
            </w:r>
          </w:p>
        </w:tc>
        <w:tc>
          <w:tcPr>
            <w:tcW w:w="800" w:type="dxa"/>
            <w:vAlign w:val="bottom"/>
          </w:tcPr>
          <w:p>
            <w:pPr>
              <w:jc w:val="right"/>
              <w:spacing w:after="0"/>
              <w:rPr>
                <w:sz w:val="20"/>
                <w:szCs w:val="20"/>
                <w:color w:val="auto"/>
              </w:rPr>
            </w:pPr>
            <w:r>
              <w:rPr>
                <w:rFonts w:ascii="Arial" w:cs="Arial" w:eastAsia="Arial" w:hAnsi="Arial"/>
                <w:sz w:val="18"/>
                <w:szCs w:val="18"/>
                <w:color w:val="auto"/>
              </w:rPr>
              <w:t>37,500</w:t>
            </w:r>
          </w:p>
        </w:tc>
        <w:tc>
          <w:tcPr>
            <w:tcW w:w="2480" w:type="dxa"/>
            <w:vAlign w:val="bottom"/>
            <w:gridSpan w:val="3"/>
          </w:tcPr>
          <w:p>
            <w:pPr>
              <w:jc w:val="right"/>
              <w:ind w:right="800"/>
              <w:spacing w:after="0"/>
              <w:rPr>
                <w:sz w:val="20"/>
                <w:szCs w:val="20"/>
                <w:color w:val="auto"/>
              </w:rPr>
            </w:pPr>
            <w:r>
              <w:rPr>
                <w:rFonts w:ascii="Arial" w:cs="Arial" w:eastAsia="Arial" w:hAnsi="Arial"/>
                <w:sz w:val="18"/>
                <w:szCs w:val="18"/>
                <w:color w:val="auto"/>
              </w:rPr>
              <w:t>37,500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Theodore D. Zucconi</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248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15,000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Melvin Morse</w:t>
            </w:r>
          </w:p>
        </w:tc>
        <w:tc>
          <w:tcPr>
            <w:tcW w:w="800" w:type="dxa"/>
            <w:vAlign w:val="bottom"/>
          </w:tcPr>
          <w:p>
            <w:pPr>
              <w:jc w:val="right"/>
              <w:spacing w:after="0"/>
              <w:rPr>
                <w:sz w:val="20"/>
                <w:szCs w:val="20"/>
                <w:color w:val="auto"/>
              </w:rPr>
            </w:pPr>
            <w:r>
              <w:rPr>
                <w:rFonts w:ascii="Arial" w:cs="Arial" w:eastAsia="Arial" w:hAnsi="Arial"/>
                <w:sz w:val="18"/>
                <w:szCs w:val="18"/>
                <w:color w:val="auto"/>
              </w:rPr>
              <w:t>21,000</w:t>
            </w:r>
          </w:p>
        </w:tc>
        <w:tc>
          <w:tcPr>
            <w:tcW w:w="2480" w:type="dxa"/>
            <w:vAlign w:val="bottom"/>
            <w:gridSpan w:val="3"/>
          </w:tcPr>
          <w:p>
            <w:pPr>
              <w:jc w:val="right"/>
              <w:ind w:right="800"/>
              <w:spacing w:after="0"/>
              <w:rPr>
                <w:sz w:val="20"/>
                <w:szCs w:val="20"/>
                <w:color w:val="auto"/>
              </w:rPr>
            </w:pPr>
            <w:r>
              <w:rPr>
                <w:rFonts w:ascii="Arial" w:cs="Arial" w:eastAsia="Arial" w:hAnsi="Arial"/>
                <w:sz w:val="18"/>
                <w:szCs w:val="18"/>
                <w:color w:val="auto"/>
              </w:rPr>
              <w:t>21,000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Bill Jones Distributors, Inc.</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48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25,000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Martin D. Braver</w:t>
            </w:r>
          </w:p>
        </w:tc>
        <w:tc>
          <w:tcPr>
            <w:tcW w:w="800" w:type="dxa"/>
            <w:vAlign w:val="bottom"/>
          </w:tcPr>
          <w:p>
            <w:pPr>
              <w:jc w:val="right"/>
              <w:spacing w:after="0"/>
              <w:rPr>
                <w:sz w:val="20"/>
                <w:szCs w:val="20"/>
                <w:color w:val="auto"/>
              </w:rPr>
            </w:pPr>
            <w:r>
              <w:rPr>
                <w:rFonts w:ascii="Arial" w:cs="Arial" w:eastAsia="Arial" w:hAnsi="Arial"/>
                <w:sz w:val="18"/>
                <w:szCs w:val="18"/>
                <w:color w:val="auto"/>
              </w:rPr>
              <w:t>25,000</w:t>
            </w:r>
          </w:p>
        </w:tc>
        <w:tc>
          <w:tcPr>
            <w:tcW w:w="2480" w:type="dxa"/>
            <w:vAlign w:val="bottom"/>
            <w:gridSpan w:val="3"/>
          </w:tcPr>
          <w:p>
            <w:pPr>
              <w:jc w:val="right"/>
              <w:ind w:right="800"/>
              <w:spacing w:after="0"/>
              <w:rPr>
                <w:sz w:val="20"/>
                <w:szCs w:val="20"/>
                <w:color w:val="auto"/>
              </w:rPr>
            </w:pPr>
            <w:r>
              <w:rPr>
                <w:rFonts w:ascii="Arial" w:cs="Arial" w:eastAsia="Arial" w:hAnsi="Arial"/>
                <w:sz w:val="18"/>
                <w:szCs w:val="18"/>
                <w:color w:val="auto"/>
              </w:rPr>
              <w:t>25,000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Cactus Partners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48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150,000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Douglas K. &amp; Lauren Chaiet</w:t>
            </w:r>
          </w:p>
        </w:tc>
        <w:tc>
          <w:tcPr>
            <w:tcW w:w="800" w:type="dxa"/>
            <w:vAlign w:val="bottom"/>
          </w:tcPr>
          <w:p>
            <w:pPr>
              <w:jc w:val="right"/>
              <w:spacing w:after="0"/>
              <w:rPr>
                <w:sz w:val="20"/>
                <w:szCs w:val="20"/>
                <w:color w:val="auto"/>
              </w:rPr>
            </w:pPr>
            <w:r>
              <w:rPr>
                <w:rFonts w:ascii="Arial" w:cs="Arial" w:eastAsia="Arial" w:hAnsi="Arial"/>
                <w:sz w:val="18"/>
                <w:szCs w:val="18"/>
                <w:color w:val="auto"/>
              </w:rPr>
              <w:t>50,000</w:t>
            </w:r>
          </w:p>
        </w:tc>
        <w:tc>
          <w:tcPr>
            <w:tcW w:w="2480" w:type="dxa"/>
            <w:vAlign w:val="bottom"/>
            <w:gridSpan w:val="3"/>
          </w:tcPr>
          <w:p>
            <w:pPr>
              <w:jc w:val="right"/>
              <w:ind w:right="800"/>
              <w:spacing w:after="0"/>
              <w:rPr>
                <w:sz w:val="20"/>
                <w:szCs w:val="20"/>
                <w:color w:val="auto"/>
              </w:rPr>
            </w:pPr>
            <w:r>
              <w:rPr>
                <w:rFonts w:ascii="Arial" w:cs="Arial" w:eastAsia="Arial" w:hAnsi="Arial"/>
                <w:sz w:val="18"/>
                <w:szCs w:val="18"/>
                <w:color w:val="auto"/>
              </w:rPr>
              <w:t>50,000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C. &amp; Christina S. Cooper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48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50,000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Michael R. Crane</w:t>
            </w:r>
          </w:p>
        </w:tc>
        <w:tc>
          <w:tcPr>
            <w:tcW w:w="800" w:type="dxa"/>
            <w:vAlign w:val="bottom"/>
          </w:tcPr>
          <w:p>
            <w:pPr>
              <w:jc w:val="right"/>
              <w:spacing w:after="0"/>
              <w:rPr>
                <w:sz w:val="20"/>
                <w:szCs w:val="20"/>
                <w:color w:val="auto"/>
              </w:rPr>
            </w:pPr>
            <w:r>
              <w:rPr>
                <w:rFonts w:ascii="Arial" w:cs="Arial" w:eastAsia="Arial" w:hAnsi="Arial"/>
                <w:sz w:val="18"/>
                <w:szCs w:val="18"/>
                <w:color w:val="auto"/>
              </w:rPr>
              <w:t>50,000</w:t>
            </w:r>
          </w:p>
        </w:tc>
        <w:tc>
          <w:tcPr>
            <w:tcW w:w="2480" w:type="dxa"/>
            <w:vAlign w:val="bottom"/>
            <w:gridSpan w:val="3"/>
          </w:tcPr>
          <w:p>
            <w:pPr>
              <w:jc w:val="right"/>
              <w:ind w:right="800"/>
              <w:spacing w:after="0"/>
              <w:rPr>
                <w:sz w:val="20"/>
                <w:szCs w:val="20"/>
                <w:color w:val="auto"/>
              </w:rPr>
            </w:pPr>
            <w:r>
              <w:rPr>
                <w:rFonts w:ascii="Arial" w:cs="Arial" w:eastAsia="Arial" w:hAnsi="Arial"/>
                <w:sz w:val="18"/>
                <w:szCs w:val="18"/>
                <w:color w:val="auto"/>
              </w:rPr>
              <w:t>50,000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Cheryl Crane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48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50,000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W. Carey Crane</w:t>
            </w:r>
          </w:p>
        </w:tc>
        <w:tc>
          <w:tcPr>
            <w:tcW w:w="800" w:type="dxa"/>
            <w:vAlign w:val="bottom"/>
          </w:tcPr>
          <w:p>
            <w:pPr>
              <w:jc w:val="right"/>
              <w:spacing w:after="0"/>
              <w:rPr>
                <w:sz w:val="20"/>
                <w:szCs w:val="20"/>
                <w:color w:val="auto"/>
              </w:rPr>
            </w:pPr>
            <w:r>
              <w:rPr>
                <w:rFonts w:ascii="Arial" w:cs="Arial" w:eastAsia="Arial" w:hAnsi="Arial"/>
                <w:sz w:val="18"/>
                <w:szCs w:val="18"/>
                <w:color w:val="auto"/>
              </w:rPr>
              <w:t>200,000</w:t>
            </w:r>
          </w:p>
        </w:tc>
        <w:tc>
          <w:tcPr>
            <w:tcW w:w="2480" w:type="dxa"/>
            <w:vAlign w:val="bottom"/>
            <w:gridSpan w:val="3"/>
          </w:tcPr>
          <w:p>
            <w:pPr>
              <w:jc w:val="right"/>
              <w:ind w:right="800"/>
              <w:spacing w:after="0"/>
              <w:rPr>
                <w:sz w:val="20"/>
                <w:szCs w:val="20"/>
                <w:color w:val="auto"/>
              </w:rPr>
            </w:pPr>
            <w:r>
              <w:rPr>
                <w:rFonts w:ascii="Arial" w:cs="Arial" w:eastAsia="Arial" w:hAnsi="Arial"/>
                <w:sz w:val="18"/>
                <w:szCs w:val="18"/>
                <w:color w:val="auto"/>
              </w:rPr>
              <w:t>200,000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Fenton</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48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10,000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David F. Deleeuw</w:t>
            </w:r>
          </w:p>
        </w:tc>
        <w:tc>
          <w:tcPr>
            <w:tcW w:w="800" w:type="dxa"/>
            <w:vAlign w:val="bottom"/>
          </w:tcPr>
          <w:p>
            <w:pPr>
              <w:jc w:val="right"/>
              <w:spacing w:after="0"/>
              <w:rPr>
                <w:sz w:val="20"/>
                <w:szCs w:val="20"/>
                <w:color w:val="auto"/>
              </w:rPr>
            </w:pPr>
            <w:r>
              <w:rPr>
                <w:rFonts w:ascii="Arial" w:cs="Arial" w:eastAsia="Arial" w:hAnsi="Arial"/>
                <w:sz w:val="18"/>
                <w:szCs w:val="18"/>
                <w:color w:val="auto"/>
              </w:rPr>
              <w:t>50,000</w:t>
            </w:r>
          </w:p>
        </w:tc>
        <w:tc>
          <w:tcPr>
            <w:tcW w:w="2480" w:type="dxa"/>
            <w:vAlign w:val="bottom"/>
            <w:gridSpan w:val="3"/>
          </w:tcPr>
          <w:p>
            <w:pPr>
              <w:jc w:val="right"/>
              <w:ind w:right="800"/>
              <w:spacing w:after="0"/>
              <w:rPr>
                <w:sz w:val="20"/>
                <w:szCs w:val="20"/>
                <w:color w:val="auto"/>
              </w:rPr>
            </w:pPr>
            <w:r>
              <w:rPr>
                <w:rFonts w:ascii="Arial" w:cs="Arial" w:eastAsia="Arial" w:hAnsi="Arial"/>
                <w:sz w:val="18"/>
                <w:szCs w:val="18"/>
                <w:color w:val="auto"/>
              </w:rPr>
              <w:t>50,000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R. &amp; AnnMarie L. Doran</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48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25,000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Paul B. &amp; Patricia J. Doran</w:t>
            </w:r>
          </w:p>
        </w:tc>
        <w:tc>
          <w:tcPr>
            <w:tcW w:w="800" w:type="dxa"/>
            <w:vAlign w:val="bottom"/>
          </w:tcPr>
          <w:p>
            <w:pPr>
              <w:jc w:val="right"/>
              <w:spacing w:after="0"/>
              <w:rPr>
                <w:sz w:val="20"/>
                <w:szCs w:val="20"/>
                <w:color w:val="auto"/>
              </w:rPr>
            </w:pPr>
            <w:r>
              <w:rPr>
                <w:rFonts w:ascii="Arial" w:cs="Arial" w:eastAsia="Arial" w:hAnsi="Arial"/>
                <w:sz w:val="18"/>
                <w:szCs w:val="18"/>
                <w:color w:val="auto"/>
              </w:rPr>
              <w:t>50,000</w:t>
            </w:r>
          </w:p>
        </w:tc>
        <w:tc>
          <w:tcPr>
            <w:tcW w:w="2480" w:type="dxa"/>
            <w:vAlign w:val="bottom"/>
            <w:gridSpan w:val="3"/>
          </w:tcPr>
          <w:p>
            <w:pPr>
              <w:jc w:val="right"/>
              <w:ind w:right="800"/>
              <w:spacing w:after="0"/>
              <w:rPr>
                <w:sz w:val="20"/>
                <w:szCs w:val="20"/>
                <w:color w:val="auto"/>
              </w:rPr>
            </w:pPr>
            <w:r>
              <w:rPr>
                <w:rFonts w:ascii="Arial" w:cs="Arial" w:eastAsia="Arial" w:hAnsi="Arial"/>
                <w:sz w:val="18"/>
                <w:szCs w:val="18"/>
                <w:color w:val="auto"/>
              </w:rPr>
              <w:t>50,000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Shawn P. &amp; Christine Doran</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48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25,000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Doran Tatrow Associates</w:t>
            </w:r>
          </w:p>
        </w:tc>
        <w:tc>
          <w:tcPr>
            <w:tcW w:w="800" w:type="dxa"/>
            <w:vAlign w:val="bottom"/>
          </w:tcPr>
          <w:p>
            <w:pPr>
              <w:jc w:val="right"/>
              <w:spacing w:after="0"/>
              <w:rPr>
                <w:sz w:val="20"/>
                <w:szCs w:val="20"/>
                <w:color w:val="auto"/>
              </w:rPr>
            </w:pPr>
            <w:r>
              <w:rPr>
                <w:rFonts w:ascii="Arial" w:cs="Arial" w:eastAsia="Arial" w:hAnsi="Arial"/>
                <w:sz w:val="18"/>
                <w:szCs w:val="18"/>
                <w:color w:val="auto"/>
              </w:rPr>
              <w:t>50,000</w:t>
            </w:r>
          </w:p>
        </w:tc>
        <w:tc>
          <w:tcPr>
            <w:tcW w:w="2480" w:type="dxa"/>
            <w:vAlign w:val="bottom"/>
            <w:gridSpan w:val="3"/>
          </w:tcPr>
          <w:p>
            <w:pPr>
              <w:jc w:val="right"/>
              <w:ind w:right="800"/>
              <w:spacing w:after="0"/>
              <w:rPr>
                <w:sz w:val="20"/>
                <w:szCs w:val="20"/>
                <w:color w:val="auto"/>
              </w:rPr>
            </w:pPr>
            <w:r>
              <w:rPr>
                <w:rFonts w:ascii="Arial" w:cs="Arial" w:eastAsia="Arial" w:hAnsi="Arial"/>
                <w:sz w:val="18"/>
                <w:szCs w:val="18"/>
                <w:color w:val="auto"/>
              </w:rPr>
              <w:t>50,000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Douglasco Corp. Ltd.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48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25,000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Joseph A. Dussich, Jr.</w:t>
            </w:r>
          </w:p>
        </w:tc>
        <w:tc>
          <w:tcPr>
            <w:tcW w:w="800" w:type="dxa"/>
            <w:vAlign w:val="bottom"/>
          </w:tcPr>
          <w:p>
            <w:pPr>
              <w:jc w:val="right"/>
              <w:spacing w:after="0"/>
              <w:rPr>
                <w:sz w:val="20"/>
                <w:szCs w:val="20"/>
                <w:color w:val="auto"/>
              </w:rPr>
            </w:pPr>
            <w:r>
              <w:rPr>
                <w:rFonts w:ascii="Arial" w:cs="Arial" w:eastAsia="Arial" w:hAnsi="Arial"/>
                <w:sz w:val="18"/>
                <w:szCs w:val="18"/>
                <w:color w:val="auto"/>
              </w:rPr>
              <w:t>50,000</w:t>
            </w:r>
          </w:p>
        </w:tc>
        <w:tc>
          <w:tcPr>
            <w:tcW w:w="2480" w:type="dxa"/>
            <w:vAlign w:val="bottom"/>
            <w:gridSpan w:val="3"/>
          </w:tcPr>
          <w:p>
            <w:pPr>
              <w:jc w:val="right"/>
              <w:ind w:right="800"/>
              <w:spacing w:after="0"/>
              <w:rPr>
                <w:sz w:val="20"/>
                <w:szCs w:val="20"/>
                <w:color w:val="auto"/>
              </w:rPr>
            </w:pPr>
            <w:r>
              <w:rPr>
                <w:rFonts w:ascii="Arial" w:cs="Arial" w:eastAsia="Arial" w:hAnsi="Arial"/>
                <w:sz w:val="18"/>
                <w:szCs w:val="18"/>
                <w:color w:val="auto"/>
              </w:rPr>
              <w:t>50,000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Dwyer Investments LP Trust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48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25,000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John R. Edman TTEE u/a dtd 2/20/75</w:t>
            </w:r>
          </w:p>
        </w:tc>
        <w:tc>
          <w:tcPr>
            <w:tcW w:w="800" w:type="dxa"/>
            <w:vAlign w:val="bottom"/>
          </w:tcPr>
          <w:p>
            <w:pPr>
              <w:jc w:val="right"/>
              <w:spacing w:after="0"/>
              <w:rPr>
                <w:sz w:val="20"/>
                <w:szCs w:val="20"/>
                <w:color w:val="auto"/>
              </w:rPr>
            </w:pPr>
            <w:r>
              <w:rPr>
                <w:rFonts w:ascii="Arial" w:cs="Arial" w:eastAsia="Arial" w:hAnsi="Arial"/>
                <w:sz w:val="18"/>
                <w:szCs w:val="18"/>
                <w:color w:val="auto"/>
              </w:rPr>
              <w:t>25,000</w:t>
            </w:r>
          </w:p>
        </w:tc>
        <w:tc>
          <w:tcPr>
            <w:tcW w:w="2480" w:type="dxa"/>
            <w:vAlign w:val="bottom"/>
            <w:gridSpan w:val="3"/>
          </w:tcPr>
          <w:p>
            <w:pPr>
              <w:jc w:val="right"/>
              <w:ind w:right="800"/>
              <w:spacing w:after="0"/>
              <w:rPr>
                <w:sz w:val="20"/>
                <w:szCs w:val="20"/>
                <w:color w:val="auto"/>
              </w:rPr>
            </w:pPr>
            <w:r>
              <w:rPr>
                <w:rFonts w:ascii="Arial" w:cs="Arial" w:eastAsia="Arial" w:hAnsi="Arial"/>
                <w:sz w:val="18"/>
                <w:szCs w:val="18"/>
                <w:color w:val="auto"/>
              </w:rPr>
              <w:t>25,000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S. Featherston</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48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25,000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John V. Fernandez</w:t>
            </w:r>
          </w:p>
        </w:tc>
        <w:tc>
          <w:tcPr>
            <w:tcW w:w="800" w:type="dxa"/>
            <w:vAlign w:val="bottom"/>
          </w:tcPr>
          <w:p>
            <w:pPr>
              <w:jc w:val="right"/>
              <w:spacing w:after="0"/>
              <w:rPr>
                <w:sz w:val="20"/>
                <w:szCs w:val="20"/>
                <w:color w:val="auto"/>
              </w:rPr>
            </w:pPr>
            <w:r>
              <w:rPr>
                <w:rFonts w:ascii="Arial" w:cs="Arial" w:eastAsia="Arial" w:hAnsi="Arial"/>
                <w:sz w:val="18"/>
                <w:szCs w:val="18"/>
                <w:color w:val="auto"/>
              </w:rPr>
              <w:t>25,000</w:t>
            </w:r>
          </w:p>
        </w:tc>
        <w:tc>
          <w:tcPr>
            <w:tcW w:w="2480" w:type="dxa"/>
            <w:vAlign w:val="bottom"/>
            <w:gridSpan w:val="3"/>
          </w:tcPr>
          <w:p>
            <w:pPr>
              <w:jc w:val="right"/>
              <w:ind w:right="800"/>
              <w:spacing w:after="0"/>
              <w:rPr>
                <w:sz w:val="20"/>
                <w:szCs w:val="20"/>
                <w:color w:val="auto"/>
              </w:rPr>
            </w:pPr>
            <w:r>
              <w:rPr>
                <w:rFonts w:ascii="Arial" w:cs="Arial" w:eastAsia="Arial" w:hAnsi="Arial"/>
                <w:sz w:val="18"/>
                <w:szCs w:val="18"/>
                <w:color w:val="auto"/>
              </w:rPr>
              <w:t>25,000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&amp; Karen Francis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29,000</w:t>
            </w:r>
          </w:p>
        </w:tc>
        <w:tc>
          <w:tcPr>
            <w:tcW w:w="248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29,000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Paul R. &amp; Garnet S. Francis</w:t>
            </w:r>
          </w:p>
        </w:tc>
        <w:tc>
          <w:tcPr>
            <w:tcW w:w="800" w:type="dxa"/>
            <w:vAlign w:val="bottom"/>
          </w:tcPr>
          <w:p>
            <w:pPr>
              <w:jc w:val="right"/>
              <w:spacing w:after="0"/>
              <w:rPr>
                <w:sz w:val="20"/>
                <w:szCs w:val="20"/>
                <w:color w:val="auto"/>
              </w:rPr>
            </w:pPr>
            <w:r>
              <w:rPr>
                <w:rFonts w:ascii="Arial" w:cs="Arial" w:eastAsia="Arial" w:hAnsi="Arial"/>
                <w:sz w:val="18"/>
                <w:szCs w:val="18"/>
                <w:color w:val="auto"/>
              </w:rPr>
              <w:t>25,000</w:t>
            </w:r>
          </w:p>
        </w:tc>
        <w:tc>
          <w:tcPr>
            <w:tcW w:w="2480" w:type="dxa"/>
            <w:vAlign w:val="bottom"/>
            <w:gridSpan w:val="3"/>
          </w:tcPr>
          <w:p>
            <w:pPr>
              <w:jc w:val="right"/>
              <w:ind w:right="800"/>
              <w:spacing w:after="0"/>
              <w:rPr>
                <w:sz w:val="20"/>
                <w:szCs w:val="20"/>
                <w:color w:val="auto"/>
              </w:rPr>
            </w:pPr>
            <w:r>
              <w:rPr>
                <w:rFonts w:ascii="Arial" w:cs="Arial" w:eastAsia="Arial" w:hAnsi="Arial"/>
                <w:sz w:val="18"/>
                <w:szCs w:val="18"/>
                <w:color w:val="auto"/>
              </w:rPr>
              <w:t>25,000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Neil R. &amp; Susan H. Friedman</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48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10,000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Anthony Giovati</w:t>
            </w:r>
          </w:p>
        </w:tc>
        <w:tc>
          <w:tcPr>
            <w:tcW w:w="800" w:type="dxa"/>
            <w:vAlign w:val="bottom"/>
          </w:tcPr>
          <w:p>
            <w:pPr>
              <w:jc w:val="right"/>
              <w:spacing w:after="0"/>
              <w:rPr>
                <w:sz w:val="20"/>
                <w:szCs w:val="20"/>
                <w:color w:val="auto"/>
              </w:rPr>
            </w:pPr>
            <w:r>
              <w:rPr>
                <w:rFonts w:ascii="Arial" w:cs="Arial" w:eastAsia="Arial" w:hAnsi="Arial"/>
                <w:sz w:val="18"/>
                <w:szCs w:val="18"/>
                <w:color w:val="auto"/>
              </w:rPr>
              <w:t>50,000</w:t>
            </w:r>
          </w:p>
        </w:tc>
        <w:tc>
          <w:tcPr>
            <w:tcW w:w="2480" w:type="dxa"/>
            <w:vAlign w:val="bottom"/>
            <w:gridSpan w:val="3"/>
          </w:tcPr>
          <w:p>
            <w:pPr>
              <w:jc w:val="right"/>
              <w:ind w:right="800"/>
              <w:spacing w:after="0"/>
              <w:rPr>
                <w:sz w:val="20"/>
                <w:szCs w:val="20"/>
                <w:color w:val="auto"/>
              </w:rPr>
            </w:pPr>
            <w:r>
              <w:rPr>
                <w:rFonts w:ascii="Arial" w:cs="Arial" w:eastAsia="Arial" w:hAnsi="Arial"/>
                <w:sz w:val="18"/>
                <w:szCs w:val="18"/>
                <w:color w:val="auto"/>
              </w:rPr>
              <w:t>50,000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Giovati</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48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50,000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Patrick C. &amp; Linda C. Gorman</w:t>
            </w:r>
          </w:p>
        </w:tc>
        <w:tc>
          <w:tcPr>
            <w:tcW w:w="800" w:type="dxa"/>
            <w:vAlign w:val="bottom"/>
          </w:tcPr>
          <w:p>
            <w:pPr>
              <w:jc w:val="right"/>
              <w:spacing w:after="0"/>
              <w:rPr>
                <w:sz w:val="20"/>
                <w:szCs w:val="20"/>
                <w:color w:val="auto"/>
              </w:rPr>
            </w:pPr>
            <w:r>
              <w:rPr>
                <w:rFonts w:ascii="Arial" w:cs="Arial" w:eastAsia="Arial" w:hAnsi="Arial"/>
                <w:sz w:val="18"/>
                <w:szCs w:val="18"/>
                <w:color w:val="auto"/>
              </w:rPr>
              <w:t>25,000</w:t>
            </w:r>
          </w:p>
        </w:tc>
        <w:tc>
          <w:tcPr>
            <w:tcW w:w="2480" w:type="dxa"/>
            <w:vAlign w:val="bottom"/>
            <w:gridSpan w:val="3"/>
          </w:tcPr>
          <w:p>
            <w:pPr>
              <w:jc w:val="right"/>
              <w:ind w:right="800"/>
              <w:spacing w:after="0"/>
              <w:rPr>
                <w:sz w:val="20"/>
                <w:szCs w:val="20"/>
                <w:color w:val="auto"/>
              </w:rPr>
            </w:pPr>
            <w:r>
              <w:rPr>
                <w:rFonts w:ascii="Arial" w:cs="Arial" w:eastAsia="Arial" w:hAnsi="Arial"/>
                <w:sz w:val="18"/>
                <w:szCs w:val="18"/>
                <w:color w:val="auto"/>
              </w:rPr>
              <w:t>25,000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Goldberg</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48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25,000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Irwin J. Goldstein</w:t>
            </w:r>
          </w:p>
        </w:tc>
        <w:tc>
          <w:tcPr>
            <w:tcW w:w="800" w:type="dxa"/>
            <w:vAlign w:val="bottom"/>
          </w:tcPr>
          <w:p>
            <w:pPr>
              <w:jc w:val="right"/>
              <w:spacing w:after="0"/>
              <w:rPr>
                <w:sz w:val="20"/>
                <w:szCs w:val="20"/>
                <w:color w:val="auto"/>
              </w:rPr>
            </w:pPr>
            <w:r>
              <w:rPr>
                <w:rFonts w:ascii="Arial" w:cs="Arial" w:eastAsia="Arial" w:hAnsi="Arial"/>
                <w:sz w:val="18"/>
                <w:szCs w:val="18"/>
                <w:color w:val="auto"/>
              </w:rPr>
              <w:t>3,500</w:t>
            </w:r>
          </w:p>
        </w:tc>
        <w:tc>
          <w:tcPr>
            <w:tcW w:w="2480" w:type="dxa"/>
            <w:vAlign w:val="bottom"/>
            <w:gridSpan w:val="3"/>
          </w:tcPr>
          <w:p>
            <w:pPr>
              <w:jc w:val="right"/>
              <w:ind w:right="800"/>
              <w:spacing w:after="0"/>
              <w:rPr>
                <w:sz w:val="20"/>
                <w:szCs w:val="20"/>
                <w:color w:val="auto"/>
              </w:rPr>
            </w:pPr>
            <w:r>
              <w:rPr>
                <w:rFonts w:ascii="Arial" w:cs="Arial" w:eastAsia="Arial" w:hAnsi="Arial"/>
                <w:sz w:val="18"/>
                <w:szCs w:val="18"/>
                <w:color w:val="auto"/>
              </w:rPr>
              <w:t>3,500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Patricia L. Grossman</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248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12,500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F.E. Hambleton</w:t>
            </w:r>
          </w:p>
        </w:tc>
        <w:tc>
          <w:tcPr>
            <w:tcW w:w="800" w:type="dxa"/>
            <w:vAlign w:val="bottom"/>
          </w:tcPr>
          <w:p>
            <w:pPr>
              <w:jc w:val="right"/>
              <w:spacing w:after="0"/>
              <w:rPr>
                <w:sz w:val="20"/>
                <w:szCs w:val="20"/>
                <w:color w:val="auto"/>
              </w:rPr>
            </w:pPr>
            <w:r>
              <w:rPr>
                <w:rFonts w:ascii="Arial" w:cs="Arial" w:eastAsia="Arial" w:hAnsi="Arial"/>
                <w:sz w:val="18"/>
                <w:szCs w:val="18"/>
                <w:color w:val="auto"/>
              </w:rPr>
              <w:t>25,000</w:t>
            </w:r>
          </w:p>
        </w:tc>
        <w:tc>
          <w:tcPr>
            <w:tcW w:w="2480" w:type="dxa"/>
            <w:vAlign w:val="bottom"/>
            <w:gridSpan w:val="3"/>
          </w:tcPr>
          <w:p>
            <w:pPr>
              <w:jc w:val="right"/>
              <w:ind w:right="800"/>
              <w:spacing w:after="0"/>
              <w:rPr>
                <w:sz w:val="20"/>
                <w:szCs w:val="20"/>
                <w:color w:val="auto"/>
              </w:rPr>
            </w:pPr>
            <w:r>
              <w:rPr>
                <w:rFonts w:ascii="Arial" w:cs="Arial" w:eastAsia="Arial" w:hAnsi="Arial"/>
                <w:sz w:val="18"/>
                <w:szCs w:val="18"/>
                <w:color w:val="auto"/>
              </w:rPr>
              <w:t>25,000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Raymond A. Hanson</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248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65,000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Preston &amp; Carrie Hawkins</w:t>
            </w:r>
          </w:p>
        </w:tc>
        <w:tc>
          <w:tcPr>
            <w:tcW w:w="800" w:type="dxa"/>
            <w:vAlign w:val="bottom"/>
          </w:tcPr>
          <w:p>
            <w:pPr>
              <w:jc w:val="right"/>
              <w:spacing w:after="0"/>
              <w:rPr>
                <w:sz w:val="20"/>
                <w:szCs w:val="20"/>
                <w:color w:val="auto"/>
              </w:rPr>
            </w:pPr>
            <w:r>
              <w:rPr>
                <w:rFonts w:ascii="Arial" w:cs="Arial" w:eastAsia="Arial" w:hAnsi="Arial"/>
                <w:sz w:val="18"/>
                <w:szCs w:val="18"/>
                <w:color w:val="auto"/>
              </w:rPr>
              <w:t>100,000</w:t>
            </w:r>
          </w:p>
        </w:tc>
        <w:tc>
          <w:tcPr>
            <w:tcW w:w="2480" w:type="dxa"/>
            <w:vAlign w:val="bottom"/>
            <w:gridSpan w:val="3"/>
          </w:tcPr>
          <w:p>
            <w:pPr>
              <w:jc w:val="right"/>
              <w:ind w:right="800"/>
              <w:spacing w:after="0"/>
              <w:rPr>
                <w:sz w:val="20"/>
                <w:szCs w:val="20"/>
                <w:color w:val="auto"/>
              </w:rPr>
            </w:pPr>
            <w:r>
              <w:rPr>
                <w:rFonts w:ascii="Arial" w:cs="Arial" w:eastAsia="Arial" w:hAnsi="Arial"/>
                <w:sz w:val="18"/>
                <w:szCs w:val="18"/>
                <w:color w:val="auto"/>
              </w:rPr>
              <w:t>100,000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L. Howell</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48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50,000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Joseph E. Indrieri &amp; Lisa McCall</w:t>
            </w:r>
          </w:p>
        </w:tc>
        <w:tc>
          <w:tcPr>
            <w:tcW w:w="800" w:type="dxa"/>
            <w:vAlign w:val="bottom"/>
          </w:tcPr>
          <w:p>
            <w:pPr>
              <w:jc w:val="right"/>
              <w:spacing w:after="0"/>
              <w:rPr>
                <w:sz w:val="20"/>
                <w:szCs w:val="20"/>
                <w:color w:val="auto"/>
              </w:rPr>
            </w:pPr>
            <w:r>
              <w:rPr>
                <w:rFonts w:ascii="Arial" w:cs="Arial" w:eastAsia="Arial" w:hAnsi="Arial"/>
                <w:sz w:val="18"/>
                <w:szCs w:val="18"/>
                <w:color w:val="auto"/>
              </w:rPr>
              <w:t>100,000</w:t>
            </w:r>
          </w:p>
        </w:tc>
        <w:tc>
          <w:tcPr>
            <w:tcW w:w="2480" w:type="dxa"/>
            <w:vAlign w:val="bottom"/>
            <w:gridSpan w:val="3"/>
          </w:tcPr>
          <w:p>
            <w:pPr>
              <w:jc w:val="right"/>
              <w:ind w:right="800"/>
              <w:spacing w:after="0"/>
              <w:rPr>
                <w:sz w:val="20"/>
                <w:szCs w:val="20"/>
                <w:color w:val="auto"/>
              </w:rPr>
            </w:pPr>
            <w:r>
              <w:rPr>
                <w:rFonts w:ascii="Arial" w:cs="Arial" w:eastAsia="Arial" w:hAnsi="Arial"/>
                <w:sz w:val="18"/>
                <w:szCs w:val="18"/>
                <w:color w:val="auto"/>
              </w:rPr>
              <w:t>100,000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 Capital Associates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48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20,000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Robert Jacobs Trust u/a dtd 9/28/88</w:t>
            </w:r>
          </w:p>
        </w:tc>
        <w:tc>
          <w:tcPr>
            <w:tcW w:w="800" w:type="dxa"/>
            <w:vAlign w:val="bottom"/>
          </w:tcPr>
          <w:p>
            <w:pPr>
              <w:jc w:val="right"/>
              <w:spacing w:after="0"/>
              <w:rPr>
                <w:sz w:val="20"/>
                <w:szCs w:val="20"/>
                <w:color w:val="auto"/>
              </w:rPr>
            </w:pPr>
            <w:r>
              <w:rPr>
                <w:rFonts w:ascii="Arial" w:cs="Arial" w:eastAsia="Arial" w:hAnsi="Arial"/>
                <w:sz w:val="18"/>
                <w:szCs w:val="18"/>
                <w:color w:val="auto"/>
              </w:rPr>
              <w:t>84,000</w:t>
            </w:r>
          </w:p>
        </w:tc>
        <w:tc>
          <w:tcPr>
            <w:tcW w:w="2480" w:type="dxa"/>
            <w:vAlign w:val="bottom"/>
            <w:gridSpan w:val="3"/>
          </w:tcPr>
          <w:p>
            <w:pPr>
              <w:jc w:val="right"/>
              <w:ind w:right="800"/>
              <w:spacing w:after="0"/>
              <w:rPr>
                <w:sz w:val="20"/>
                <w:szCs w:val="20"/>
                <w:color w:val="auto"/>
              </w:rPr>
            </w:pPr>
            <w:r>
              <w:rPr>
                <w:rFonts w:ascii="Arial" w:cs="Arial" w:eastAsia="Arial" w:hAnsi="Arial"/>
                <w:sz w:val="18"/>
                <w:szCs w:val="18"/>
                <w:color w:val="auto"/>
              </w:rPr>
              <w:t>84,000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Jayaraj</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48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20,000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Sheila Jayaraj (8)</w:t>
            </w:r>
          </w:p>
        </w:tc>
        <w:tc>
          <w:tcPr>
            <w:tcW w:w="800" w:type="dxa"/>
            <w:vAlign w:val="bottom"/>
          </w:tcPr>
          <w:p>
            <w:pPr>
              <w:jc w:val="right"/>
              <w:spacing w:after="0"/>
              <w:rPr>
                <w:sz w:val="20"/>
                <w:szCs w:val="20"/>
                <w:color w:val="auto"/>
              </w:rPr>
            </w:pPr>
            <w:r>
              <w:rPr>
                <w:rFonts w:ascii="Arial" w:cs="Arial" w:eastAsia="Arial" w:hAnsi="Arial"/>
                <w:sz w:val="18"/>
                <w:szCs w:val="18"/>
                <w:color w:val="auto"/>
              </w:rPr>
              <w:t>9,100</w:t>
            </w:r>
          </w:p>
        </w:tc>
        <w:tc>
          <w:tcPr>
            <w:tcW w:w="2480" w:type="dxa"/>
            <w:vAlign w:val="bottom"/>
            <w:gridSpan w:val="3"/>
          </w:tcPr>
          <w:p>
            <w:pPr>
              <w:jc w:val="right"/>
              <w:ind w:right="800"/>
              <w:spacing w:after="0"/>
              <w:rPr>
                <w:sz w:val="20"/>
                <w:szCs w:val="20"/>
                <w:color w:val="auto"/>
              </w:rPr>
            </w:pPr>
            <w:r>
              <w:rPr>
                <w:rFonts w:ascii="Arial" w:cs="Arial" w:eastAsia="Arial" w:hAnsi="Arial"/>
                <w:sz w:val="18"/>
                <w:szCs w:val="18"/>
                <w:color w:val="auto"/>
              </w:rPr>
              <w:t>9,100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Rickey D. Kelman &amp; Wendy L. Kelman Family Trust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48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25,000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Kendler Family Trust (Edward Kendler)</w:t>
            </w:r>
          </w:p>
        </w:tc>
        <w:tc>
          <w:tcPr>
            <w:tcW w:w="800" w:type="dxa"/>
            <w:vAlign w:val="bottom"/>
          </w:tcPr>
          <w:p>
            <w:pPr>
              <w:jc w:val="right"/>
              <w:spacing w:after="0"/>
              <w:rPr>
                <w:sz w:val="20"/>
                <w:szCs w:val="20"/>
                <w:color w:val="auto"/>
              </w:rPr>
            </w:pPr>
            <w:r>
              <w:rPr>
                <w:rFonts w:ascii="Arial" w:cs="Arial" w:eastAsia="Arial" w:hAnsi="Arial"/>
                <w:sz w:val="18"/>
                <w:szCs w:val="18"/>
                <w:color w:val="auto"/>
              </w:rPr>
              <w:t>50,000</w:t>
            </w:r>
          </w:p>
        </w:tc>
        <w:tc>
          <w:tcPr>
            <w:tcW w:w="2480" w:type="dxa"/>
            <w:vAlign w:val="bottom"/>
            <w:gridSpan w:val="3"/>
          </w:tcPr>
          <w:p>
            <w:pPr>
              <w:jc w:val="right"/>
              <w:ind w:right="800"/>
              <w:spacing w:after="0"/>
              <w:rPr>
                <w:sz w:val="20"/>
                <w:szCs w:val="20"/>
                <w:color w:val="auto"/>
              </w:rPr>
            </w:pPr>
            <w:r>
              <w:rPr>
                <w:rFonts w:ascii="Arial" w:cs="Arial" w:eastAsia="Arial" w:hAnsi="Arial"/>
                <w:sz w:val="18"/>
                <w:szCs w:val="18"/>
                <w:color w:val="auto"/>
              </w:rPr>
              <w:t>50,000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8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8"/>
              </w:rPr>
              <w:t>Common</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8"/>
              </w:rPr>
              <w:t>Common</w:t>
            </w:r>
          </w:p>
        </w:tc>
        <w:tc>
          <w:tcPr>
            <w:tcW w:w="80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Percentage (2)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6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5"/>
              </w:rPr>
              <w:t>Common</w:t>
            </w:r>
          </w:p>
        </w:tc>
        <w:tc>
          <w:tcPr>
            <w:tcW w:w="16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3"/>
              </w:rPr>
              <w:t>Stock Being</w:t>
            </w:r>
          </w:p>
        </w:tc>
        <w:tc>
          <w:tcPr>
            <w:tcW w:w="9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Stock Owned</w:t>
            </w:r>
          </w:p>
        </w:tc>
        <w:tc>
          <w:tcPr>
            <w:tcW w:w="80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6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5"/>
              </w:rPr>
              <w:t>Stock Owned</w:t>
            </w:r>
          </w:p>
        </w:tc>
        <w:tc>
          <w:tcPr>
            <w:tcW w:w="16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8"/>
              </w:rPr>
              <w:t>Offered</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Upon</w:t>
            </w:r>
          </w:p>
        </w:tc>
        <w:tc>
          <w:tcPr>
            <w:tcW w:w="80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Owned Upon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6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0"/>
              </w:rPr>
              <w:t>Prior to the</w:t>
            </w:r>
          </w:p>
        </w:tc>
        <w:tc>
          <w:tcPr>
            <w:tcW w:w="16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7"/>
              </w:rPr>
              <w:t>Pursuant to</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Completion of</w:t>
            </w:r>
          </w:p>
        </w:tc>
        <w:tc>
          <w:tcPr>
            <w:tcW w:w="800" w:type="dxa"/>
            <w:vAlign w:val="bottom"/>
          </w:tcPr>
          <w:p>
            <w:pPr>
              <w:spacing w:after="0"/>
              <w:rPr>
                <w:sz w:val="12"/>
                <w:szCs w:val="12"/>
                <w:color w:val="auto"/>
              </w:rPr>
            </w:pP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Completion of</w:t>
            </w:r>
          </w:p>
        </w:tc>
        <w:tc>
          <w:tcPr>
            <w:tcW w:w="0" w:type="dxa"/>
            <w:vAlign w:val="bottom"/>
          </w:tcPr>
          <w:p>
            <w:pPr>
              <w:spacing w:after="0"/>
              <w:rPr>
                <w:sz w:val="1"/>
                <w:szCs w:val="1"/>
                <w:color w:val="auto"/>
              </w:rPr>
            </w:pPr>
          </w:p>
        </w:tc>
      </w:tr>
      <w:tr>
        <w:trPr>
          <w:trHeight w:val="174"/>
        </w:trPr>
        <w:tc>
          <w:tcPr>
            <w:tcW w:w="5300" w:type="dxa"/>
            <w:vAlign w:val="bottom"/>
            <w:gridSpan w:val="3"/>
          </w:tcPr>
          <w:p>
            <w:pPr>
              <w:spacing w:after="0"/>
              <w:rPr>
                <w:sz w:val="20"/>
                <w:szCs w:val="20"/>
                <w:color w:val="auto"/>
              </w:rPr>
            </w:pPr>
            <w:r>
              <w:rPr>
                <w:rFonts w:ascii="Arial" w:cs="Arial" w:eastAsia="Arial" w:hAnsi="Arial"/>
                <w:sz w:val="14"/>
                <w:szCs w:val="14"/>
                <w:b w:val="1"/>
                <w:bCs w:val="1"/>
                <w:color w:val="auto"/>
              </w:rPr>
              <w:t>Name of Selling Stockholder</w:t>
            </w:r>
          </w:p>
        </w:tc>
        <w:tc>
          <w:tcPr>
            <w:tcW w:w="160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8"/>
              </w:rPr>
              <w:t>Offering</w:t>
            </w:r>
          </w:p>
        </w:tc>
        <w:tc>
          <w:tcPr>
            <w:tcW w:w="168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3"/>
              </w:rPr>
              <w:t>this Prospectus</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0"/>
              </w:rPr>
              <w:t>this Offering (1)</w:t>
            </w:r>
          </w:p>
        </w:tc>
        <w:tc>
          <w:tcPr>
            <w:tcW w:w="800" w:type="dxa"/>
            <w:vAlign w:val="bottom"/>
          </w:tcPr>
          <w:p>
            <w:pPr>
              <w:spacing w:after="0"/>
              <w:rPr>
                <w:sz w:val="15"/>
                <w:szCs w:val="15"/>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this Offering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31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80" w:type="dxa"/>
            <w:vAlign w:val="bottom"/>
          </w:tcPr>
          <w:p>
            <w:pPr>
              <w:spacing w:after="0"/>
              <w:rPr>
                <w:sz w:val="8"/>
                <w:szCs w:val="8"/>
                <w:color w:val="auto"/>
              </w:rPr>
            </w:pPr>
          </w:p>
        </w:tc>
        <w:tc>
          <w:tcPr>
            <w:tcW w:w="3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 Bexten Inc.</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25,000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Herbert Lazar Revocable Trust</w:t>
            </w:r>
          </w:p>
        </w:tc>
        <w:tc>
          <w:tcPr>
            <w:tcW w:w="800" w:type="dxa"/>
            <w:vAlign w:val="bottom"/>
          </w:tcPr>
          <w:p>
            <w:pPr>
              <w:jc w:val="right"/>
              <w:spacing w:after="0"/>
              <w:rPr>
                <w:sz w:val="20"/>
                <w:szCs w:val="20"/>
                <w:color w:val="auto"/>
              </w:rPr>
            </w:pPr>
            <w:r>
              <w:rPr>
                <w:rFonts w:ascii="Arial" w:cs="Arial" w:eastAsia="Arial" w:hAnsi="Arial"/>
                <w:sz w:val="18"/>
                <w:szCs w:val="18"/>
                <w:color w:val="auto"/>
              </w:rPr>
              <w:t>20,000</w:t>
            </w:r>
          </w:p>
        </w:tc>
        <w:tc>
          <w:tcPr>
            <w:tcW w:w="800" w:type="dxa"/>
            <w:vAlign w:val="bottom"/>
          </w:tcPr>
          <w:p>
            <w:pPr>
              <w:spacing w:after="0"/>
              <w:rPr>
                <w:sz w:val="18"/>
                <w:szCs w:val="18"/>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20,000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G. Lazar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15,000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James Paulsen</w:t>
            </w:r>
          </w:p>
        </w:tc>
        <w:tc>
          <w:tcPr>
            <w:tcW w:w="800" w:type="dxa"/>
            <w:vAlign w:val="bottom"/>
          </w:tcPr>
          <w:p>
            <w:pPr>
              <w:jc w:val="right"/>
              <w:spacing w:after="0"/>
              <w:rPr>
                <w:sz w:val="20"/>
                <w:szCs w:val="20"/>
                <w:color w:val="auto"/>
              </w:rPr>
            </w:pPr>
            <w:r>
              <w:rPr>
                <w:rFonts w:ascii="Arial" w:cs="Arial" w:eastAsia="Arial" w:hAnsi="Arial"/>
                <w:sz w:val="18"/>
                <w:szCs w:val="18"/>
                <w:color w:val="auto"/>
              </w:rPr>
              <w:t>10,000</w:t>
            </w:r>
          </w:p>
        </w:tc>
        <w:tc>
          <w:tcPr>
            <w:tcW w:w="800" w:type="dxa"/>
            <w:vAlign w:val="bottom"/>
          </w:tcPr>
          <w:p>
            <w:pPr>
              <w:spacing w:after="0"/>
              <w:rPr>
                <w:sz w:val="18"/>
                <w:szCs w:val="18"/>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10,000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Lochnau, Inc.</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50,000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James K. McPhelan</w:t>
            </w:r>
          </w:p>
        </w:tc>
        <w:tc>
          <w:tcPr>
            <w:tcW w:w="800" w:type="dxa"/>
            <w:vAlign w:val="bottom"/>
          </w:tcPr>
          <w:p>
            <w:pPr>
              <w:jc w:val="right"/>
              <w:spacing w:after="0"/>
              <w:rPr>
                <w:sz w:val="20"/>
                <w:szCs w:val="20"/>
                <w:color w:val="auto"/>
              </w:rPr>
            </w:pPr>
            <w:r>
              <w:rPr>
                <w:rFonts w:ascii="Arial" w:cs="Arial" w:eastAsia="Arial" w:hAnsi="Arial"/>
                <w:sz w:val="18"/>
                <w:szCs w:val="18"/>
                <w:color w:val="auto"/>
              </w:rPr>
              <w:t>25,000</w:t>
            </w:r>
          </w:p>
        </w:tc>
        <w:tc>
          <w:tcPr>
            <w:tcW w:w="800" w:type="dxa"/>
            <w:vAlign w:val="bottom"/>
          </w:tcPr>
          <w:p>
            <w:pPr>
              <w:spacing w:after="0"/>
              <w:rPr>
                <w:sz w:val="18"/>
                <w:szCs w:val="18"/>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25,000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A. Melillo, Sr.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50,000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Mercer Management, Inc.</w:t>
            </w:r>
          </w:p>
        </w:tc>
        <w:tc>
          <w:tcPr>
            <w:tcW w:w="800" w:type="dxa"/>
            <w:vAlign w:val="bottom"/>
          </w:tcPr>
          <w:p>
            <w:pPr>
              <w:jc w:val="right"/>
              <w:spacing w:after="0"/>
              <w:rPr>
                <w:sz w:val="20"/>
                <w:szCs w:val="20"/>
                <w:color w:val="auto"/>
              </w:rPr>
            </w:pPr>
            <w:r>
              <w:rPr>
                <w:rFonts w:ascii="Arial" w:cs="Arial" w:eastAsia="Arial" w:hAnsi="Arial"/>
                <w:sz w:val="18"/>
                <w:szCs w:val="18"/>
                <w:color w:val="auto"/>
              </w:rPr>
              <w:t>50,680</w:t>
            </w:r>
          </w:p>
        </w:tc>
        <w:tc>
          <w:tcPr>
            <w:tcW w:w="800" w:type="dxa"/>
            <w:vAlign w:val="bottom"/>
          </w:tcPr>
          <w:p>
            <w:pPr>
              <w:spacing w:after="0"/>
              <w:rPr>
                <w:sz w:val="18"/>
                <w:szCs w:val="18"/>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50,680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Gali Nuriel</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125,000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James M. Patano</w:t>
            </w:r>
          </w:p>
        </w:tc>
        <w:tc>
          <w:tcPr>
            <w:tcW w:w="1600" w:type="dxa"/>
            <w:vAlign w:val="bottom"/>
            <w:gridSpan w:val="2"/>
          </w:tcPr>
          <w:p>
            <w:pPr>
              <w:jc w:val="right"/>
              <w:ind w:right="800"/>
              <w:spacing w:after="0"/>
              <w:rPr>
                <w:sz w:val="20"/>
                <w:szCs w:val="20"/>
                <w:color w:val="auto"/>
              </w:rPr>
            </w:pPr>
            <w:r>
              <w:rPr>
                <w:rFonts w:ascii="Arial" w:cs="Arial" w:eastAsia="Arial" w:hAnsi="Arial"/>
                <w:sz w:val="18"/>
                <w:szCs w:val="18"/>
                <w:color w:val="auto"/>
              </w:rPr>
              <w:t>110,000</w:t>
            </w: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110,000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Gilbert S. Omenn</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75,000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Richard J. &amp; Ornella Pieranunzi</w:t>
            </w:r>
          </w:p>
        </w:tc>
        <w:tc>
          <w:tcPr>
            <w:tcW w:w="800" w:type="dxa"/>
            <w:vAlign w:val="bottom"/>
          </w:tcPr>
          <w:p>
            <w:pPr>
              <w:jc w:val="right"/>
              <w:spacing w:after="0"/>
              <w:rPr>
                <w:sz w:val="20"/>
                <w:szCs w:val="20"/>
                <w:color w:val="auto"/>
              </w:rPr>
            </w:pPr>
            <w:r>
              <w:rPr>
                <w:rFonts w:ascii="Arial" w:cs="Arial" w:eastAsia="Arial" w:hAnsi="Arial"/>
                <w:sz w:val="18"/>
                <w:szCs w:val="18"/>
                <w:color w:val="auto"/>
              </w:rPr>
              <w:t>50,000</w:t>
            </w:r>
          </w:p>
        </w:tc>
        <w:tc>
          <w:tcPr>
            <w:tcW w:w="800" w:type="dxa"/>
            <w:vAlign w:val="bottom"/>
          </w:tcPr>
          <w:p>
            <w:pPr>
              <w:spacing w:after="0"/>
              <w:rPr>
                <w:sz w:val="18"/>
                <w:szCs w:val="18"/>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50,000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Kenneth Polivy</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25,000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Carl V. &amp; Cathleen Richard</w:t>
            </w:r>
          </w:p>
        </w:tc>
        <w:tc>
          <w:tcPr>
            <w:tcW w:w="800" w:type="dxa"/>
            <w:vAlign w:val="bottom"/>
          </w:tcPr>
          <w:p>
            <w:pPr>
              <w:jc w:val="right"/>
              <w:spacing w:after="0"/>
              <w:rPr>
                <w:sz w:val="20"/>
                <w:szCs w:val="20"/>
                <w:color w:val="auto"/>
              </w:rPr>
            </w:pPr>
            <w:r>
              <w:rPr>
                <w:rFonts w:ascii="Arial" w:cs="Arial" w:eastAsia="Arial" w:hAnsi="Arial"/>
                <w:sz w:val="18"/>
                <w:szCs w:val="18"/>
                <w:color w:val="auto"/>
              </w:rPr>
              <w:t>10,000</w:t>
            </w:r>
          </w:p>
        </w:tc>
        <w:tc>
          <w:tcPr>
            <w:tcW w:w="800" w:type="dxa"/>
            <w:vAlign w:val="bottom"/>
          </w:tcPr>
          <w:p>
            <w:pPr>
              <w:spacing w:after="0"/>
              <w:rPr>
                <w:sz w:val="18"/>
                <w:szCs w:val="18"/>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10,000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Terry G. Rudd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25,000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Russo Family Revocable Trust dtd 7/97</w:t>
            </w:r>
          </w:p>
        </w:tc>
        <w:tc>
          <w:tcPr>
            <w:tcW w:w="800" w:type="dxa"/>
            <w:vAlign w:val="bottom"/>
          </w:tcPr>
          <w:p>
            <w:pPr>
              <w:jc w:val="right"/>
              <w:spacing w:after="0"/>
              <w:rPr>
                <w:sz w:val="20"/>
                <w:szCs w:val="20"/>
                <w:color w:val="auto"/>
              </w:rPr>
            </w:pPr>
            <w:r>
              <w:rPr>
                <w:rFonts w:ascii="Arial" w:cs="Arial" w:eastAsia="Arial" w:hAnsi="Arial"/>
                <w:sz w:val="18"/>
                <w:szCs w:val="18"/>
                <w:color w:val="auto"/>
              </w:rPr>
              <w:t>100,000</w:t>
            </w:r>
          </w:p>
        </w:tc>
        <w:tc>
          <w:tcPr>
            <w:tcW w:w="800" w:type="dxa"/>
            <w:vAlign w:val="bottom"/>
          </w:tcPr>
          <w:p>
            <w:pPr>
              <w:spacing w:after="0"/>
              <w:rPr>
                <w:sz w:val="18"/>
                <w:szCs w:val="18"/>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100,000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Russo Family Revocable Trust dtd 1996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176,000</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176,000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S&amp;M Grandchildren’s Annual Exclusion, LLC</w:t>
            </w:r>
          </w:p>
        </w:tc>
        <w:tc>
          <w:tcPr>
            <w:tcW w:w="800" w:type="dxa"/>
            <w:vAlign w:val="bottom"/>
          </w:tcPr>
          <w:p>
            <w:pPr>
              <w:jc w:val="right"/>
              <w:spacing w:after="0"/>
              <w:rPr>
                <w:sz w:val="20"/>
                <w:szCs w:val="20"/>
                <w:color w:val="auto"/>
              </w:rPr>
            </w:pPr>
            <w:r>
              <w:rPr>
                <w:rFonts w:ascii="Arial" w:cs="Arial" w:eastAsia="Arial" w:hAnsi="Arial"/>
                <w:sz w:val="18"/>
                <w:szCs w:val="18"/>
                <w:color w:val="auto"/>
              </w:rPr>
              <w:t>25,000</w:t>
            </w:r>
          </w:p>
        </w:tc>
        <w:tc>
          <w:tcPr>
            <w:tcW w:w="800" w:type="dxa"/>
            <w:vAlign w:val="bottom"/>
          </w:tcPr>
          <w:p>
            <w:pPr>
              <w:spacing w:after="0"/>
              <w:rPr>
                <w:sz w:val="18"/>
                <w:szCs w:val="18"/>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25,000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Russell J. Sabella</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25,000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Charles &amp; Janet Shafer</w:t>
            </w:r>
          </w:p>
        </w:tc>
        <w:tc>
          <w:tcPr>
            <w:tcW w:w="800" w:type="dxa"/>
            <w:vAlign w:val="bottom"/>
          </w:tcPr>
          <w:p>
            <w:pPr>
              <w:jc w:val="right"/>
              <w:spacing w:after="0"/>
              <w:rPr>
                <w:sz w:val="20"/>
                <w:szCs w:val="20"/>
                <w:color w:val="auto"/>
              </w:rPr>
            </w:pPr>
            <w:r>
              <w:rPr>
                <w:rFonts w:ascii="Arial" w:cs="Arial" w:eastAsia="Arial" w:hAnsi="Arial"/>
                <w:sz w:val="18"/>
                <w:szCs w:val="18"/>
                <w:color w:val="auto"/>
              </w:rPr>
              <w:t>25,000</w:t>
            </w:r>
          </w:p>
        </w:tc>
        <w:tc>
          <w:tcPr>
            <w:tcW w:w="800" w:type="dxa"/>
            <w:vAlign w:val="bottom"/>
          </w:tcPr>
          <w:p>
            <w:pPr>
              <w:spacing w:after="0"/>
              <w:rPr>
                <w:sz w:val="18"/>
                <w:szCs w:val="18"/>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25,000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Snedden</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10,000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Thomas W. Storm</w:t>
            </w:r>
          </w:p>
        </w:tc>
        <w:tc>
          <w:tcPr>
            <w:tcW w:w="800" w:type="dxa"/>
            <w:vAlign w:val="bottom"/>
          </w:tcPr>
          <w:p>
            <w:pPr>
              <w:jc w:val="right"/>
              <w:spacing w:after="0"/>
              <w:rPr>
                <w:sz w:val="20"/>
                <w:szCs w:val="20"/>
                <w:color w:val="auto"/>
              </w:rPr>
            </w:pPr>
            <w:r>
              <w:rPr>
                <w:rFonts w:ascii="Arial" w:cs="Arial" w:eastAsia="Arial" w:hAnsi="Arial"/>
                <w:sz w:val="18"/>
                <w:szCs w:val="18"/>
                <w:color w:val="auto"/>
              </w:rPr>
              <w:t>20,000</w:t>
            </w:r>
          </w:p>
        </w:tc>
        <w:tc>
          <w:tcPr>
            <w:tcW w:w="800" w:type="dxa"/>
            <w:vAlign w:val="bottom"/>
          </w:tcPr>
          <w:p>
            <w:pPr>
              <w:spacing w:after="0"/>
              <w:rPr>
                <w:sz w:val="18"/>
                <w:szCs w:val="18"/>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20,000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Harriet K. Swartz Family Trust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12,500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Pankaj Tandon</w:t>
            </w:r>
          </w:p>
        </w:tc>
        <w:tc>
          <w:tcPr>
            <w:tcW w:w="800" w:type="dxa"/>
            <w:vAlign w:val="bottom"/>
          </w:tcPr>
          <w:p>
            <w:pPr>
              <w:jc w:val="right"/>
              <w:spacing w:after="0"/>
              <w:rPr>
                <w:sz w:val="20"/>
                <w:szCs w:val="20"/>
                <w:color w:val="auto"/>
              </w:rPr>
            </w:pPr>
            <w:r>
              <w:rPr>
                <w:rFonts w:ascii="Arial" w:cs="Arial" w:eastAsia="Arial" w:hAnsi="Arial"/>
                <w:sz w:val="18"/>
                <w:szCs w:val="18"/>
                <w:color w:val="auto"/>
              </w:rPr>
              <w:t>250,000</w:t>
            </w:r>
          </w:p>
        </w:tc>
        <w:tc>
          <w:tcPr>
            <w:tcW w:w="800" w:type="dxa"/>
            <w:vAlign w:val="bottom"/>
          </w:tcPr>
          <w:p>
            <w:pPr>
              <w:spacing w:after="0"/>
              <w:rPr>
                <w:sz w:val="18"/>
                <w:szCs w:val="18"/>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250,000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Aaron Richard Tate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8,333</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8,333</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Benjamin E. &amp; Rhonda K. Tate</w:t>
            </w:r>
          </w:p>
        </w:tc>
        <w:tc>
          <w:tcPr>
            <w:tcW w:w="800" w:type="dxa"/>
            <w:vAlign w:val="bottom"/>
          </w:tcPr>
          <w:p>
            <w:pPr>
              <w:jc w:val="right"/>
              <w:spacing w:after="0"/>
              <w:rPr>
                <w:sz w:val="20"/>
                <w:szCs w:val="20"/>
                <w:color w:val="auto"/>
              </w:rPr>
            </w:pPr>
            <w:r>
              <w:rPr>
                <w:rFonts w:ascii="Arial" w:cs="Arial" w:eastAsia="Arial" w:hAnsi="Arial"/>
                <w:sz w:val="18"/>
                <w:szCs w:val="18"/>
                <w:color w:val="auto"/>
              </w:rPr>
              <w:t>50,000</w:t>
            </w:r>
          </w:p>
        </w:tc>
        <w:tc>
          <w:tcPr>
            <w:tcW w:w="800" w:type="dxa"/>
            <w:vAlign w:val="bottom"/>
          </w:tcPr>
          <w:p>
            <w:pPr>
              <w:spacing w:after="0"/>
              <w:rPr>
                <w:sz w:val="18"/>
                <w:szCs w:val="18"/>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50,000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Dustin Craig Tate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8,334</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8,334</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Joseph Allen Tate</w:t>
            </w:r>
          </w:p>
        </w:tc>
        <w:tc>
          <w:tcPr>
            <w:tcW w:w="800" w:type="dxa"/>
            <w:vAlign w:val="bottom"/>
          </w:tcPr>
          <w:p>
            <w:pPr>
              <w:jc w:val="right"/>
              <w:spacing w:after="0"/>
              <w:rPr>
                <w:sz w:val="20"/>
                <w:szCs w:val="20"/>
                <w:color w:val="auto"/>
              </w:rPr>
            </w:pPr>
            <w:r>
              <w:rPr>
                <w:rFonts w:ascii="Arial" w:cs="Arial" w:eastAsia="Arial" w:hAnsi="Arial"/>
                <w:sz w:val="18"/>
                <w:szCs w:val="18"/>
                <w:color w:val="auto"/>
              </w:rPr>
              <w:t>8,333</w:t>
            </w:r>
          </w:p>
        </w:tc>
        <w:tc>
          <w:tcPr>
            <w:tcW w:w="800" w:type="dxa"/>
            <w:vAlign w:val="bottom"/>
          </w:tcPr>
          <w:p>
            <w:pPr>
              <w:spacing w:after="0"/>
              <w:rPr>
                <w:sz w:val="18"/>
                <w:szCs w:val="18"/>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8,333</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Lawson Sterling Tate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8,334</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8,334</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Sarah Burkhardt Tate</w:t>
            </w:r>
          </w:p>
        </w:tc>
        <w:tc>
          <w:tcPr>
            <w:tcW w:w="800" w:type="dxa"/>
            <w:vAlign w:val="bottom"/>
          </w:tcPr>
          <w:p>
            <w:pPr>
              <w:jc w:val="right"/>
              <w:spacing w:after="0"/>
              <w:rPr>
                <w:sz w:val="20"/>
                <w:szCs w:val="20"/>
                <w:color w:val="auto"/>
              </w:rPr>
            </w:pPr>
            <w:r>
              <w:rPr>
                <w:rFonts w:ascii="Arial" w:cs="Arial" w:eastAsia="Arial" w:hAnsi="Arial"/>
                <w:sz w:val="18"/>
                <w:szCs w:val="18"/>
                <w:color w:val="auto"/>
              </w:rPr>
              <w:t>8,333</w:t>
            </w:r>
          </w:p>
        </w:tc>
        <w:tc>
          <w:tcPr>
            <w:tcW w:w="800" w:type="dxa"/>
            <w:vAlign w:val="bottom"/>
          </w:tcPr>
          <w:p>
            <w:pPr>
              <w:spacing w:after="0"/>
              <w:rPr>
                <w:sz w:val="18"/>
                <w:szCs w:val="18"/>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8,333</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Vernon Tate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8,333</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8,333</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Douglas A. &amp; Joan Terrell</w:t>
            </w:r>
          </w:p>
        </w:tc>
        <w:tc>
          <w:tcPr>
            <w:tcW w:w="800" w:type="dxa"/>
            <w:vAlign w:val="bottom"/>
          </w:tcPr>
          <w:p>
            <w:pPr>
              <w:jc w:val="right"/>
              <w:spacing w:after="0"/>
              <w:rPr>
                <w:sz w:val="20"/>
                <w:szCs w:val="20"/>
                <w:color w:val="auto"/>
              </w:rPr>
            </w:pPr>
            <w:r>
              <w:rPr>
                <w:rFonts w:ascii="Arial" w:cs="Arial" w:eastAsia="Arial" w:hAnsi="Arial"/>
                <w:sz w:val="18"/>
                <w:szCs w:val="18"/>
                <w:color w:val="auto"/>
              </w:rPr>
              <w:t>25,000</w:t>
            </w:r>
          </w:p>
        </w:tc>
        <w:tc>
          <w:tcPr>
            <w:tcW w:w="800" w:type="dxa"/>
            <w:vAlign w:val="bottom"/>
          </w:tcPr>
          <w:p>
            <w:pPr>
              <w:spacing w:after="0"/>
              <w:rPr>
                <w:sz w:val="18"/>
                <w:szCs w:val="18"/>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25,000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E. Upton Living Trust dtd 7/8/71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25,000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Anthony T. Villelli, Trustee Under that Certain Declaration of</w:t>
            </w: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gridSpan w:val="2"/>
          </w:tcPr>
          <w:p>
            <w:pPr>
              <w:ind w:left="200"/>
              <w:spacing w:after="0"/>
              <w:rPr>
                <w:sz w:val="20"/>
                <w:szCs w:val="20"/>
                <w:color w:val="auto"/>
              </w:rPr>
            </w:pPr>
            <w:r>
              <w:rPr>
                <w:rFonts w:ascii="Arial" w:cs="Arial" w:eastAsia="Arial" w:hAnsi="Arial"/>
                <w:sz w:val="18"/>
                <w:szCs w:val="18"/>
                <w:color w:val="auto"/>
              </w:rPr>
              <w:t>Trust dtd 8/25/66</w:t>
            </w:r>
          </w:p>
        </w:tc>
        <w:tc>
          <w:tcPr>
            <w:tcW w:w="800" w:type="dxa"/>
            <w:vAlign w:val="bottom"/>
          </w:tcPr>
          <w:p>
            <w:pPr>
              <w:jc w:val="right"/>
              <w:spacing w:after="0"/>
              <w:rPr>
                <w:sz w:val="20"/>
                <w:szCs w:val="20"/>
                <w:color w:val="auto"/>
              </w:rPr>
            </w:pPr>
            <w:r>
              <w:rPr>
                <w:rFonts w:ascii="Arial" w:cs="Arial" w:eastAsia="Arial" w:hAnsi="Arial"/>
                <w:sz w:val="18"/>
                <w:szCs w:val="18"/>
                <w:color w:val="auto"/>
              </w:rPr>
              <w:t>25,000</w:t>
            </w:r>
          </w:p>
        </w:tc>
        <w:tc>
          <w:tcPr>
            <w:tcW w:w="800" w:type="dxa"/>
            <w:vAlign w:val="bottom"/>
          </w:tcPr>
          <w:p>
            <w:pPr>
              <w:spacing w:after="0"/>
              <w:rPr>
                <w:sz w:val="19"/>
                <w:szCs w:val="19"/>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25,000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Washington Capital Partnership, LLC</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25,000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Glenn E. White Trust u/a dtd 6/8/95</w:t>
            </w:r>
          </w:p>
        </w:tc>
        <w:tc>
          <w:tcPr>
            <w:tcW w:w="800" w:type="dxa"/>
            <w:vAlign w:val="bottom"/>
          </w:tcPr>
          <w:p>
            <w:pPr>
              <w:jc w:val="right"/>
              <w:spacing w:after="0"/>
              <w:rPr>
                <w:sz w:val="20"/>
                <w:szCs w:val="20"/>
                <w:color w:val="auto"/>
              </w:rPr>
            </w:pPr>
            <w:r>
              <w:rPr>
                <w:rFonts w:ascii="Arial" w:cs="Arial" w:eastAsia="Arial" w:hAnsi="Arial"/>
                <w:sz w:val="18"/>
                <w:szCs w:val="18"/>
                <w:color w:val="auto"/>
              </w:rPr>
              <w:t>35,000</w:t>
            </w:r>
          </w:p>
        </w:tc>
        <w:tc>
          <w:tcPr>
            <w:tcW w:w="800" w:type="dxa"/>
            <w:vAlign w:val="bottom"/>
          </w:tcPr>
          <w:p>
            <w:pPr>
              <w:spacing w:after="0"/>
              <w:rPr>
                <w:sz w:val="18"/>
                <w:szCs w:val="18"/>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35,000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J., Jr. &amp; Marie T. Ziese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10,000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Gary &amp; Carole Zoellner</w:t>
            </w:r>
          </w:p>
        </w:tc>
        <w:tc>
          <w:tcPr>
            <w:tcW w:w="800" w:type="dxa"/>
            <w:vAlign w:val="bottom"/>
          </w:tcPr>
          <w:p>
            <w:pPr>
              <w:jc w:val="right"/>
              <w:spacing w:after="0"/>
              <w:rPr>
                <w:sz w:val="20"/>
                <w:szCs w:val="20"/>
                <w:color w:val="auto"/>
              </w:rPr>
            </w:pPr>
            <w:r>
              <w:rPr>
                <w:rFonts w:ascii="Arial" w:cs="Arial" w:eastAsia="Arial" w:hAnsi="Arial"/>
                <w:sz w:val="18"/>
                <w:szCs w:val="18"/>
                <w:color w:val="auto"/>
              </w:rPr>
              <w:t>190,000</w:t>
            </w:r>
          </w:p>
        </w:tc>
        <w:tc>
          <w:tcPr>
            <w:tcW w:w="800" w:type="dxa"/>
            <w:vAlign w:val="bottom"/>
          </w:tcPr>
          <w:p>
            <w:pPr>
              <w:spacing w:after="0"/>
              <w:rPr>
                <w:sz w:val="18"/>
                <w:szCs w:val="18"/>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190,000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Tara B. Zoellner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2,500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Britney A. Zoellner</w:t>
            </w:r>
          </w:p>
        </w:tc>
        <w:tc>
          <w:tcPr>
            <w:tcW w:w="800" w:type="dxa"/>
            <w:vAlign w:val="bottom"/>
          </w:tcPr>
          <w:p>
            <w:pPr>
              <w:jc w:val="right"/>
              <w:spacing w:after="0"/>
              <w:rPr>
                <w:sz w:val="20"/>
                <w:szCs w:val="20"/>
                <w:color w:val="auto"/>
              </w:rPr>
            </w:pPr>
            <w:r>
              <w:rPr>
                <w:rFonts w:ascii="Arial" w:cs="Arial" w:eastAsia="Arial" w:hAnsi="Arial"/>
                <w:sz w:val="18"/>
                <w:szCs w:val="18"/>
                <w:color w:val="auto"/>
              </w:rPr>
              <w:t>2,500</w:t>
            </w:r>
          </w:p>
        </w:tc>
        <w:tc>
          <w:tcPr>
            <w:tcW w:w="800" w:type="dxa"/>
            <w:vAlign w:val="bottom"/>
          </w:tcPr>
          <w:p>
            <w:pPr>
              <w:spacing w:after="0"/>
              <w:rPr>
                <w:sz w:val="18"/>
                <w:szCs w:val="18"/>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2,500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Courtney L. Zoellner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2,500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Amber M. Zoellner</w:t>
            </w:r>
          </w:p>
        </w:tc>
        <w:tc>
          <w:tcPr>
            <w:tcW w:w="800" w:type="dxa"/>
            <w:vAlign w:val="bottom"/>
          </w:tcPr>
          <w:p>
            <w:pPr>
              <w:jc w:val="right"/>
              <w:spacing w:after="0"/>
              <w:rPr>
                <w:sz w:val="20"/>
                <w:szCs w:val="20"/>
                <w:color w:val="auto"/>
              </w:rPr>
            </w:pPr>
            <w:r>
              <w:rPr>
                <w:rFonts w:ascii="Arial" w:cs="Arial" w:eastAsia="Arial" w:hAnsi="Arial"/>
                <w:sz w:val="18"/>
                <w:szCs w:val="18"/>
                <w:color w:val="auto"/>
              </w:rPr>
              <w:t>2,500</w:t>
            </w:r>
          </w:p>
        </w:tc>
        <w:tc>
          <w:tcPr>
            <w:tcW w:w="800" w:type="dxa"/>
            <w:vAlign w:val="bottom"/>
          </w:tcPr>
          <w:p>
            <w:pPr>
              <w:spacing w:after="0"/>
              <w:rPr>
                <w:sz w:val="18"/>
                <w:szCs w:val="18"/>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2,500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L. Zoellner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20,000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Theodore D. Zucconi</w:t>
            </w:r>
          </w:p>
        </w:tc>
        <w:tc>
          <w:tcPr>
            <w:tcW w:w="800" w:type="dxa"/>
            <w:vAlign w:val="bottom"/>
          </w:tcPr>
          <w:p>
            <w:pPr>
              <w:jc w:val="right"/>
              <w:spacing w:after="0"/>
              <w:rPr>
                <w:sz w:val="20"/>
                <w:szCs w:val="20"/>
                <w:color w:val="auto"/>
              </w:rPr>
            </w:pPr>
            <w:r>
              <w:rPr>
                <w:rFonts w:ascii="Arial" w:cs="Arial" w:eastAsia="Arial" w:hAnsi="Arial"/>
                <w:sz w:val="18"/>
                <w:szCs w:val="18"/>
                <w:color w:val="auto"/>
              </w:rPr>
              <w:t>50,000</w:t>
            </w:r>
          </w:p>
        </w:tc>
        <w:tc>
          <w:tcPr>
            <w:tcW w:w="800" w:type="dxa"/>
            <w:vAlign w:val="bottom"/>
          </w:tcPr>
          <w:p>
            <w:pPr>
              <w:spacing w:after="0"/>
              <w:rPr>
                <w:sz w:val="19"/>
                <w:szCs w:val="19"/>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50,000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Common</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8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88"/>
              </w:rPr>
              <w:t>Common</w:t>
            </w:r>
          </w:p>
        </w:tc>
        <w:tc>
          <w:tcPr>
            <w:tcW w:w="40" w:type="dxa"/>
            <w:vAlign w:val="bottom"/>
          </w:tcPr>
          <w:p>
            <w:pPr>
              <w:spacing w:after="0"/>
              <w:rPr>
                <w:sz w:val="14"/>
                <w:szCs w:val="14"/>
                <w:color w:val="auto"/>
              </w:rPr>
            </w:pPr>
          </w:p>
        </w:tc>
        <w:tc>
          <w:tcPr>
            <w:tcW w:w="11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4"/>
              </w:rPr>
              <w:t>Percentage (2)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Common</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Stock Being</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3"/>
          </w:tcPr>
          <w:p>
            <w:pPr>
              <w:jc w:val="right"/>
              <w:ind w:right="720"/>
              <w:spacing w:after="0" w:line="149" w:lineRule="exact"/>
              <w:rPr>
                <w:sz w:val="20"/>
                <w:szCs w:val="20"/>
                <w:color w:val="auto"/>
              </w:rPr>
            </w:pPr>
            <w:r>
              <w:rPr>
                <w:rFonts w:ascii="Arial" w:cs="Arial" w:eastAsia="Arial" w:hAnsi="Arial"/>
                <w:sz w:val="14"/>
                <w:szCs w:val="14"/>
                <w:b w:val="1"/>
                <w:bCs w:val="1"/>
                <w:color w:val="auto"/>
                <w:w w:val="94"/>
              </w:rPr>
              <w:t>Stock Owned</w:t>
            </w:r>
          </w:p>
        </w:tc>
        <w:tc>
          <w:tcPr>
            <w:tcW w:w="40" w:type="dxa"/>
            <w:vAlign w:val="bottom"/>
          </w:tcPr>
          <w:p>
            <w:pPr>
              <w:spacing w:after="0"/>
              <w:rPr>
                <w:sz w:val="12"/>
                <w:szCs w:val="12"/>
                <w:color w:val="auto"/>
              </w:rPr>
            </w:pPr>
          </w:p>
        </w:tc>
        <w:tc>
          <w:tcPr>
            <w:tcW w:w="11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Stock Owned</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Offered</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3"/>
              </w:rPr>
              <w:t>Upon</w:t>
            </w:r>
          </w:p>
        </w:tc>
        <w:tc>
          <w:tcPr>
            <w:tcW w:w="40" w:type="dxa"/>
            <w:vAlign w:val="bottom"/>
          </w:tcPr>
          <w:p>
            <w:pPr>
              <w:spacing w:after="0"/>
              <w:rPr>
                <w:sz w:val="12"/>
                <w:szCs w:val="12"/>
                <w:color w:val="auto"/>
              </w:rPr>
            </w:pPr>
          </w:p>
        </w:tc>
        <w:tc>
          <w:tcPr>
            <w:tcW w:w="11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Owned Upon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Prior to the</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Pursuant to</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Completion of</w:t>
            </w:r>
          </w:p>
        </w:tc>
        <w:tc>
          <w:tcPr>
            <w:tcW w:w="40" w:type="dxa"/>
            <w:vAlign w:val="bottom"/>
          </w:tcPr>
          <w:p>
            <w:pPr>
              <w:spacing w:after="0"/>
              <w:rPr>
                <w:sz w:val="12"/>
                <w:szCs w:val="12"/>
                <w:color w:val="auto"/>
              </w:rPr>
            </w:pPr>
          </w:p>
        </w:tc>
        <w:tc>
          <w:tcPr>
            <w:tcW w:w="11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Completion of</w:t>
            </w:r>
          </w:p>
        </w:tc>
        <w:tc>
          <w:tcPr>
            <w:tcW w:w="0" w:type="dxa"/>
            <w:vAlign w:val="bottom"/>
          </w:tcPr>
          <w:p>
            <w:pPr>
              <w:spacing w:after="0"/>
              <w:rPr>
                <w:sz w:val="1"/>
                <w:szCs w:val="1"/>
                <w:color w:val="auto"/>
              </w:rPr>
            </w:pPr>
          </w:p>
        </w:tc>
      </w:tr>
      <w:tr>
        <w:trPr>
          <w:trHeight w:val="174"/>
        </w:trPr>
        <w:tc>
          <w:tcPr>
            <w:tcW w:w="5420" w:type="dxa"/>
            <w:vAlign w:val="bottom"/>
            <w:gridSpan w:val="3"/>
          </w:tcPr>
          <w:p>
            <w:pPr>
              <w:spacing w:after="0"/>
              <w:rPr>
                <w:sz w:val="20"/>
                <w:szCs w:val="20"/>
                <w:color w:val="auto"/>
              </w:rPr>
            </w:pPr>
            <w:r>
              <w:rPr>
                <w:rFonts w:ascii="Arial" w:cs="Arial" w:eastAsia="Arial" w:hAnsi="Arial"/>
                <w:sz w:val="14"/>
                <w:szCs w:val="14"/>
                <w:b w:val="1"/>
                <w:bCs w:val="1"/>
                <w:color w:val="auto"/>
              </w:rPr>
              <w:t>Name of Selling Stockholder</w:t>
            </w:r>
          </w:p>
        </w:tc>
        <w:tc>
          <w:tcPr>
            <w:tcW w:w="100" w:type="dxa"/>
            <w:vAlign w:val="bottom"/>
          </w:tcPr>
          <w:p>
            <w:pPr>
              <w:spacing w:after="0"/>
              <w:rPr>
                <w:sz w:val="15"/>
                <w:szCs w:val="15"/>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Offering</w:t>
            </w: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3"/>
              </w:rPr>
              <w:t>this Prospectus</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8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0"/>
              </w:rPr>
              <w:t>this Offering (1)</w:t>
            </w:r>
          </w:p>
        </w:tc>
        <w:tc>
          <w:tcPr>
            <w:tcW w:w="40" w:type="dxa"/>
            <w:vAlign w:val="bottom"/>
          </w:tcPr>
          <w:p>
            <w:pPr>
              <w:spacing w:after="0"/>
              <w:rPr>
                <w:sz w:val="15"/>
                <w:szCs w:val="15"/>
                <w:color w:val="auto"/>
              </w:rPr>
            </w:pPr>
          </w:p>
        </w:tc>
        <w:tc>
          <w:tcPr>
            <w:tcW w:w="11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this Offering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3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8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Newbury Piret Companies, Inc.</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1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Financial World Corp.</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2,750</w:t>
            </w:r>
          </w:p>
        </w:tc>
        <w:tc>
          <w:tcPr>
            <w:tcW w:w="1600" w:type="dxa"/>
            <w:vAlign w:val="bottom"/>
            <w:gridSpan w:val="4"/>
          </w:tcPr>
          <w:p>
            <w:pPr>
              <w:jc w:val="right"/>
              <w:spacing w:after="0"/>
              <w:rPr>
                <w:sz w:val="20"/>
                <w:szCs w:val="20"/>
                <w:color w:val="auto"/>
              </w:rPr>
            </w:pPr>
            <w:r>
              <w:rPr>
                <w:rFonts w:ascii="Arial" w:cs="Arial" w:eastAsia="Arial" w:hAnsi="Arial"/>
                <w:sz w:val="18"/>
                <w:szCs w:val="18"/>
                <w:color w:val="auto"/>
              </w:rPr>
              <w:t>2,750</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8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14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Russ Trading Inc.</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72,463</w:t>
            </w:r>
          </w:p>
        </w:tc>
        <w:tc>
          <w:tcPr>
            <w:tcW w:w="1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72,463</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1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Tomlinson Programs, Inc.</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30,400</w:t>
            </w:r>
          </w:p>
        </w:tc>
        <w:tc>
          <w:tcPr>
            <w:tcW w:w="1600" w:type="dxa"/>
            <w:vAlign w:val="bottom"/>
            <w:gridSpan w:val="4"/>
          </w:tcPr>
          <w:p>
            <w:pPr>
              <w:jc w:val="right"/>
              <w:spacing w:after="0"/>
              <w:rPr>
                <w:sz w:val="20"/>
                <w:szCs w:val="20"/>
                <w:color w:val="auto"/>
              </w:rPr>
            </w:pPr>
            <w:r>
              <w:rPr>
                <w:rFonts w:ascii="Arial" w:cs="Arial" w:eastAsia="Arial" w:hAnsi="Arial"/>
                <w:sz w:val="18"/>
                <w:szCs w:val="18"/>
                <w:color w:val="auto"/>
              </w:rPr>
              <w:t>30,400</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8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14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Subtotal of Shares being Registered</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11,760,462</w:t>
            </w:r>
          </w:p>
        </w:tc>
        <w:tc>
          <w:tcPr>
            <w:tcW w:w="1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7,310,573</w:t>
            </w:r>
          </w:p>
        </w:tc>
        <w:tc>
          <w:tcPr>
            <w:tcW w:w="1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4,449,889</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10280" w:type="dxa"/>
            <w:vAlign w:val="bottom"/>
            <w:gridSpan w:val="15"/>
          </w:tcPr>
          <w:p>
            <w:pPr>
              <w:spacing w:after="0"/>
              <w:rPr>
                <w:sz w:val="20"/>
                <w:szCs w:val="20"/>
                <w:color w:val="auto"/>
              </w:rPr>
            </w:pPr>
            <w:r>
              <w:rPr>
                <w:rFonts w:ascii="Arial" w:cs="Arial" w:eastAsia="Arial" w:hAnsi="Arial"/>
                <w:sz w:val="18"/>
                <w:szCs w:val="18"/>
                <w:b w:val="1"/>
                <w:bCs w:val="1"/>
                <w:color w:val="auto"/>
                <w:w w:val="87"/>
              </w:rPr>
              <w:t>Table of Selling Stockholders Offering Shares Previously Registered on Form SB-2 and Included in this Prospectus Pursuant to Rule 429</w:t>
            </w: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5"/>
              </w:rPr>
              <w:t>Common</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88"/>
              </w:rPr>
              <w:t>Common</w:t>
            </w:r>
          </w:p>
        </w:tc>
        <w:tc>
          <w:tcPr>
            <w:tcW w:w="11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4"/>
              </w:rPr>
              <w:t>Percentage (2)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3"/>
              </w:rPr>
              <w:t>Stock Being</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3"/>
          </w:tcPr>
          <w:p>
            <w:pPr>
              <w:jc w:val="right"/>
              <w:ind w:right="760"/>
              <w:spacing w:after="0" w:line="149" w:lineRule="exact"/>
              <w:rPr>
                <w:sz w:val="20"/>
                <w:szCs w:val="20"/>
                <w:color w:val="auto"/>
              </w:rPr>
            </w:pPr>
            <w:r>
              <w:rPr>
                <w:rFonts w:ascii="Arial" w:cs="Arial" w:eastAsia="Arial" w:hAnsi="Arial"/>
                <w:sz w:val="14"/>
                <w:szCs w:val="14"/>
                <w:b w:val="1"/>
                <w:bCs w:val="1"/>
                <w:color w:val="auto"/>
                <w:w w:val="90"/>
              </w:rPr>
              <w:t>Stock Owned</w:t>
            </w:r>
          </w:p>
        </w:tc>
        <w:tc>
          <w:tcPr>
            <w:tcW w:w="40" w:type="dxa"/>
            <w:vAlign w:val="bottom"/>
          </w:tcPr>
          <w:p>
            <w:pPr>
              <w:spacing w:after="0"/>
              <w:rPr>
                <w:sz w:val="12"/>
                <w:szCs w:val="12"/>
                <w:color w:val="auto"/>
              </w:rPr>
            </w:pPr>
          </w:p>
        </w:tc>
        <w:tc>
          <w:tcPr>
            <w:tcW w:w="11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Stock Owned</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Offered</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3"/>
              </w:rPr>
              <w:t>Upon</w:t>
            </w:r>
          </w:p>
        </w:tc>
        <w:tc>
          <w:tcPr>
            <w:tcW w:w="40" w:type="dxa"/>
            <w:vAlign w:val="bottom"/>
          </w:tcPr>
          <w:p>
            <w:pPr>
              <w:spacing w:after="0"/>
              <w:rPr>
                <w:sz w:val="12"/>
                <w:szCs w:val="12"/>
                <w:color w:val="auto"/>
              </w:rPr>
            </w:pPr>
          </w:p>
        </w:tc>
        <w:tc>
          <w:tcPr>
            <w:tcW w:w="11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Owned Upon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Prior to the</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Pursuant to</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3"/>
          </w:tcPr>
          <w:p>
            <w:pPr>
              <w:jc w:val="right"/>
              <w:ind w:right="740"/>
              <w:spacing w:after="0" w:line="149" w:lineRule="exact"/>
              <w:rPr>
                <w:sz w:val="20"/>
                <w:szCs w:val="20"/>
                <w:color w:val="auto"/>
              </w:rPr>
            </w:pPr>
            <w:r>
              <w:rPr>
                <w:rFonts w:ascii="Arial" w:cs="Arial" w:eastAsia="Arial" w:hAnsi="Arial"/>
                <w:sz w:val="14"/>
                <w:szCs w:val="14"/>
                <w:b w:val="1"/>
                <w:bCs w:val="1"/>
                <w:color w:val="auto"/>
                <w:w w:val="87"/>
              </w:rPr>
              <w:t>Completion of</w:t>
            </w:r>
          </w:p>
        </w:tc>
        <w:tc>
          <w:tcPr>
            <w:tcW w:w="40" w:type="dxa"/>
            <w:vAlign w:val="bottom"/>
          </w:tcPr>
          <w:p>
            <w:pPr>
              <w:spacing w:after="0"/>
              <w:rPr>
                <w:sz w:val="12"/>
                <w:szCs w:val="12"/>
                <w:color w:val="auto"/>
              </w:rPr>
            </w:pPr>
          </w:p>
        </w:tc>
        <w:tc>
          <w:tcPr>
            <w:tcW w:w="11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Completion of</w:t>
            </w:r>
          </w:p>
        </w:tc>
        <w:tc>
          <w:tcPr>
            <w:tcW w:w="0" w:type="dxa"/>
            <w:vAlign w:val="bottom"/>
          </w:tcPr>
          <w:p>
            <w:pPr>
              <w:spacing w:after="0"/>
              <w:rPr>
                <w:sz w:val="1"/>
                <w:szCs w:val="1"/>
                <w:color w:val="auto"/>
              </w:rPr>
            </w:pPr>
          </w:p>
        </w:tc>
      </w:tr>
      <w:tr>
        <w:trPr>
          <w:trHeight w:val="174"/>
        </w:trPr>
        <w:tc>
          <w:tcPr>
            <w:tcW w:w="5420" w:type="dxa"/>
            <w:vAlign w:val="bottom"/>
            <w:gridSpan w:val="3"/>
          </w:tcPr>
          <w:p>
            <w:pPr>
              <w:spacing w:after="0"/>
              <w:rPr>
                <w:sz w:val="20"/>
                <w:szCs w:val="20"/>
                <w:color w:val="auto"/>
              </w:rPr>
            </w:pPr>
            <w:r>
              <w:rPr>
                <w:rFonts w:ascii="Arial" w:cs="Arial" w:eastAsia="Arial" w:hAnsi="Arial"/>
                <w:sz w:val="14"/>
                <w:szCs w:val="14"/>
                <w:b w:val="1"/>
                <w:bCs w:val="1"/>
                <w:color w:val="auto"/>
              </w:rPr>
              <w:t>Name of Selling Stockholder</w:t>
            </w:r>
          </w:p>
        </w:tc>
        <w:tc>
          <w:tcPr>
            <w:tcW w:w="100" w:type="dxa"/>
            <w:vAlign w:val="bottom"/>
          </w:tcPr>
          <w:p>
            <w:pPr>
              <w:spacing w:after="0"/>
              <w:rPr>
                <w:sz w:val="15"/>
                <w:szCs w:val="15"/>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Offering</w:t>
            </w:r>
          </w:p>
        </w:tc>
        <w:tc>
          <w:tcPr>
            <w:tcW w:w="680" w:type="dxa"/>
            <w:vAlign w:val="bottom"/>
          </w:tcPr>
          <w:p>
            <w:pPr>
              <w:spacing w:after="0"/>
              <w:rPr>
                <w:sz w:val="15"/>
                <w:szCs w:val="15"/>
                <w:color w:val="auto"/>
              </w:rPr>
            </w:pPr>
          </w:p>
        </w:tc>
        <w:tc>
          <w:tcPr>
            <w:tcW w:w="9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3"/>
              </w:rPr>
              <w:t>this Prospectus</w:t>
            </w:r>
          </w:p>
        </w:tc>
        <w:tc>
          <w:tcPr>
            <w:tcW w:w="640" w:type="dxa"/>
            <w:vAlign w:val="bottom"/>
          </w:tcPr>
          <w:p>
            <w:pPr>
              <w:spacing w:after="0"/>
              <w:rPr>
                <w:sz w:val="15"/>
                <w:szCs w:val="15"/>
                <w:color w:val="auto"/>
              </w:rPr>
            </w:pPr>
          </w:p>
        </w:tc>
        <w:tc>
          <w:tcPr>
            <w:tcW w:w="1620" w:type="dxa"/>
            <w:vAlign w:val="bottom"/>
            <w:gridSpan w:val="4"/>
          </w:tcPr>
          <w:p>
            <w:pPr>
              <w:jc w:val="center"/>
              <w:ind w:right="680"/>
              <w:spacing w:after="0"/>
              <w:rPr>
                <w:sz w:val="20"/>
                <w:szCs w:val="20"/>
                <w:color w:val="auto"/>
              </w:rPr>
            </w:pPr>
            <w:r>
              <w:rPr>
                <w:rFonts w:ascii="Arial" w:cs="Arial" w:eastAsia="Arial" w:hAnsi="Arial"/>
                <w:sz w:val="14"/>
                <w:szCs w:val="14"/>
                <w:b w:val="1"/>
                <w:bCs w:val="1"/>
                <w:color w:val="auto"/>
                <w:w w:val="90"/>
              </w:rPr>
              <w:t>this Offering (1)</w:t>
            </w:r>
          </w:p>
        </w:tc>
        <w:tc>
          <w:tcPr>
            <w:tcW w:w="40" w:type="dxa"/>
            <w:vAlign w:val="bottom"/>
          </w:tcPr>
          <w:p>
            <w:pPr>
              <w:spacing w:after="0"/>
              <w:rPr>
                <w:sz w:val="15"/>
                <w:szCs w:val="15"/>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8"/>
              </w:rPr>
              <w:t>this Offering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0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80" w:type="dxa"/>
            <w:vAlign w:val="bottom"/>
            <w:gridSpan w:val="2"/>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80" w:type="dxa"/>
            <w:vAlign w:val="bottom"/>
            <w:gridSpan w:val="2"/>
          </w:tcPr>
          <w:p>
            <w:pPr>
              <w:spacing w:after="0"/>
              <w:rPr>
                <w:sz w:val="8"/>
                <w:szCs w:val="8"/>
                <w:color w:val="auto"/>
              </w:rPr>
            </w:pPr>
          </w:p>
        </w:tc>
        <w:tc>
          <w:tcPr>
            <w:tcW w:w="1000" w:type="dxa"/>
            <w:vAlign w:val="bottom"/>
            <w:gridSpan w:val="2"/>
          </w:tcPr>
          <w:p>
            <w:pPr>
              <w:spacing w:after="0"/>
              <w:rPr>
                <w:sz w:val="8"/>
                <w:szCs w:val="8"/>
                <w:color w:val="auto"/>
              </w:rPr>
            </w:pPr>
          </w:p>
        </w:tc>
        <w:tc>
          <w:tcPr>
            <w:tcW w:w="1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80" w:type="dxa"/>
            <w:vAlign w:val="bottom"/>
            <w:tcBorders>
              <w:top w:val="single" w:sz="8" w:color="auto"/>
            </w:tcBorders>
          </w:tcPr>
          <w:p>
            <w:pPr>
              <w:spacing w:after="0"/>
              <w:rPr>
                <w:sz w:val="8"/>
                <w:szCs w:val="8"/>
                <w:color w:val="auto"/>
              </w:rPr>
            </w:pPr>
          </w:p>
        </w:tc>
        <w:tc>
          <w:tcPr>
            <w:tcW w:w="3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Kathleen C. Anderson</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183</w:t>
            </w:r>
          </w:p>
        </w:tc>
        <w:tc>
          <w:tcPr>
            <w:tcW w:w="16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183</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Avrit Family Trust dtd 9/29/92 Robert R. Avrit &amp; Marilyn W. Avrit</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gridSpan w:val="2"/>
          </w:tcPr>
          <w:p>
            <w:pPr>
              <w:ind w:left="200"/>
              <w:spacing w:after="0"/>
              <w:rPr>
                <w:sz w:val="20"/>
                <w:szCs w:val="20"/>
                <w:color w:val="auto"/>
              </w:rPr>
            </w:pPr>
            <w:r>
              <w:rPr>
                <w:rFonts w:ascii="Arial" w:cs="Arial" w:eastAsia="Arial" w:hAnsi="Arial"/>
                <w:sz w:val="18"/>
                <w:szCs w:val="18"/>
                <w:color w:val="auto"/>
              </w:rPr>
              <w:t>TTE</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7,000</w:t>
            </w:r>
          </w:p>
        </w:tc>
        <w:tc>
          <w:tcPr>
            <w:tcW w:w="1600" w:type="dxa"/>
            <w:vAlign w:val="bottom"/>
            <w:gridSpan w:val="4"/>
          </w:tcPr>
          <w:p>
            <w:pPr>
              <w:jc w:val="right"/>
              <w:ind w:right="40"/>
              <w:spacing w:after="0"/>
              <w:rPr>
                <w:sz w:val="20"/>
                <w:szCs w:val="20"/>
                <w:color w:val="auto"/>
              </w:rPr>
            </w:pPr>
            <w:r>
              <w:rPr>
                <w:rFonts w:ascii="Arial" w:cs="Arial" w:eastAsia="Arial" w:hAnsi="Arial"/>
                <w:sz w:val="18"/>
                <w:szCs w:val="18"/>
                <w:color w:val="auto"/>
              </w:rPr>
              <w:t>7,000</w:t>
            </w: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80" w:type="dxa"/>
            <w:vAlign w:val="bottom"/>
            <w:gridSpan w:val="3"/>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Gertrude Barbush</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334</w:t>
            </w:r>
          </w:p>
        </w:tc>
        <w:tc>
          <w:tcPr>
            <w:tcW w:w="16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334</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C. Eileen Bastian</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7,000</w:t>
            </w:r>
          </w:p>
        </w:tc>
        <w:tc>
          <w:tcPr>
            <w:tcW w:w="1600" w:type="dxa"/>
            <w:vAlign w:val="bottom"/>
            <w:gridSpan w:val="4"/>
          </w:tcPr>
          <w:p>
            <w:pPr>
              <w:jc w:val="right"/>
              <w:ind w:right="40"/>
              <w:spacing w:after="0"/>
              <w:rPr>
                <w:sz w:val="20"/>
                <w:szCs w:val="20"/>
                <w:color w:val="auto"/>
              </w:rPr>
            </w:pPr>
            <w:r>
              <w:rPr>
                <w:rFonts w:ascii="Arial" w:cs="Arial" w:eastAsia="Arial" w:hAnsi="Arial"/>
                <w:sz w:val="18"/>
                <w:szCs w:val="18"/>
                <w:color w:val="auto"/>
              </w:rPr>
              <w:t>7,000</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80" w:type="dxa"/>
            <w:vAlign w:val="bottom"/>
            <w:gridSpan w:val="3"/>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J. &amp; Loretta Beakey</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10,275</w:t>
            </w:r>
          </w:p>
        </w:tc>
        <w:tc>
          <w:tcPr>
            <w:tcW w:w="16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10,275</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David A. Beckerman</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14,000</w:t>
            </w:r>
          </w:p>
        </w:tc>
        <w:tc>
          <w:tcPr>
            <w:tcW w:w="1600" w:type="dxa"/>
            <w:vAlign w:val="bottom"/>
            <w:gridSpan w:val="4"/>
          </w:tcPr>
          <w:p>
            <w:pPr>
              <w:jc w:val="right"/>
              <w:ind w:right="40"/>
              <w:spacing w:after="0"/>
              <w:rPr>
                <w:sz w:val="20"/>
                <w:szCs w:val="20"/>
                <w:color w:val="auto"/>
              </w:rPr>
            </w:pPr>
            <w:r>
              <w:rPr>
                <w:rFonts w:ascii="Arial" w:cs="Arial" w:eastAsia="Arial" w:hAnsi="Arial"/>
                <w:sz w:val="18"/>
                <w:szCs w:val="18"/>
                <w:color w:val="auto"/>
              </w:rPr>
              <w:t>14,000</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80" w:type="dxa"/>
            <w:vAlign w:val="bottom"/>
            <w:gridSpan w:val="3"/>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Adrienne Berkman</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7,000</w:t>
            </w:r>
          </w:p>
        </w:tc>
        <w:tc>
          <w:tcPr>
            <w:tcW w:w="16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7,000</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Milton Berlinski</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50,795</w:t>
            </w:r>
          </w:p>
        </w:tc>
        <w:tc>
          <w:tcPr>
            <w:tcW w:w="1600" w:type="dxa"/>
            <w:vAlign w:val="bottom"/>
            <w:gridSpan w:val="4"/>
          </w:tcPr>
          <w:p>
            <w:pPr>
              <w:jc w:val="right"/>
              <w:ind w:right="40"/>
              <w:spacing w:after="0"/>
              <w:rPr>
                <w:sz w:val="20"/>
                <w:szCs w:val="20"/>
                <w:color w:val="auto"/>
              </w:rPr>
            </w:pPr>
            <w:r>
              <w:rPr>
                <w:rFonts w:ascii="Arial" w:cs="Arial" w:eastAsia="Arial" w:hAnsi="Arial"/>
                <w:sz w:val="18"/>
                <w:szCs w:val="18"/>
                <w:color w:val="auto"/>
              </w:rPr>
              <w:t>50,795</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80" w:type="dxa"/>
            <w:vAlign w:val="bottom"/>
            <w:gridSpan w:val="3"/>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F. &amp; Donna F. Biehl</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10,318</w:t>
            </w:r>
          </w:p>
        </w:tc>
        <w:tc>
          <w:tcPr>
            <w:tcW w:w="16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10,318</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Offer Binder (3)</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1,185,467</w:t>
            </w:r>
          </w:p>
        </w:tc>
        <w:tc>
          <w:tcPr>
            <w:tcW w:w="1600" w:type="dxa"/>
            <w:vAlign w:val="bottom"/>
            <w:gridSpan w:val="4"/>
          </w:tcPr>
          <w:p>
            <w:pPr>
              <w:jc w:val="right"/>
              <w:ind w:right="40"/>
              <w:spacing w:after="0"/>
              <w:rPr>
                <w:sz w:val="20"/>
                <w:szCs w:val="20"/>
                <w:color w:val="auto"/>
              </w:rPr>
            </w:pPr>
            <w:r>
              <w:rPr>
                <w:rFonts w:ascii="Arial" w:cs="Arial" w:eastAsia="Arial" w:hAnsi="Arial"/>
                <w:sz w:val="18"/>
                <w:szCs w:val="18"/>
                <w:color w:val="auto"/>
              </w:rPr>
              <w:t>50,000</w:t>
            </w:r>
          </w:p>
        </w:tc>
        <w:tc>
          <w:tcPr>
            <w:tcW w:w="1620" w:type="dxa"/>
            <w:vAlign w:val="bottom"/>
            <w:gridSpan w:val="4"/>
          </w:tcPr>
          <w:p>
            <w:pPr>
              <w:jc w:val="right"/>
              <w:ind w:right="40"/>
              <w:spacing w:after="0"/>
              <w:rPr>
                <w:sz w:val="20"/>
                <w:szCs w:val="20"/>
                <w:color w:val="auto"/>
              </w:rPr>
            </w:pPr>
            <w:r>
              <w:rPr>
                <w:rFonts w:ascii="Arial" w:cs="Arial" w:eastAsia="Arial" w:hAnsi="Arial"/>
                <w:sz w:val="18"/>
                <w:szCs w:val="18"/>
                <w:color w:val="auto"/>
              </w:rPr>
              <w:t>1,135,467</w:t>
            </w:r>
          </w:p>
        </w:tc>
        <w:tc>
          <w:tcPr>
            <w:tcW w:w="640" w:type="dxa"/>
            <w:vAlign w:val="bottom"/>
          </w:tcPr>
          <w:p>
            <w:pPr>
              <w:spacing w:after="0"/>
              <w:rPr>
                <w:sz w:val="18"/>
                <w:szCs w:val="18"/>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Merlin Bingham</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10,167</w:t>
            </w:r>
          </w:p>
        </w:tc>
        <w:tc>
          <w:tcPr>
            <w:tcW w:w="16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10,167</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Theresa S. Block</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2,167</w:t>
            </w:r>
          </w:p>
        </w:tc>
        <w:tc>
          <w:tcPr>
            <w:tcW w:w="1600" w:type="dxa"/>
            <w:vAlign w:val="bottom"/>
            <w:gridSpan w:val="4"/>
          </w:tcPr>
          <w:p>
            <w:pPr>
              <w:jc w:val="right"/>
              <w:ind w:right="40"/>
              <w:spacing w:after="0"/>
              <w:rPr>
                <w:sz w:val="20"/>
                <w:szCs w:val="20"/>
                <w:color w:val="auto"/>
              </w:rPr>
            </w:pPr>
            <w:r>
              <w:rPr>
                <w:rFonts w:ascii="Arial" w:cs="Arial" w:eastAsia="Arial" w:hAnsi="Arial"/>
                <w:sz w:val="18"/>
                <w:szCs w:val="18"/>
                <w:color w:val="auto"/>
              </w:rPr>
              <w:t>2,167</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80" w:type="dxa"/>
            <w:vAlign w:val="bottom"/>
            <w:gridSpan w:val="3"/>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Kent Bond</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16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Brad M. Bristol</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333</w:t>
            </w:r>
          </w:p>
        </w:tc>
        <w:tc>
          <w:tcPr>
            <w:tcW w:w="1600" w:type="dxa"/>
            <w:vAlign w:val="bottom"/>
            <w:gridSpan w:val="4"/>
          </w:tcPr>
          <w:p>
            <w:pPr>
              <w:jc w:val="right"/>
              <w:ind w:right="40"/>
              <w:spacing w:after="0"/>
              <w:rPr>
                <w:sz w:val="20"/>
                <w:szCs w:val="20"/>
                <w:color w:val="auto"/>
              </w:rPr>
            </w:pPr>
            <w:r>
              <w:rPr>
                <w:rFonts w:ascii="Arial" w:cs="Arial" w:eastAsia="Arial" w:hAnsi="Arial"/>
                <w:sz w:val="18"/>
                <w:szCs w:val="18"/>
                <w:color w:val="auto"/>
              </w:rPr>
              <w:t>333</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80" w:type="dxa"/>
            <w:vAlign w:val="bottom"/>
            <w:gridSpan w:val="3"/>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Laurence W. Bunde</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47,000</w:t>
            </w:r>
          </w:p>
        </w:tc>
        <w:tc>
          <w:tcPr>
            <w:tcW w:w="16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47,000</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Michael D. Callister</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67</w:t>
            </w:r>
          </w:p>
        </w:tc>
        <w:tc>
          <w:tcPr>
            <w:tcW w:w="1600" w:type="dxa"/>
            <w:vAlign w:val="bottom"/>
            <w:gridSpan w:val="4"/>
          </w:tcPr>
          <w:p>
            <w:pPr>
              <w:jc w:val="right"/>
              <w:ind w:right="40"/>
              <w:spacing w:after="0"/>
              <w:rPr>
                <w:sz w:val="20"/>
                <w:szCs w:val="20"/>
                <w:color w:val="auto"/>
              </w:rPr>
            </w:pPr>
            <w:r>
              <w:rPr>
                <w:rFonts w:ascii="Arial" w:cs="Arial" w:eastAsia="Arial" w:hAnsi="Arial"/>
                <w:sz w:val="18"/>
                <w:szCs w:val="18"/>
                <w:color w:val="auto"/>
              </w:rPr>
              <w:t>67</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80" w:type="dxa"/>
            <w:vAlign w:val="bottom"/>
            <w:gridSpan w:val="3"/>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Lesley R. Carlson</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25,849</w:t>
            </w:r>
          </w:p>
        </w:tc>
        <w:tc>
          <w:tcPr>
            <w:tcW w:w="16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25,849</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Jason A. Chess</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10,360</w:t>
            </w:r>
          </w:p>
        </w:tc>
        <w:tc>
          <w:tcPr>
            <w:tcW w:w="1600" w:type="dxa"/>
            <w:vAlign w:val="bottom"/>
            <w:gridSpan w:val="4"/>
          </w:tcPr>
          <w:p>
            <w:pPr>
              <w:jc w:val="right"/>
              <w:ind w:right="40"/>
              <w:spacing w:after="0"/>
              <w:rPr>
                <w:sz w:val="20"/>
                <w:szCs w:val="20"/>
                <w:color w:val="auto"/>
              </w:rPr>
            </w:pPr>
            <w:r>
              <w:rPr>
                <w:rFonts w:ascii="Arial" w:cs="Arial" w:eastAsia="Arial" w:hAnsi="Arial"/>
                <w:sz w:val="18"/>
                <w:szCs w:val="18"/>
                <w:color w:val="auto"/>
              </w:rPr>
              <w:t>10,360</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80" w:type="dxa"/>
            <w:vAlign w:val="bottom"/>
            <w:gridSpan w:val="3"/>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J. Chlebecek</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6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Dale A. Christie</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7,000</w:t>
            </w:r>
          </w:p>
        </w:tc>
        <w:tc>
          <w:tcPr>
            <w:tcW w:w="1600" w:type="dxa"/>
            <w:vAlign w:val="bottom"/>
            <w:gridSpan w:val="4"/>
          </w:tcPr>
          <w:p>
            <w:pPr>
              <w:jc w:val="right"/>
              <w:ind w:right="40"/>
              <w:spacing w:after="0"/>
              <w:rPr>
                <w:sz w:val="20"/>
                <w:szCs w:val="20"/>
                <w:color w:val="auto"/>
              </w:rPr>
            </w:pPr>
            <w:r>
              <w:rPr>
                <w:rFonts w:ascii="Arial" w:cs="Arial" w:eastAsia="Arial" w:hAnsi="Arial"/>
                <w:sz w:val="18"/>
                <w:szCs w:val="18"/>
                <w:color w:val="auto"/>
              </w:rPr>
              <w:t>7,000</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80" w:type="dxa"/>
            <w:vAlign w:val="bottom"/>
            <w:gridSpan w:val="3"/>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Dale Conaway (9)</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16,966</w:t>
            </w:r>
          </w:p>
        </w:tc>
        <w:tc>
          <w:tcPr>
            <w:tcW w:w="16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6,216</w:t>
            </w:r>
          </w:p>
        </w:tc>
        <w:tc>
          <w:tcPr>
            <w:tcW w:w="16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10,750</w:t>
            </w:r>
          </w:p>
        </w:tc>
        <w:tc>
          <w:tcPr>
            <w:tcW w:w="64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Dale &amp; Carla J. Conaway (9)</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6,630</w:t>
            </w:r>
          </w:p>
        </w:tc>
        <w:tc>
          <w:tcPr>
            <w:tcW w:w="1600" w:type="dxa"/>
            <w:vAlign w:val="bottom"/>
            <w:gridSpan w:val="4"/>
          </w:tcPr>
          <w:p>
            <w:pPr>
              <w:jc w:val="right"/>
              <w:ind w:right="40"/>
              <w:spacing w:after="0"/>
              <w:rPr>
                <w:sz w:val="20"/>
                <w:szCs w:val="20"/>
                <w:color w:val="auto"/>
              </w:rPr>
            </w:pPr>
            <w:r>
              <w:rPr>
                <w:rFonts w:ascii="Arial" w:cs="Arial" w:eastAsia="Arial" w:hAnsi="Arial"/>
                <w:sz w:val="18"/>
                <w:szCs w:val="18"/>
                <w:color w:val="auto"/>
              </w:rPr>
              <w:t>6,630</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80" w:type="dxa"/>
            <w:vAlign w:val="bottom"/>
            <w:gridSpan w:val="3"/>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R. &amp; Cheryl L. Crane</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51,445</w:t>
            </w:r>
          </w:p>
        </w:tc>
        <w:tc>
          <w:tcPr>
            <w:tcW w:w="16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51,445</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James Czirr (10)</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4,779,768</w:t>
            </w:r>
          </w:p>
        </w:tc>
        <w:tc>
          <w:tcPr>
            <w:tcW w:w="1600" w:type="dxa"/>
            <w:vAlign w:val="bottom"/>
            <w:gridSpan w:val="4"/>
          </w:tcPr>
          <w:p>
            <w:pPr>
              <w:jc w:val="right"/>
              <w:ind w:right="40"/>
              <w:spacing w:after="0"/>
              <w:rPr>
                <w:sz w:val="20"/>
                <w:szCs w:val="20"/>
                <w:color w:val="auto"/>
              </w:rPr>
            </w:pPr>
            <w:r>
              <w:rPr>
                <w:rFonts w:ascii="Arial" w:cs="Arial" w:eastAsia="Arial" w:hAnsi="Arial"/>
                <w:sz w:val="18"/>
                <w:szCs w:val="18"/>
                <w:color w:val="auto"/>
              </w:rPr>
              <w:t>125,000</w:t>
            </w:r>
          </w:p>
        </w:tc>
        <w:tc>
          <w:tcPr>
            <w:tcW w:w="1620" w:type="dxa"/>
            <w:vAlign w:val="bottom"/>
            <w:gridSpan w:val="4"/>
          </w:tcPr>
          <w:p>
            <w:pPr>
              <w:jc w:val="right"/>
              <w:ind w:right="40"/>
              <w:spacing w:after="0"/>
              <w:rPr>
                <w:sz w:val="20"/>
                <w:szCs w:val="20"/>
                <w:color w:val="auto"/>
              </w:rPr>
            </w:pPr>
            <w:r>
              <w:rPr>
                <w:rFonts w:ascii="Arial" w:cs="Arial" w:eastAsia="Arial" w:hAnsi="Arial"/>
                <w:sz w:val="18"/>
                <w:szCs w:val="18"/>
                <w:color w:val="auto"/>
              </w:rPr>
              <w:t>4,654,768</w:t>
            </w:r>
          </w:p>
        </w:tc>
        <w:tc>
          <w:tcPr>
            <w:tcW w:w="640" w:type="dxa"/>
            <w:vAlign w:val="bottom"/>
          </w:tcPr>
          <w:p>
            <w:pPr>
              <w:spacing w:after="0"/>
              <w:rPr>
                <w:sz w:val="18"/>
                <w:szCs w:val="18"/>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Jerry &amp; Susan O. Dowdy</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14,000</w:t>
            </w:r>
          </w:p>
        </w:tc>
        <w:tc>
          <w:tcPr>
            <w:tcW w:w="16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14,000</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Vladimir Drits</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10,000</w:t>
            </w:r>
          </w:p>
        </w:tc>
        <w:tc>
          <w:tcPr>
            <w:tcW w:w="1600" w:type="dxa"/>
            <w:vAlign w:val="bottom"/>
            <w:gridSpan w:val="4"/>
          </w:tcPr>
          <w:p>
            <w:pPr>
              <w:jc w:val="right"/>
              <w:ind w:right="40"/>
              <w:spacing w:after="0"/>
              <w:rPr>
                <w:sz w:val="20"/>
                <w:szCs w:val="20"/>
                <w:color w:val="auto"/>
              </w:rPr>
            </w:pPr>
            <w:r>
              <w:rPr>
                <w:rFonts w:ascii="Arial" w:cs="Arial" w:eastAsia="Arial" w:hAnsi="Arial"/>
                <w:sz w:val="18"/>
                <w:szCs w:val="18"/>
                <w:color w:val="auto"/>
              </w:rPr>
              <w:t>10,000</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80" w:type="dxa"/>
            <w:vAlign w:val="bottom"/>
            <w:gridSpan w:val="3"/>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A. Dunn Trust</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66,700</w:t>
            </w:r>
          </w:p>
        </w:tc>
        <w:tc>
          <w:tcPr>
            <w:tcW w:w="16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66,700</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Betty B. Edman, Trustee Betty B. Edman Trust u/t/a dtd 12/11/82</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7,000</w:t>
            </w:r>
          </w:p>
        </w:tc>
        <w:tc>
          <w:tcPr>
            <w:tcW w:w="1600" w:type="dxa"/>
            <w:vAlign w:val="bottom"/>
            <w:gridSpan w:val="4"/>
          </w:tcPr>
          <w:p>
            <w:pPr>
              <w:jc w:val="right"/>
              <w:ind w:right="40"/>
              <w:spacing w:after="0"/>
              <w:rPr>
                <w:sz w:val="20"/>
                <w:szCs w:val="20"/>
                <w:color w:val="auto"/>
              </w:rPr>
            </w:pPr>
            <w:r>
              <w:rPr>
                <w:rFonts w:ascii="Arial" w:cs="Arial" w:eastAsia="Arial" w:hAnsi="Arial"/>
                <w:sz w:val="18"/>
                <w:szCs w:val="18"/>
                <w:color w:val="auto"/>
              </w:rPr>
              <w:t>7,000</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80" w:type="dxa"/>
            <w:vAlign w:val="bottom"/>
            <w:gridSpan w:val="3"/>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Russ Erkkila</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167</w:t>
            </w:r>
          </w:p>
        </w:tc>
        <w:tc>
          <w:tcPr>
            <w:tcW w:w="16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167</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Harold Faske</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10,301</w:t>
            </w:r>
          </w:p>
        </w:tc>
        <w:tc>
          <w:tcPr>
            <w:tcW w:w="1600" w:type="dxa"/>
            <w:vAlign w:val="bottom"/>
            <w:gridSpan w:val="4"/>
          </w:tcPr>
          <w:p>
            <w:pPr>
              <w:jc w:val="right"/>
              <w:ind w:right="40"/>
              <w:spacing w:after="0"/>
              <w:rPr>
                <w:sz w:val="20"/>
                <w:szCs w:val="20"/>
                <w:color w:val="auto"/>
              </w:rPr>
            </w:pPr>
            <w:r>
              <w:rPr>
                <w:rFonts w:ascii="Arial" w:cs="Arial" w:eastAsia="Arial" w:hAnsi="Arial"/>
                <w:sz w:val="18"/>
                <w:szCs w:val="18"/>
                <w:color w:val="auto"/>
              </w:rPr>
              <w:t>10,301</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80" w:type="dxa"/>
            <w:vAlign w:val="bottom"/>
            <w:gridSpan w:val="3"/>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Dawn M. Favazza</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10,260</w:t>
            </w:r>
          </w:p>
        </w:tc>
        <w:tc>
          <w:tcPr>
            <w:tcW w:w="16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10,260</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James D. Favazza</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10,348</w:t>
            </w:r>
          </w:p>
        </w:tc>
        <w:tc>
          <w:tcPr>
            <w:tcW w:w="1600" w:type="dxa"/>
            <w:vAlign w:val="bottom"/>
            <w:gridSpan w:val="4"/>
          </w:tcPr>
          <w:p>
            <w:pPr>
              <w:jc w:val="right"/>
              <w:ind w:right="40"/>
              <w:spacing w:after="0"/>
              <w:rPr>
                <w:sz w:val="20"/>
                <w:szCs w:val="20"/>
                <w:color w:val="auto"/>
              </w:rPr>
            </w:pPr>
            <w:r>
              <w:rPr>
                <w:rFonts w:ascii="Arial" w:cs="Arial" w:eastAsia="Arial" w:hAnsi="Arial"/>
                <w:sz w:val="18"/>
                <w:szCs w:val="18"/>
                <w:color w:val="auto"/>
              </w:rPr>
              <w:t>10,348</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80" w:type="dxa"/>
            <w:vAlign w:val="bottom"/>
            <w:gridSpan w:val="3"/>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R. Favazza</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48,618</w:t>
            </w:r>
          </w:p>
        </w:tc>
        <w:tc>
          <w:tcPr>
            <w:tcW w:w="16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48,618</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Joseph Favazza</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10,260</w:t>
            </w:r>
          </w:p>
        </w:tc>
        <w:tc>
          <w:tcPr>
            <w:tcW w:w="1600" w:type="dxa"/>
            <w:vAlign w:val="bottom"/>
            <w:gridSpan w:val="4"/>
          </w:tcPr>
          <w:p>
            <w:pPr>
              <w:jc w:val="right"/>
              <w:ind w:right="40"/>
              <w:spacing w:after="0"/>
              <w:rPr>
                <w:sz w:val="20"/>
                <w:szCs w:val="20"/>
                <w:color w:val="auto"/>
              </w:rPr>
            </w:pPr>
            <w:r>
              <w:rPr>
                <w:rFonts w:ascii="Arial" w:cs="Arial" w:eastAsia="Arial" w:hAnsi="Arial"/>
                <w:sz w:val="18"/>
                <w:szCs w:val="18"/>
                <w:color w:val="auto"/>
              </w:rPr>
              <w:t>10,260</w:t>
            </w: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80" w:type="dxa"/>
            <w:vAlign w:val="bottom"/>
            <w:gridSpan w:val="3"/>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980" w:type="dxa"/>
            <w:vAlign w:val="bottom"/>
            <w:gridSpan w:val="2"/>
          </w:tcPr>
          <w:p>
            <w:pPr>
              <w:jc w:val="right"/>
              <w:ind w:right="532"/>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5"/>
              </w:rPr>
              <w:t>Common</w:t>
            </w:r>
          </w:p>
        </w:tc>
        <w:tc>
          <w:tcPr>
            <w:tcW w:w="7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5"/>
              </w:rPr>
              <w:t>Common</w:t>
            </w:r>
          </w:p>
        </w:tc>
        <w:tc>
          <w:tcPr>
            <w:tcW w:w="760" w:type="dxa"/>
            <w:vAlign w:val="bottom"/>
          </w:tcPr>
          <w:p>
            <w:pPr>
              <w:spacing w:after="0"/>
              <w:rPr>
                <w:sz w:val="14"/>
                <w:szCs w:val="14"/>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Percentage (2)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6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5"/>
              </w:rPr>
              <w:t>Common</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 Being</w:t>
            </w:r>
          </w:p>
        </w:tc>
        <w:tc>
          <w:tcPr>
            <w:tcW w:w="7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2"/>
              </w:rPr>
              <w:t>Stock Owned</w:t>
            </w:r>
          </w:p>
        </w:tc>
        <w:tc>
          <w:tcPr>
            <w:tcW w:w="760" w:type="dxa"/>
            <w:vAlign w:val="bottom"/>
          </w:tcPr>
          <w:p>
            <w:pPr>
              <w:spacing w:after="0"/>
              <w:rPr>
                <w:sz w:val="12"/>
                <w:szCs w:val="12"/>
                <w:color w:val="auto"/>
              </w:rPr>
            </w:pPr>
          </w:p>
        </w:tc>
        <w:tc>
          <w:tcPr>
            <w:tcW w:w="1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6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5"/>
              </w:rPr>
              <w:t>Stock Owned</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Offered</w:t>
            </w:r>
          </w:p>
        </w:tc>
        <w:tc>
          <w:tcPr>
            <w:tcW w:w="7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Upon</w:t>
            </w:r>
          </w:p>
        </w:tc>
        <w:tc>
          <w:tcPr>
            <w:tcW w:w="760" w:type="dxa"/>
            <w:vAlign w:val="bottom"/>
          </w:tcPr>
          <w:p>
            <w:pPr>
              <w:spacing w:after="0"/>
              <w:rPr>
                <w:sz w:val="12"/>
                <w:szCs w:val="12"/>
                <w:color w:val="auto"/>
              </w:rPr>
            </w:pPr>
          </w:p>
        </w:tc>
        <w:tc>
          <w:tcPr>
            <w:tcW w:w="1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Owned Upon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6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Prior to the</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Pursuant to</w:t>
            </w:r>
          </w:p>
        </w:tc>
        <w:tc>
          <w:tcPr>
            <w:tcW w:w="7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Completion of</w:t>
            </w:r>
          </w:p>
        </w:tc>
        <w:tc>
          <w:tcPr>
            <w:tcW w:w="760" w:type="dxa"/>
            <w:vAlign w:val="bottom"/>
          </w:tcPr>
          <w:p>
            <w:pPr>
              <w:spacing w:after="0"/>
              <w:rPr>
                <w:sz w:val="12"/>
                <w:szCs w:val="12"/>
                <w:color w:val="auto"/>
              </w:rPr>
            </w:pP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Completion of</w:t>
            </w:r>
          </w:p>
        </w:tc>
        <w:tc>
          <w:tcPr>
            <w:tcW w:w="0" w:type="dxa"/>
            <w:vAlign w:val="bottom"/>
          </w:tcPr>
          <w:p>
            <w:pPr>
              <w:spacing w:after="0"/>
              <w:rPr>
                <w:sz w:val="1"/>
                <w:szCs w:val="1"/>
                <w:color w:val="auto"/>
              </w:rPr>
            </w:pPr>
          </w:p>
        </w:tc>
      </w:tr>
      <w:tr>
        <w:trPr>
          <w:trHeight w:val="174"/>
        </w:trPr>
        <w:tc>
          <w:tcPr>
            <w:tcW w:w="5320" w:type="dxa"/>
            <w:vAlign w:val="bottom"/>
            <w:gridSpan w:val="3"/>
          </w:tcPr>
          <w:p>
            <w:pPr>
              <w:spacing w:after="0"/>
              <w:rPr>
                <w:sz w:val="20"/>
                <w:szCs w:val="20"/>
                <w:color w:val="auto"/>
              </w:rPr>
            </w:pPr>
            <w:r>
              <w:rPr>
                <w:rFonts w:ascii="Arial" w:cs="Arial" w:eastAsia="Arial" w:hAnsi="Arial"/>
                <w:sz w:val="14"/>
                <w:szCs w:val="14"/>
                <w:b w:val="1"/>
                <w:bCs w:val="1"/>
                <w:color w:val="auto"/>
              </w:rPr>
              <w:t>Name of Selling Stockholder</w:t>
            </w:r>
          </w:p>
        </w:tc>
        <w:tc>
          <w:tcPr>
            <w:tcW w:w="164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8"/>
              </w:rPr>
              <w:t>Offering</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3"/>
              </w:rPr>
              <w:t>this Prospectus</w:t>
            </w:r>
          </w:p>
        </w:tc>
        <w:tc>
          <w:tcPr>
            <w:tcW w:w="76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this Offering (1)</w:t>
            </w:r>
          </w:p>
        </w:tc>
        <w:tc>
          <w:tcPr>
            <w:tcW w:w="760" w:type="dxa"/>
            <w:vAlign w:val="bottom"/>
          </w:tcPr>
          <w:p>
            <w:pPr>
              <w:spacing w:after="0"/>
              <w:rPr>
                <w:sz w:val="15"/>
                <w:szCs w:val="15"/>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this Offering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31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80" w:type="dxa"/>
            <w:vAlign w:val="bottom"/>
          </w:tcPr>
          <w:p>
            <w:pPr>
              <w:spacing w:after="0"/>
              <w:rPr>
                <w:sz w:val="8"/>
                <w:szCs w:val="8"/>
                <w:color w:val="auto"/>
              </w:rPr>
            </w:pPr>
          </w:p>
        </w:tc>
        <w:tc>
          <w:tcPr>
            <w:tcW w:w="3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Burton Firtel (11)</w:t>
            </w:r>
          </w:p>
        </w:tc>
        <w:tc>
          <w:tcPr>
            <w:tcW w:w="16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344,000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92,000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252,000</w:t>
            </w:r>
          </w:p>
        </w:tc>
        <w:tc>
          <w:tcPr>
            <w:tcW w:w="1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Mark W. &amp; Karen L. Francis JTWROS</w:t>
            </w:r>
          </w:p>
        </w:tc>
        <w:tc>
          <w:tcPr>
            <w:tcW w:w="1640" w:type="dxa"/>
            <w:vAlign w:val="bottom"/>
            <w:gridSpan w:val="2"/>
          </w:tcPr>
          <w:p>
            <w:pPr>
              <w:jc w:val="right"/>
              <w:ind w:right="760"/>
              <w:spacing w:after="0"/>
              <w:rPr>
                <w:sz w:val="20"/>
                <w:szCs w:val="20"/>
                <w:color w:val="auto"/>
              </w:rPr>
            </w:pPr>
            <w:r>
              <w:rPr>
                <w:rFonts w:ascii="Arial" w:cs="Arial" w:eastAsia="Arial" w:hAnsi="Arial"/>
                <w:sz w:val="18"/>
                <w:szCs w:val="18"/>
                <w:color w:val="auto"/>
              </w:rPr>
              <w:t>36,000</w:t>
            </w:r>
          </w:p>
        </w:tc>
        <w:tc>
          <w:tcPr>
            <w:tcW w:w="880" w:type="dxa"/>
            <w:vAlign w:val="bottom"/>
          </w:tcPr>
          <w:p>
            <w:pPr>
              <w:jc w:val="right"/>
              <w:spacing w:after="0"/>
              <w:rPr>
                <w:sz w:val="20"/>
                <w:szCs w:val="20"/>
                <w:color w:val="auto"/>
              </w:rPr>
            </w:pPr>
            <w:r>
              <w:rPr>
                <w:rFonts w:ascii="Arial" w:cs="Arial" w:eastAsia="Arial" w:hAnsi="Arial"/>
                <w:sz w:val="18"/>
                <w:szCs w:val="18"/>
                <w:color w:val="auto"/>
              </w:rPr>
              <w:t>36,000</w:t>
            </w:r>
          </w:p>
        </w:tc>
        <w:tc>
          <w:tcPr>
            <w:tcW w:w="7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Paul R. &amp; Garnet S. Francis</w:t>
            </w:r>
          </w:p>
        </w:tc>
        <w:tc>
          <w:tcPr>
            <w:tcW w:w="16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25,000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7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Bruce W. Franklin</w:t>
            </w:r>
          </w:p>
        </w:tc>
        <w:tc>
          <w:tcPr>
            <w:tcW w:w="1640" w:type="dxa"/>
            <w:vAlign w:val="bottom"/>
            <w:gridSpan w:val="2"/>
          </w:tcPr>
          <w:p>
            <w:pPr>
              <w:jc w:val="right"/>
              <w:ind w:right="760"/>
              <w:spacing w:after="0"/>
              <w:rPr>
                <w:sz w:val="20"/>
                <w:szCs w:val="20"/>
                <w:color w:val="auto"/>
              </w:rPr>
            </w:pPr>
            <w:r>
              <w:rPr>
                <w:rFonts w:ascii="Arial" w:cs="Arial" w:eastAsia="Arial" w:hAnsi="Arial"/>
                <w:sz w:val="18"/>
                <w:szCs w:val="18"/>
                <w:color w:val="auto"/>
              </w:rPr>
              <w:t>12,897</w:t>
            </w:r>
          </w:p>
        </w:tc>
        <w:tc>
          <w:tcPr>
            <w:tcW w:w="880" w:type="dxa"/>
            <w:vAlign w:val="bottom"/>
          </w:tcPr>
          <w:p>
            <w:pPr>
              <w:jc w:val="right"/>
              <w:spacing w:after="0"/>
              <w:rPr>
                <w:sz w:val="20"/>
                <w:szCs w:val="20"/>
                <w:color w:val="auto"/>
              </w:rPr>
            </w:pPr>
            <w:r>
              <w:rPr>
                <w:rFonts w:ascii="Arial" w:cs="Arial" w:eastAsia="Arial" w:hAnsi="Arial"/>
                <w:sz w:val="18"/>
                <w:szCs w:val="18"/>
                <w:color w:val="auto"/>
              </w:rPr>
              <w:t>12,897</w:t>
            </w:r>
          </w:p>
        </w:tc>
        <w:tc>
          <w:tcPr>
            <w:tcW w:w="7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O. Fuller</w:t>
            </w:r>
          </w:p>
        </w:tc>
        <w:tc>
          <w:tcPr>
            <w:tcW w:w="16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167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7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Richard H. Garrison</w:t>
            </w:r>
          </w:p>
        </w:tc>
        <w:tc>
          <w:tcPr>
            <w:tcW w:w="1640" w:type="dxa"/>
            <w:vAlign w:val="bottom"/>
            <w:gridSpan w:val="2"/>
          </w:tcPr>
          <w:p>
            <w:pPr>
              <w:jc w:val="right"/>
              <w:ind w:right="760"/>
              <w:spacing w:after="0"/>
              <w:rPr>
                <w:sz w:val="20"/>
                <w:szCs w:val="20"/>
                <w:color w:val="auto"/>
              </w:rPr>
            </w:pPr>
            <w:r>
              <w:rPr>
                <w:rFonts w:ascii="Arial" w:cs="Arial" w:eastAsia="Arial" w:hAnsi="Arial"/>
                <w:sz w:val="18"/>
                <w:szCs w:val="18"/>
                <w:color w:val="auto"/>
              </w:rPr>
              <w:t>10,345</w:t>
            </w:r>
          </w:p>
        </w:tc>
        <w:tc>
          <w:tcPr>
            <w:tcW w:w="880" w:type="dxa"/>
            <w:vAlign w:val="bottom"/>
          </w:tcPr>
          <w:p>
            <w:pPr>
              <w:jc w:val="right"/>
              <w:spacing w:after="0"/>
              <w:rPr>
                <w:sz w:val="20"/>
                <w:szCs w:val="20"/>
                <w:color w:val="auto"/>
              </w:rPr>
            </w:pPr>
            <w:r>
              <w:rPr>
                <w:rFonts w:ascii="Arial" w:cs="Arial" w:eastAsia="Arial" w:hAnsi="Arial"/>
                <w:sz w:val="18"/>
                <w:szCs w:val="18"/>
                <w:color w:val="auto"/>
              </w:rPr>
              <w:t>10,345</w:t>
            </w:r>
          </w:p>
        </w:tc>
        <w:tc>
          <w:tcPr>
            <w:tcW w:w="7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Kathleen A. Gasior</w:t>
            </w:r>
          </w:p>
        </w:tc>
        <w:tc>
          <w:tcPr>
            <w:tcW w:w="16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10,260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10,260</w:t>
            </w:r>
          </w:p>
        </w:tc>
        <w:tc>
          <w:tcPr>
            <w:tcW w:w="7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Norman Genzer</w:t>
            </w:r>
          </w:p>
        </w:tc>
        <w:tc>
          <w:tcPr>
            <w:tcW w:w="1640" w:type="dxa"/>
            <w:vAlign w:val="bottom"/>
            <w:gridSpan w:val="2"/>
          </w:tcPr>
          <w:p>
            <w:pPr>
              <w:jc w:val="right"/>
              <w:ind w:right="760"/>
              <w:spacing w:after="0"/>
              <w:rPr>
                <w:sz w:val="20"/>
                <w:szCs w:val="20"/>
                <w:color w:val="auto"/>
              </w:rPr>
            </w:pPr>
            <w:r>
              <w:rPr>
                <w:rFonts w:ascii="Arial" w:cs="Arial" w:eastAsia="Arial" w:hAnsi="Arial"/>
                <w:sz w:val="18"/>
                <w:szCs w:val="18"/>
                <w:color w:val="auto"/>
              </w:rPr>
              <w:t>10,321</w:t>
            </w:r>
          </w:p>
        </w:tc>
        <w:tc>
          <w:tcPr>
            <w:tcW w:w="880" w:type="dxa"/>
            <w:vAlign w:val="bottom"/>
          </w:tcPr>
          <w:p>
            <w:pPr>
              <w:jc w:val="right"/>
              <w:spacing w:after="0"/>
              <w:rPr>
                <w:sz w:val="20"/>
                <w:szCs w:val="20"/>
                <w:color w:val="auto"/>
              </w:rPr>
            </w:pPr>
            <w:r>
              <w:rPr>
                <w:rFonts w:ascii="Arial" w:cs="Arial" w:eastAsia="Arial" w:hAnsi="Arial"/>
                <w:sz w:val="18"/>
                <w:szCs w:val="18"/>
                <w:color w:val="auto"/>
              </w:rPr>
              <w:t>10,321</w:t>
            </w:r>
          </w:p>
        </w:tc>
        <w:tc>
          <w:tcPr>
            <w:tcW w:w="7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Reuven Golan</w:t>
            </w:r>
          </w:p>
        </w:tc>
        <w:tc>
          <w:tcPr>
            <w:tcW w:w="16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10,337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10,337</w:t>
            </w:r>
          </w:p>
        </w:tc>
        <w:tc>
          <w:tcPr>
            <w:tcW w:w="7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Alvin Goldstein</w:t>
            </w:r>
          </w:p>
        </w:tc>
        <w:tc>
          <w:tcPr>
            <w:tcW w:w="1640" w:type="dxa"/>
            <w:vAlign w:val="bottom"/>
            <w:gridSpan w:val="2"/>
          </w:tcPr>
          <w:p>
            <w:pPr>
              <w:jc w:val="right"/>
              <w:ind w:right="760"/>
              <w:spacing w:after="0"/>
              <w:rPr>
                <w:sz w:val="20"/>
                <w:szCs w:val="20"/>
                <w:color w:val="auto"/>
              </w:rPr>
            </w:pPr>
            <w:r>
              <w:rPr>
                <w:rFonts w:ascii="Arial" w:cs="Arial" w:eastAsia="Arial" w:hAnsi="Arial"/>
                <w:sz w:val="18"/>
                <w:szCs w:val="18"/>
                <w:color w:val="auto"/>
              </w:rPr>
              <w:t>27,271</w:t>
            </w:r>
          </w:p>
        </w:tc>
        <w:tc>
          <w:tcPr>
            <w:tcW w:w="880" w:type="dxa"/>
            <w:vAlign w:val="bottom"/>
          </w:tcPr>
          <w:p>
            <w:pPr>
              <w:jc w:val="right"/>
              <w:spacing w:after="0"/>
              <w:rPr>
                <w:sz w:val="20"/>
                <w:szCs w:val="20"/>
                <w:color w:val="auto"/>
              </w:rPr>
            </w:pPr>
            <w:r>
              <w:rPr>
                <w:rFonts w:ascii="Arial" w:cs="Arial" w:eastAsia="Arial" w:hAnsi="Arial"/>
                <w:sz w:val="18"/>
                <w:szCs w:val="18"/>
                <w:color w:val="auto"/>
              </w:rPr>
              <w:t>25,771</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1,500</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Chappell Jr. &amp; Gari-Sue Green</w:t>
            </w:r>
          </w:p>
        </w:tc>
        <w:tc>
          <w:tcPr>
            <w:tcW w:w="16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12,955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12,955</w:t>
            </w:r>
          </w:p>
        </w:tc>
        <w:tc>
          <w:tcPr>
            <w:tcW w:w="7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Wayne P. &amp; Sandra Lee Gresh</w:t>
            </w:r>
          </w:p>
        </w:tc>
        <w:tc>
          <w:tcPr>
            <w:tcW w:w="1640" w:type="dxa"/>
            <w:vAlign w:val="bottom"/>
            <w:gridSpan w:val="2"/>
          </w:tcPr>
          <w:p>
            <w:pPr>
              <w:jc w:val="right"/>
              <w:ind w:right="760"/>
              <w:spacing w:after="0"/>
              <w:rPr>
                <w:sz w:val="20"/>
                <w:szCs w:val="20"/>
                <w:color w:val="auto"/>
              </w:rPr>
            </w:pPr>
            <w:r>
              <w:rPr>
                <w:rFonts w:ascii="Arial" w:cs="Arial" w:eastAsia="Arial" w:hAnsi="Arial"/>
                <w:sz w:val="18"/>
                <w:szCs w:val="18"/>
                <w:color w:val="auto"/>
              </w:rPr>
              <w:t>10,338</w:t>
            </w:r>
          </w:p>
        </w:tc>
        <w:tc>
          <w:tcPr>
            <w:tcW w:w="880" w:type="dxa"/>
            <w:vAlign w:val="bottom"/>
          </w:tcPr>
          <w:p>
            <w:pPr>
              <w:jc w:val="right"/>
              <w:spacing w:after="0"/>
              <w:rPr>
                <w:sz w:val="20"/>
                <w:szCs w:val="20"/>
                <w:color w:val="auto"/>
              </w:rPr>
            </w:pPr>
            <w:r>
              <w:rPr>
                <w:rFonts w:ascii="Arial" w:cs="Arial" w:eastAsia="Arial" w:hAnsi="Arial"/>
                <w:sz w:val="18"/>
                <w:szCs w:val="18"/>
                <w:color w:val="auto"/>
              </w:rPr>
              <w:t>10,338</w:t>
            </w:r>
          </w:p>
        </w:tc>
        <w:tc>
          <w:tcPr>
            <w:tcW w:w="7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Morton S. Grossman</w:t>
            </w:r>
          </w:p>
        </w:tc>
        <w:tc>
          <w:tcPr>
            <w:tcW w:w="16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20,537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20,537</w:t>
            </w:r>
          </w:p>
        </w:tc>
        <w:tc>
          <w:tcPr>
            <w:tcW w:w="7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The Gustafson Family Trust</w:t>
            </w:r>
          </w:p>
        </w:tc>
        <w:tc>
          <w:tcPr>
            <w:tcW w:w="1640" w:type="dxa"/>
            <w:vAlign w:val="bottom"/>
            <w:gridSpan w:val="2"/>
          </w:tcPr>
          <w:p>
            <w:pPr>
              <w:jc w:val="right"/>
              <w:ind w:right="760"/>
              <w:spacing w:after="0"/>
              <w:rPr>
                <w:sz w:val="20"/>
                <w:szCs w:val="20"/>
                <w:color w:val="auto"/>
              </w:rPr>
            </w:pPr>
            <w:r>
              <w:rPr>
                <w:rFonts w:ascii="Arial" w:cs="Arial" w:eastAsia="Arial" w:hAnsi="Arial"/>
                <w:sz w:val="18"/>
                <w:szCs w:val="18"/>
                <w:color w:val="auto"/>
              </w:rPr>
              <w:t>3,500</w:t>
            </w:r>
          </w:p>
        </w:tc>
        <w:tc>
          <w:tcPr>
            <w:tcW w:w="880" w:type="dxa"/>
            <w:vAlign w:val="bottom"/>
          </w:tcPr>
          <w:p>
            <w:pPr>
              <w:jc w:val="right"/>
              <w:spacing w:after="0"/>
              <w:rPr>
                <w:sz w:val="20"/>
                <w:szCs w:val="20"/>
                <w:color w:val="auto"/>
              </w:rPr>
            </w:pPr>
            <w:r>
              <w:rPr>
                <w:rFonts w:ascii="Arial" w:cs="Arial" w:eastAsia="Arial" w:hAnsi="Arial"/>
                <w:sz w:val="18"/>
                <w:szCs w:val="18"/>
                <w:color w:val="auto"/>
              </w:rPr>
              <w:t>3,500</w:t>
            </w:r>
          </w:p>
        </w:tc>
        <w:tc>
          <w:tcPr>
            <w:tcW w:w="7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Raymond A. Hanson</w:t>
            </w:r>
          </w:p>
        </w:tc>
        <w:tc>
          <w:tcPr>
            <w:tcW w:w="16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51,452</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51,452</w:t>
            </w:r>
          </w:p>
        </w:tc>
        <w:tc>
          <w:tcPr>
            <w:tcW w:w="7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Harold E. Hoder</w:t>
            </w:r>
          </w:p>
        </w:tc>
        <w:tc>
          <w:tcPr>
            <w:tcW w:w="1640" w:type="dxa"/>
            <w:vAlign w:val="bottom"/>
            <w:gridSpan w:val="2"/>
          </w:tcPr>
          <w:p>
            <w:pPr>
              <w:jc w:val="right"/>
              <w:ind w:right="760"/>
              <w:spacing w:after="0"/>
              <w:rPr>
                <w:sz w:val="20"/>
                <w:szCs w:val="20"/>
                <w:color w:val="auto"/>
              </w:rPr>
            </w:pPr>
            <w:r>
              <w:rPr>
                <w:rFonts w:ascii="Arial" w:cs="Arial" w:eastAsia="Arial" w:hAnsi="Arial"/>
                <w:sz w:val="18"/>
                <w:szCs w:val="18"/>
                <w:color w:val="auto"/>
              </w:rPr>
              <w:t>50,795</w:t>
            </w:r>
          </w:p>
        </w:tc>
        <w:tc>
          <w:tcPr>
            <w:tcW w:w="880" w:type="dxa"/>
            <w:vAlign w:val="bottom"/>
          </w:tcPr>
          <w:p>
            <w:pPr>
              <w:jc w:val="right"/>
              <w:spacing w:after="0"/>
              <w:rPr>
                <w:sz w:val="20"/>
                <w:szCs w:val="20"/>
                <w:color w:val="auto"/>
              </w:rPr>
            </w:pPr>
            <w:r>
              <w:rPr>
                <w:rFonts w:ascii="Arial" w:cs="Arial" w:eastAsia="Arial" w:hAnsi="Arial"/>
                <w:sz w:val="18"/>
                <w:szCs w:val="18"/>
                <w:color w:val="auto"/>
              </w:rPr>
              <w:t>50,795</w:t>
            </w:r>
          </w:p>
        </w:tc>
        <w:tc>
          <w:tcPr>
            <w:tcW w:w="7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Karen Holitz</w:t>
            </w:r>
          </w:p>
        </w:tc>
        <w:tc>
          <w:tcPr>
            <w:tcW w:w="16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1,167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7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Norman D. Holm</w:t>
            </w:r>
          </w:p>
        </w:tc>
        <w:tc>
          <w:tcPr>
            <w:tcW w:w="1640" w:type="dxa"/>
            <w:vAlign w:val="bottom"/>
            <w:gridSpan w:val="2"/>
          </w:tcPr>
          <w:p>
            <w:pPr>
              <w:jc w:val="right"/>
              <w:ind w:right="760"/>
              <w:spacing w:after="0"/>
              <w:rPr>
                <w:sz w:val="20"/>
                <w:szCs w:val="20"/>
                <w:color w:val="auto"/>
              </w:rPr>
            </w:pPr>
            <w:r>
              <w:rPr>
                <w:rFonts w:ascii="Arial" w:cs="Arial" w:eastAsia="Arial" w:hAnsi="Arial"/>
                <w:sz w:val="18"/>
                <w:szCs w:val="18"/>
                <w:color w:val="auto"/>
              </w:rPr>
              <w:t>3,000</w:t>
            </w:r>
          </w:p>
        </w:tc>
        <w:tc>
          <w:tcPr>
            <w:tcW w:w="880" w:type="dxa"/>
            <w:vAlign w:val="bottom"/>
          </w:tcPr>
          <w:p>
            <w:pPr>
              <w:jc w:val="right"/>
              <w:spacing w:after="0"/>
              <w:rPr>
                <w:sz w:val="20"/>
                <w:szCs w:val="20"/>
                <w:color w:val="auto"/>
              </w:rPr>
            </w:pPr>
            <w:r>
              <w:rPr>
                <w:rFonts w:ascii="Arial" w:cs="Arial" w:eastAsia="Arial" w:hAnsi="Arial"/>
                <w:sz w:val="18"/>
                <w:szCs w:val="18"/>
                <w:color w:val="auto"/>
              </w:rPr>
              <w:t>3,000</w:t>
            </w:r>
          </w:p>
        </w:tc>
        <w:tc>
          <w:tcPr>
            <w:tcW w:w="7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Jennifer L. Holmers</w:t>
            </w:r>
          </w:p>
        </w:tc>
        <w:tc>
          <w:tcPr>
            <w:tcW w:w="16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1,167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7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Richard M. Horwood (Russell Trust)</w:t>
            </w:r>
          </w:p>
        </w:tc>
        <w:tc>
          <w:tcPr>
            <w:tcW w:w="1640" w:type="dxa"/>
            <w:vAlign w:val="bottom"/>
            <w:gridSpan w:val="2"/>
          </w:tcPr>
          <w:p>
            <w:pPr>
              <w:jc w:val="right"/>
              <w:ind w:right="760"/>
              <w:spacing w:after="0"/>
              <w:rPr>
                <w:sz w:val="20"/>
                <w:szCs w:val="20"/>
                <w:color w:val="auto"/>
              </w:rPr>
            </w:pPr>
            <w:r>
              <w:rPr>
                <w:rFonts w:ascii="Arial" w:cs="Arial" w:eastAsia="Arial" w:hAnsi="Arial"/>
                <w:sz w:val="18"/>
                <w:szCs w:val="18"/>
                <w:color w:val="auto"/>
              </w:rPr>
              <w:t>5,667</w:t>
            </w:r>
          </w:p>
        </w:tc>
        <w:tc>
          <w:tcPr>
            <w:tcW w:w="880" w:type="dxa"/>
            <w:vAlign w:val="bottom"/>
          </w:tcPr>
          <w:p>
            <w:pPr>
              <w:jc w:val="right"/>
              <w:spacing w:after="0"/>
              <w:rPr>
                <w:sz w:val="20"/>
                <w:szCs w:val="20"/>
                <w:color w:val="auto"/>
              </w:rPr>
            </w:pPr>
            <w:r>
              <w:rPr>
                <w:rFonts w:ascii="Arial" w:cs="Arial" w:eastAsia="Arial" w:hAnsi="Arial"/>
                <w:sz w:val="18"/>
                <w:szCs w:val="18"/>
                <w:color w:val="auto"/>
              </w:rPr>
              <w:t>5,667</w:t>
            </w:r>
          </w:p>
        </w:tc>
        <w:tc>
          <w:tcPr>
            <w:tcW w:w="7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J. Howard</w:t>
            </w:r>
          </w:p>
        </w:tc>
        <w:tc>
          <w:tcPr>
            <w:tcW w:w="16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134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7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Boris Iliarski</w:t>
            </w:r>
          </w:p>
        </w:tc>
        <w:tc>
          <w:tcPr>
            <w:tcW w:w="1640" w:type="dxa"/>
            <w:vAlign w:val="bottom"/>
            <w:gridSpan w:val="2"/>
          </w:tcPr>
          <w:p>
            <w:pPr>
              <w:jc w:val="right"/>
              <w:ind w:right="760"/>
              <w:spacing w:after="0"/>
              <w:rPr>
                <w:sz w:val="20"/>
                <w:szCs w:val="20"/>
                <w:color w:val="auto"/>
              </w:rPr>
            </w:pPr>
            <w:r>
              <w:rPr>
                <w:rFonts w:ascii="Arial" w:cs="Arial" w:eastAsia="Arial" w:hAnsi="Arial"/>
                <w:sz w:val="18"/>
                <w:szCs w:val="18"/>
                <w:color w:val="auto"/>
              </w:rPr>
              <w:t>334</w:t>
            </w:r>
          </w:p>
        </w:tc>
        <w:tc>
          <w:tcPr>
            <w:tcW w:w="880" w:type="dxa"/>
            <w:vAlign w:val="bottom"/>
          </w:tcPr>
          <w:p>
            <w:pPr>
              <w:jc w:val="right"/>
              <w:spacing w:after="0"/>
              <w:rPr>
                <w:sz w:val="20"/>
                <w:szCs w:val="20"/>
                <w:color w:val="auto"/>
              </w:rPr>
            </w:pPr>
            <w:r>
              <w:rPr>
                <w:rFonts w:ascii="Arial" w:cs="Arial" w:eastAsia="Arial" w:hAnsi="Arial"/>
                <w:sz w:val="18"/>
                <w:szCs w:val="18"/>
                <w:color w:val="auto"/>
              </w:rPr>
              <w:t>334</w:t>
            </w:r>
          </w:p>
        </w:tc>
        <w:tc>
          <w:tcPr>
            <w:tcW w:w="7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C. Isakson as Custodian for Evan Alden Isakson</w:t>
            </w:r>
          </w:p>
        </w:tc>
        <w:tc>
          <w:tcPr>
            <w:tcW w:w="16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67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7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Robert Jacobs</w:t>
            </w:r>
          </w:p>
        </w:tc>
        <w:tc>
          <w:tcPr>
            <w:tcW w:w="1640" w:type="dxa"/>
            <w:vAlign w:val="bottom"/>
            <w:gridSpan w:val="2"/>
          </w:tcPr>
          <w:p>
            <w:pPr>
              <w:jc w:val="right"/>
              <w:ind w:right="760"/>
              <w:spacing w:after="0"/>
              <w:rPr>
                <w:sz w:val="20"/>
                <w:szCs w:val="20"/>
                <w:color w:val="auto"/>
              </w:rPr>
            </w:pPr>
            <w:r>
              <w:rPr>
                <w:rFonts w:ascii="Arial" w:cs="Arial" w:eastAsia="Arial" w:hAnsi="Arial"/>
                <w:sz w:val="18"/>
                <w:szCs w:val="18"/>
                <w:color w:val="auto"/>
              </w:rPr>
              <w:t>20,000</w:t>
            </w:r>
          </w:p>
        </w:tc>
        <w:tc>
          <w:tcPr>
            <w:tcW w:w="880" w:type="dxa"/>
            <w:vAlign w:val="bottom"/>
          </w:tcPr>
          <w:p>
            <w:pPr>
              <w:jc w:val="right"/>
              <w:spacing w:after="0"/>
              <w:rPr>
                <w:sz w:val="20"/>
                <w:szCs w:val="20"/>
                <w:color w:val="auto"/>
              </w:rPr>
            </w:pPr>
            <w:r>
              <w:rPr>
                <w:rFonts w:ascii="Arial" w:cs="Arial" w:eastAsia="Arial" w:hAnsi="Arial"/>
                <w:sz w:val="18"/>
                <w:szCs w:val="18"/>
                <w:color w:val="auto"/>
              </w:rPr>
              <w:t>20,000</w:t>
            </w:r>
          </w:p>
        </w:tc>
        <w:tc>
          <w:tcPr>
            <w:tcW w:w="7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E. Jenkins</w:t>
            </w:r>
          </w:p>
        </w:tc>
        <w:tc>
          <w:tcPr>
            <w:tcW w:w="16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10,260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10,260</w:t>
            </w:r>
          </w:p>
        </w:tc>
        <w:tc>
          <w:tcPr>
            <w:tcW w:w="7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Julie A. Johnson</w:t>
            </w:r>
          </w:p>
        </w:tc>
        <w:tc>
          <w:tcPr>
            <w:tcW w:w="1640" w:type="dxa"/>
            <w:vAlign w:val="bottom"/>
            <w:gridSpan w:val="2"/>
          </w:tcPr>
          <w:p>
            <w:pPr>
              <w:jc w:val="right"/>
              <w:ind w:right="760"/>
              <w:spacing w:after="0"/>
              <w:rPr>
                <w:sz w:val="20"/>
                <w:szCs w:val="20"/>
                <w:color w:val="auto"/>
              </w:rPr>
            </w:pPr>
            <w:r>
              <w:rPr>
                <w:rFonts w:ascii="Arial" w:cs="Arial" w:eastAsia="Arial" w:hAnsi="Arial"/>
                <w:sz w:val="18"/>
                <w:szCs w:val="18"/>
                <w:color w:val="auto"/>
              </w:rPr>
              <w:t>1,167</w:t>
            </w:r>
          </w:p>
        </w:tc>
        <w:tc>
          <w:tcPr>
            <w:tcW w:w="880" w:type="dxa"/>
            <w:vAlign w:val="bottom"/>
          </w:tcPr>
          <w:p>
            <w:pPr>
              <w:jc w:val="right"/>
              <w:spacing w:after="0"/>
              <w:rPr>
                <w:sz w:val="20"/>
                <w:szCs w:val="20"/>
                <w:color w:val="auto"/>
              </w:rPr>
            </w:pPr>
            <w:r>
              <w:rPr>
                <w:rFonts w:ascii="Arial" w:cs="Arial" w:eastAsia="Arial" w:hAnsi="Arial"/>
                <w:sz w:val="18"/>
                <w:szCs w:val="18"/>
                <w:color w:val="auto"/>
              </w:rPr>
              <w:t>1,167</w:t>
            </w:r>
          </w:p>
        </w:tc>
        <w:tc>
          <w:tcPr>
            <w:tcW w:w="7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Denver Kaufman</w:t>
            </w:r>
          </w:p>
        </w:tc>
        <w:tc>
          <w:tcPr>
            <w:tcW w:w="16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334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7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Patrick E. &amp; Tina Kensicki, JTWROS</w:t>
            </w:r>
          </w:p>
        </w:tc>
        <w:tc>
          <w:tcPr>
            <w:tcW w:w="1640" w:type="dxa"/>
            <w:vAlign w:val="bottom"/>
            <w:gridSpan w:val="2"/>
          </w:tcPr>
          <w:p>
            <w:pPr>
              <w:jc w:val="right"/>
              <w:ind w:right="760"/>
              <w:spacing w:after="0"/>
              <w:rPr>
                <w:sz w:val="20"/>
                <w:szCs w:val="20"/>
                <w:color w:val="auto"/>
              </w:rPr>
            </w:pPr>
            <w:r>
              <w:rPr>
                <w:rFonts w:ascii="Arial" w:cs="Arial" w:eastAsia="Arial" w:hAnsi="Arial"/>
                <w:sz w:val="18"/>
                <w:szCs w:val="18"/>
                <w:color w:val="auto"/>
              </w:rPr>
              <w:t>3,500</w:t>
            </w:r>
          </w:p>
        </w:tc>
        <w:tc>
          <w:tcPr>
            <w:tcW w:w="880" w:type="dxa"/>
            <w:vAlign w:val="bottom"/>
          </w:tcPr>
          <w:p>
            <w:pPr>
              <w:jc w:val="right"/>
              <w:spacing w:after="0"/>
              <w:rPr>
                <w:sz w:val="20"/>
                <w:szCs w:val="20"/>
                <w:color w:val="auto"/>
              </w:rPr>
            </w:pPr>
            <w:r>
              <w:rPr>
                <w:rFonts w:ascii="Arial" w:cs="Arial" w:eastAsia="Arial" w:hAnsi="Arial"/>
                <w:sz w:val="18"/>
                <w:szCs w:val="18"/>
                <w:color w:val="auto"/>
              </w:rPr>
              <w:t>3,500</w:t>
            </w:r>
          </w:p>
        </w:tc>
        <w:tc>
          <w:tcPr>
            <w:tcW w:w="7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Anatole Klyosov (5)</w:t>
            </w:r>
          </w:p>
        </w:tc>
        <w:tc>
          <w:tcPr>
            <w:tcW w:w="16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1,185,467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1,135,467</w:t>
            </w:r>
          </w:p>
        </w:tc>
        <w:tc>
          <w:tcPr>
            <w:tcW w:w="1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Michael T. Kosek</w:t>
            </w:r>
          </w:p>
        </w:tc>
        <w:tc>
          <w:tcPr>
            <w:tcW w:w="1640" w:type="dxa"/>
            <w:vAlign w:val="bottom"/>
            <w:gridSpan w:val="2"/>
          </w:tcPr>
          <w:p>
            <w:pPr>
              <w:jc w:val="right"/>
              <w:ind w:right="760"/>
              <w:spacing w:after="0"/>
              <w:rPr>
                <w:sz w:val="20"/>
                <w:szCs w:val="20"/>
                <w:color w:val="auto"/>
              </w:rPr>
            </w:pPr>
            <w:r>
              <w:rPr>
                <w:rFonts w:ascii="Arial" w:cs="Arial" w:eastAsia="Arial" w:hAnsi="Arial"/>
                <w:sz w:val="18"/>
                <w:szCs w:val="18"/>
                <w:color w:val="auto"/>
              </w:rPr>
              <w:t>15,158</w:t>
            </w:r>
          </w:p>
        </w:tc>
        <w:tc>
          <w:tcPr>
            <w:tcW w:w="880" w:type="dxa"/>
            <w:vAlign w:val="bottom"/>
          </w:tcPr>
          <w:p>
            <w:pPr>
              <w:jc w:val="right"/>
              <w:spacing w:after="0"/>
              <w:rPr>
                <w:sz w:val="20"/>
                <w:szCs w:val="20"/>
                <w:color w:val="auto"/>
              </w:rPr>
            </w:pPr>
            <w:r>
              <w:rPr>
                <w:rFonts w:ascii="Arial" w:cs="Arial" w:eastAsia="Arial" w:hAnsi="Arial"/>
                <w:sz w:val="18"/>
                <w:szCs w:val="18"/>
                <w:color w:val="auto"/>
              </w:rPr>
              <w:t>15,158</w:t>
            </w:r>
          </w:p>
        </w:tc>
        <w:tc>
          <w:tcPr>
            <w:tcW w:w="7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Krall</w:t>
            </w:r>
          </w:p>
        </w:tc>
        <w:tc>
          <w:tcPr>
            <w:tcW w:w="16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14,000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7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M Club, LLC</w:t>
            </w:r>
          </w:p>
        </w:tc>
        <w:tc>
          <w:tcPr>
            <w:tcW w:w="1640" w:type="dxa"/>
            <w:vAlign w:val="bottom"/>
            <w:gridSpan w:val="2"/>
          </w:tcPr>
          <w:p>
            <w:pPr>
              <w:jc w:val="right"/>
              <w:ind w:right="760"/>
              <w:spacing w:after="0"/>
              <w:rPr>
                <w:sz w:val="20"/>
                <w:szCs w:val="20"/>
                <w:color w:val="auto"/>
              </w:rPr>
            </w:pPr>
            <w:r>
              <w:rPr>
                <w:rFonts w:ascii="Arial" w:cs="Arial" w:eastAsia="Arial" w:hAnsi="Arial"/>
                <w:sz w:val="18"/>
                <w:szCs w:val="18"/>
                <w:color w:val="auto"/>
              </w:rPr>
              <w:t>7,000</w:t>
            </w:r>
          </w:p>
        </w:tc>
        <w:tc>
          <w:tcPr>
            <w:tcW w:w="880" w:type="dxa"/>
            <w:vAlign w:val="bottom"/>
          </w:tcPr>
          <w:p>
            <w:pPr>
              <w:jc w:val="right"/>
              <w:spacing w:after="0"/>
              <w:rPr>
                <w:sz w:val="20"/>
                <w:szCs w:val="20"/>
                <w:color w:val="auto"/>
              </w:rPr>
            </w:pPr>
            <w:r>
              <w:rPr>
                <w:rFonts w:ascii="Arial" w:cs="Arial" w:eastAsia="Arial" w:hAnsi="Arial"/>
                <w:sz w:val="18"/>
                <w:szCs w:val="18"/>
                <w:color w:val="auto"/>
              </w:rPr>
              <w:t>7,000</w:t>
            </w:r>
          </w:p>
        </w:tc>
        <w:tc>
          <w:tcPr>
            <w:tcW w:w="7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Marko</w:t>
            </w:r>
          </w:p>
        </w:tc>
        <w:tc>
          <w:tcPr>
            <w:tcW w:w="16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10,321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10,321</w:t>
            </w:r>
          </w:p>
        </w:tc>
        <w:tc>
          <w:tcPr>
            <w:tcW w:w="7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George R. Marks</w:t>
            </w:r>
          </w:p>
        </w:tc>
        <w:tc>
          <w:tcPr>
            <w:tcW w:w="1640" w:type="dxa"/>
            <w:vAlign w:val="bottom"/>
            <w:gridSpan w:val="2"/>
          </w:tcPr>
          <w:p>
            <w:pPr>
              <w:jc w:val="right"/>
              <w:ind w:right="760"/>
              <w:spacing w:after="0"/>
              <w:rPr>
                <w:sz w:val="20"/>
                <w:szCs w:val="20"/>
                <w:color w:val="auto"/>
              </w:rPr>
            </w:pPr>
            <w:r>
              <w:rPr>
                <w:rFonts w:ascii="Arial" w:cs="Arial" w:eastAsia="Arial" w:hAnsi="Arial"/>
                <w:sz w:val="18"/>
                <w:szCs w:val="18"/>
                <w:color w:val="auto"/>
              </w:rPr>
              <w:t>10,252</w:t>
            </w:r>
          </w:p>
        </w:tc>
        <w:tc>
          <w:tcPr>
            <w:tcW w:w="880" w:type="dxa"/>
            <w:vAlign w:val="bottom"/>
          </w:tcPr>
          <w:p>
            <w:pPr>
              <w:jc w:val="right"/>
              <w:spacing w:after="0"/>
              <w:rPr>
                <w:sz w:val="20"/>
                <w:szCs w:val="20"/>
                <w:color w:val="auto"/>
              </w:rPr>
            </w:pPr>
            <w:r>
              <w:rPr>
                <w:rFonts w:ascii="Arial" w:cs="Arial" w:eastAsia="Arial" w:hAnsi="Arial"/>
                <w:sz w:val="18"/>
                <w:szCs w:val="18"/>
                <w:color w:val="auto"/>
              </w:rPr>
              <w:t>10,252</w:t>
            </w:r>
          </w:p>
        </w:tc>
        <w:tc>
          <w:tcPr>
            <w:tcW w:w="7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Katharine W. &amp; Walter R. Martin</w:t>
            </w:r>
          </w:p>
        </w:tc>
        <w:tc>
          <w:tcPr>
            <w:tcW w:w="16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12,955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12,955</w:t>
            </w:r>
          </w:p>
        </w:tc>
        <w:tc>
          <w:tcPr>
            <w:tcW w:w="7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William C. Marx and Roger W. Marx</w:t>
            </w:r>
          </w:p>
        </w:tc>
        <w:tc>
          <w:tcPr>
            <w:tcW w:w="1640" w:type="dxa"/>
            <w:vAlign w:val="bottom"/>
            <w:gridSpan w:val="2"/>
          </w:tcPr>
          <w:p>
            <w:pPr>
              <w:jc w:val="right"/>
              <w:ind w:right="760"/>
              <w:spacing w:after="0"/>
              <w:rPr>
                <w:sz w:val="20"/>
                <w:szCs w:val="20"/>
                <w:color w:val="auto"/>
              </w:rPr>
            </w:pPr>
            <w:r>
              <w:rPr>
                <w:rFonts w:ascii="Arial" w:cs="Arial" w:eastAsia="Arial" w:hAnsi="Arial"/>
                <w:sz w:val="18"/>
                <w:szCs w:val="18"/>
                <w:color w:val="auto"/>
              </w:rPr>
              <w:t>1,334</w:t>
            </w:r>
          </w:p>
        </w:tc>
        <w:tc>
          <w:tcPr>
            <w:tcW w:w="880" w:type="dxa"/>
            <w:vAlign w:val="bottom"/>
          </w:tcPr>
          <w:p>
            <w:pPr>
              <w:jc w:val="right"/>
              <w:spacing w:after="0"/>
              <w:rPr>
                <w:sz w:val="20"/>
                <w:szCs w:val="20"/>
                <w:color w:val="auto"/>
              </w:rPr>
            </w:pPr>
            <w:r>
              <w:rPr>
                <w:rFonts w:ascii="Arial" w:cs="Arial" w:eastAsia="Arial" w:hAnsi="Arial"/>
                <w:sz w:val="18"/>
                <w:szCs w:val="18"/>
                <w:color w:val="auto"/>
              </w:rPr>
              <w:t>1,334</w:t>
            </w:r>
          </w:p>
        </w:tc>
        <w:tc>
          <w:tcPr>
            <w:tcW w:w="7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P. Mc Quillan</w:t>
            </w:r>
          </w:p>
        </w:tc>
        <w:tc>
          <w:tcPr>
            <w:tcW w:w="16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67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7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George R. Melillo</w:t>
            </w:r>
          </w:p>
        </w:tc>
        <w:tc>
          <w:tcPr>
            <w:tcW w:w="1640" w:type="dxa"/>
            <w:vAlign w:val="bottom"/>
            <w:gridSpan w:val="2"/>
          </w:tcPr>
          <w:p>
            <w:pPr>
              <w:jc w:val="right"/>
              <w:ind w:right="760"/>
              <w:spacing w:after="0"/>
              <w:rPr>
                <w:sz w:val="20"/>
                <w:szCs w:val="20"/>
                <w:color w:val="auto"/>
              </w:rPr>
            </w:pPr>
            <w:r>
              <w:rPr>
                <w:rFonts w:ascii="Arial" w:cs="Arial" w:eastAsia="Arial" w:hAnsi="Arial"/>
                <w:sz w:val="18"/>
                <w:szCs w:val="18"/>
                <w:color w:val="auto"/>
              </w:rPr>
              <w:t>14,000</w:t>
            </w:r>
          </w:p>
        </w:tc>
        <w:tc>
          <w:tcPr>
            <w:tcW w:w="880" w:type="dxa"/>
            <w:vAlign w:val="bottom"/>
          </w:tcPr>
          <w:p>
            <w:pPr>
              <w:jc w:val="right"/>
              <w:spacing w:after="0"/>
              <w:rPr>
                <w:sz w:val="20"/>
                <w:szCs w:val="20"/>
                <w:color w:val="auto"/>
              </w:rPr>
            </w:pPr>
            <w:r>
              <w:rPr>
                <w:rFonts w:ascii="Arial" w:cs="Arial" w:eastAsia="Arial" w:hAnsi="Arial"/>
                <w:sz w:val="18"/>
                <w:szCs w:val="18"/>
                <w:color w:val="auto"/>
              </w:rPr>
              <w:t>14,000</w:t>
            </w:r>
          </w:p>
        </w:tc>
        <w:tc>
          <w:tcPr>
            <w:tcW w:w="7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Diane Meyer</w:t>
            </w:r>
          </w:p>
        </w:tc>
        <w:tc>
          <w:tcPr>
            <w:tcW w:w="16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833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7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Greg Meyer</w:t>
            </w:r>
          </w:p>
        </w:tc>
        <w:tc>
          <w:tcPr>
            <w:tcW w:w="1640" w:type="dxa"/>
            <w:vAlign w:val="bottom"/>
            <w:gridSpan w:val="2"/>
          </w:tcPr>
          <w:p>
            <w:pPr>
              <w:jc w:val="right"/>
              <w:ind w:right="760"/>
              <w:spacing w:after="0"/>
              <w:rPr>
                <w:sz w:val="20"/>
                <w:szCs w:val="20"/>
                <w:color w:val="auto"/>
              </w:rPr>
            </w:pPr>
            <w:r>
              <w:rPr>
                <w:rFonts w:ascii="Arial" w:cs="Arial" w:eastAsia="Arial" w:hAnsi="Arial"/>
                <w:sz w:val="18"/>
                <w:szCs w:val="18"/>
                <w:color w:val="auto"/>
              </w:rPr>
              <w:t>833</w:t>
            </w:r>
          </w:p>
        </w:tc>
        <w:tc>
          <w:tcPr>
            <w:tcW w:w="880" w:type="dxa"/>
            <w:vAlign w:val="bottom"/>
          </w:tcPr>
          <w:p>
            <w:pPr>
              <w:jc w:val="right"/>
              <w:spacing w:after="0"/>
              <w:rPr>
                <w:sz w:val="20"/>
                <w:szCs w:val="20"/>
                <w:color w:val="auto"/>
              </w:rPr>
            </w:pPr>
            <w:r>
              <w:rPr>
                <w:rFonts w:ascii="Arial" w:cs="Arial" w:eastAsia="Arial" w:hAnsi="Arial"/>
                <w:sz w:val="18"/>
                <w:szCs w:val="18"/>
                <w:color w:val="auto"/>
              </w:rPr>
              <w:t>833</w:t>
            </w:r>
          </w:p>
        </w:tc>
        <w:tc>
          <w:tcPr>
            <w:tcW w:w="7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D. Emerson Revocable Trust dtd 4/11/97</w:t>
            </w:r>
          </w:p>
        </w:tc>
        <w:tc>
          <w:tcPr>
            <w:tcW w:w="16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15,495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15,495</w:t>
            </w:r>
          </w:p>
        </w:tc>
        <w:tc>
          <w:tcPr>
            <w:tcW w:w="7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Sebastian Minaudo</w:t>
            </w:r>
          </w:p>
        </w:tc>
        <w:tc>
          <w:tcPr>
            <w:tcW w:w="1640" w:type="dxa"/>
            <w:vAlign w:val="bottom"/>
            <w:gridSpan w:val="2"/>
          </w:tcPr>
          <w:p>
            <w:pPr>
              <w:jc w:val="right"/>
              <w:ind w:right="760"/>
              <w:spacing w:after="0"/>
              <w:rPr>
                <w:sz w:val="20"/>
                <w:szCs w:val="20"/>
                <w:color w:val="auto"/>
              </w:rPr>
            </w:pPr>
            <w:r>
              <w:rPr>
                <w:rFonts w:ascii="Arial" w:cs="Arial" w:eastAsia="Arial" w:hAnsi="Arial"/>
                <w:sz w:val="18"/>
                <w:szCs w:val="18"/>
                <w:color w:val="auto"/>
              </w:rPr>
              <w:t>10,329</w:t>
            </w:r>
          </w:p>
        </w:tc>
        <w:tc>
          <w:tcPr>
            <w:tcW w:w="880" w:type="dxa"/>
            <w:vAlign w:val="bottom"/>
          </w:tcPr>
          <w:p>
            <w:pPr>
              <w:jc w:val="right"/>
              <w:spacing w:after="0"/>
              <w:rPr>
                <w:sz w:val="20"/>
                <w:szCs w:val="20"/>
                <w:color w:val="auto"/>
              </w:rPr>
            </w:pPr>
            <w:r>
              <w:rPr>
                <w:rFonts w:ascii="Arial" w:cs="Arial" w:eastAsia="Arial" w:hAnsi="Arial"/>
                <w:sz w:val="18"/>
                <w:szCs w:val="18"/>
                <w:color w:val="auto"/>
              </w:rPr>
              <w:t>10,329</w:t>
            </w:r>
          </w:p>
        </w:tc>
        <w:tc>
          <w:tcPr>
            <w:tcW w:w="7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Moore</w:t>
            </w:r>
          </w:p>
        </w:tc>
        <w:tc>
          <w:tcPr>
            <w:tcW w:w="16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10,329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10,329</w:t>
            </w:r>
          </w:p>
        </w:tc>
        <w:tc>
          <w:tcPr>
            <w:tcW w:w="7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Doug Morgan</w:t>
            </w:r>
          </w:p>
        </w:tc>
        <w:tc>
          <w:tcPr>
            <w:tcW w:w="1640" w:type="dxa"/>
            <w:vAlign w:val="bottom"/>
            <w:gridSpan w:val="2"/>
          </w:tcPr>
          <w:p>
            <w:pPr>
              <w:jc w:val="right"/>
              <w:ind w:right="760"/>
              <w:spacing w:after="0"/>
              <w:rPr>
                <w:sz w:val="20"/>
                <w:szCs w:val="20"/>
                <w:color w:val="auto"/>
              </w:rPr>
            </w:pPr>
            <w:r>
              <w:rPr>
                <w:rFonts w:ascii="Arial" w:cs="Arial" w:eastAsia="Arial" w:hAnsi="Arial"/>
                <w:sz w:val="18"/>
                <w:szCs w:val="18"/>
                <w:color w:val="auto"/>
              </w:rPr>
              <w:t>34</w:t>
            </w:r>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c>
          <w:tcPr>
            <w:tcW w:w="7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Philip Newcomb</w:t>
            </w:r>
          </w:p>
        </w:tc>
        <w:tc>
          <w:tcPr>
            <w:tcW w:w="16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5,112</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5,112</w:t>
            </w:r>
          </w:p>
        </w:tc>
        <w:tc>
          <w:tcPr>
            <w:tcW w:w="7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880" w:type="dxa"/>
            <w:vAlign w:val="bottom"/>
          </w:tcPr>
          <w:p>
            <w:pPr>
              <w:jc w:val="right"/>
              <w:ind w:right="314"/>
              <w:spacing w:after="0"/>
              <w:rPr>
                <w:sz w:val="20"/>
                <w:szCs w:val="20"/>
                <w:color w:val="auto"/>
              </w:rPr>
            </w:pPr>
            <w:r>
              <w:rPr>
                <w:rFonts w:ascii="Arial" w:cs="Arial" w:eastAsia="Arial" w:hAnsi="Arial"/>
                <w:sz w:val="18"/>
                <w:szCs w:val="18"/>
                <w:color w:val="auto"/>
              </w:rPr>
              <w:t>14</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8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8"/>
              </w:rPr>
              <w:t>Common</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8"/>
              </w:rPr>
              <w:t>Common</w:t>
            </w:r>
          </w:p>
        </w:tc>
        <w:tc>
          <w:tcPr>
            <w:tcW w:w="80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Percentage (2)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6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5"/>
              </w:rPr>
              <w:t>Common</w:t>
            </w:r>
          </w:p>
        </w:tc>
        <w:tc>
          <w:tcPr>
            <w:tcW w:w="16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3"/>
              </w:rPr>
              <w:t>Stock Being</w:t>
            </w:r>
          </w:p>
        </w:tc>
        <w:tc>
          <w:tcPr>
            <w:tcW w:w="9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Stock Owned</w:t>
            </w:r>
          </w:p>
        </w:tc>
        <w:tc>
          <w:tcPr>
            <w:tcW w:w="80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6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5"/>
              </w:rPr>
              <w:t>Stock Owned</w:t>
            </w:r>
          </w:p>
        </w:tc>
        <w:tc>
          <w:tcPr>
            <w:tcW w:w="16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8"/>
              </w:rPr>
              <w:t>Offered</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Upon</w:t>
            </w:r>
          </w:p>
        </w:tc>
        <w:tc>
          <w:tcPr>
            <w:tcW w:w="80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Owned Upon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6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0"/>
              </w:rPr>
              <w:t>Prior to the</w:t>
            </w:r>
          </w:p>
        </w:tc>
        <w:tc>
          <w:tcPr>
            <w:tcW w:w="16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7"/>
              </w:rPr>
              <w:t>Pursuant to</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Completion of</w:t>
            </w:r>
          </w:p>
        </w:tc>
        <w:tc>
          <w:tcPr>
            <w:tcW w:w="800" w:type="dxa"/>
            <w:vAlign w:val="bottom"/>
          </w:tcPr>
          <w:p>
            <w:pPr>
              <w:spacing w:after="0"/>
              <w:rPr>
                <w:sz w:val="12"/>
                <w:szCs w:val="12"/>
                <w:color w:val="auto"/>
              </w:rPr>
            </w:pP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Completion of</w:t>
            </w:r>
          </w:p>
        </w:tc>
        <w:tc>
          <w:tcPr>
            <w:tcW w:w="0" w:type="dxa"/>
            <w:vAlign w:val="bottom"/>
          </w:tcPr>
          <w:p>
            <w:pPr>
              <w:spacing w:after="0"/>
              <w:rPr>
                <w:sz w:val="1"/>
                <w:szCs w:val="1"/>
                <w:color w:val="auto"/>
              </w:rPr>
            </w:pPr>
          </w:p>
        </w:tc>
      </w:tr>
      <w:tr>
        <w:trPr>
          <w:trHeight w:val="174"/>
        </w:trPr>
        <w:tc>
          <w:tcPr>
            <w:tcW w:w="5300" w:type="dxa"/>
            <w:vAlign w:val="bottom"/>
            <w:gridSpan w:val="3"/>
          </w:tcPr>
          <w:p>
            <w:pPr>
              <w:spacing w:after="0"/>
              <w:rPr>
                <w:sz w:val="20"/>
                <w:szCs w:val="20"/>
                <w:color w:val="auto"/>
              </w:rPr>
            </w:pPr>
            <w:r>
              <w:rPr>
                <w:rFonts w:ascii="Arial" w:cs="Arial" w:eastAsia="Arial" w:hAnsi="Arial"/>
                <w:sz w:val="14"/>
                <w:szCs w:val="14"/>
                <w:b w:val="1"/>
                <w:bCs w:val="1"/>
                <w:color w:val="auto"/>
              </w:rPr>
              <w:t>Name of Selling Stockholder</w:t>
            </w:r>
          </w:p>
        </w:tc>
        <w:tc>
          <w:tcPr>
            <w:tcW w:w="160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8"/>
              </w:rPr>
              <w:t>Offering</w:t>
            </w:r>
          </w:p>
        </w:tc>
        <w:tc>
          <w:tcPr>
            <w:tcW w:w="168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3"/>
              </w:rPr>
              <w:t>this Prospectus</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0"/>
              </w:rPr>
              <w:t>this Offering (1)</w:t>
            </w:r>
          </w:p>
        </w:tc>
        <w:tc>
          <w:tcPr>
            <w:tcW w:w="800" w:type="dxa"/>
            <w:vAlign w:val="bottom"/>
          </w:tcPr>
          <w:p>
            <w:pPr>
              <w:spacing w:after="0"/>
              <w:rPr>
                <w:sz w:val="15"/>
                <w:szCs w:val="15"/>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this Offering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31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80" w:type="dxa"/>
            <w:vAlign w:val="bottom"/>
          </w:tcPr>
          <w:p>
            <w:pPr>
              <w:spacing w:after="0"/>
              <w:rPr>
                <w:sz w:val="8"/>
                <w:szCs w:val="8"/>
                <w:color w:val="auto"/>
              </w:rPr>
            </w:pPr>
          </w:p>
        </w:tc>
        <w:tc>
          <w:tcPr>
            <w:tcW w:w="3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Gali Nuriel</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247,278</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247,278</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Michael J. Ochstein</w:t>
            </w:r>
          </w:p>
        </w:tc>
        <w:tc>
          <w:tcPr>
            <w:tcW w:w="800" w:type="dxa"/>
            <w:vAlign w:val="bottom"/>
          </w:tcPr>
          <w:p>
            <w:pPr>
              <w:jc w:val="right"/>
              <w:spacing w:after="0"/>
              <w:rPr>
                <w:sz w:val="20"/>
                <w:szCs w:val="20"/>
                <w:color w:val="auto"/>
              </w:rPr>
            </w:pPr>
            <w:r>
              <w:rPr>
                <w:rFonts w:ascii="Arial" w:cs="Arial" w:eastAsia="Arial" w:hAnsi="Arial"/>
                <w:sz w:val="18"/>
                <w:szCs w:val="18"/>
                <w:color w:val="auto"/>
              </w:rPr>
              <w:t>3,500</w:t>
            </w:r>
          </w:p>
        </w:tc>
        <w:tc>
          <w:tcPr>
            <w:tcW w:w="800" w:type="dxa"/>
            <w:vAlign w:val="bottom"/>
          </w:tcPr>
          <w:p>
            <w:pPr>
              <w:spacing w:after="0"/>
              <w:rPr>
                <w:sz w:val="18"/>
                <w:szCs w:val="18"/>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3,500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P. Oroark</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34</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Carol L. Ott</w:t>
            </w:r>
          </w:p>
        </w:tc>
        <w:tc>
          <w:tcPr>
            <w:tcW w:w="800" w:type="dxa"/>
            <w:vAlign w:val="bottom"/>
          </w:tcPr>
          <w:p>
            <w:pPr>
              <w:jc w:val="right"/>
              <w:spacing w:after="0"/>
              <w:rPr>
                <w:sz w:val="20"/>
                <w:szCs w:val="20"/>
                <w:color w:val="auto"/>
              </w:rPr>
            </w:pPr>
            <w:r>
              <w:rPr>
                <w:rFonts w:ascii="Arial" w:cs="Arial" w:eastAsia="Arial" w:hAnsi="Arial"/>
                <w:sz w:val="18"/>
                <w:szCs w:val="18"/>
                <w:color w:val="auto"/>
              </w:rPr>
              <w:t>16,071</w:t>
            </w:r>
          </w:p>
        </w:tc>
        <w:tc>
          <w:tcPr>
            <w:tcW w:w="800" w:type="dxa"/>
            <w:vAlign w:val="bottom"/>
          </w:tcPr>
          <w:p>
            <w:pPr>
              <w:spacing w:after="0"/>
              <w:rPr>
                <w:sz w:val="18"/>
                <w:szCs w:val="18"/>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16,071</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F. Palma and Shannon L. Palma</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1,334</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Anna Pasquale</w:t>
            </w:r>
          </w:p>
        </w:tc>
        <w:tc>
          <w:tcPr>
            <w:tcW w:w="1600" w:type="dxa"/>
            <w:vAlign w:val="bottom"/>
            <w:gridSpan w:val="2"/>
          </w:tcPr>
          <w:p>
            <w:pPr>
              <w:jc w:val="right"/>
              <w:ind w:right="800"/>
              <w:spacing w:after="0"/>
              <w:rPr>
                <w:sz w:val="20"/>
                <w:szCs w:val="20"/>
                <w:color w:val="auto"/>
              </w:rPr>
            </w:pPr>
            <w:r>
              <w:rPr>
                <w:rFonts w:ascii="Arial" w:cs="Arial" w:eastAsia="Arial" w:hAnsi="Arial"/>
                <w:sz w:val="18"/>
                <w:szCs w:val="18"/>
                <w:color w:val="auto"/>
              </w:rPr>
              <w:t>10,411</w:t>
            </w: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10,411</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Peterson</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167</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Loren A. Pfau and Florence A. Pfau</w:t>
            </w:r>
          </w:p>
        </w:tc>
        <w:tc>
          <w:tcPr>
            <w:tcW w:w="800" w:type="dxa"/>
            <w:vAlign w:val="bottom"/>
          </w:tcPr>
          <w:p>
            <w:pPr>
              <w:jc w:val="right"/>
              <w:spacing w:after="0"/>
              <w:rPr>
                <w:sz w:val="20"/>
                <w:szCs w:val="20"/>
                <w:color w:val="auto"/>
              </w:rPr>
            </w:pPr>
            <w:r>
              <w:rPr>
                <w:rFonts w:ascii="Arial" w:cs="Arial" w:eastAsia="Arial" w:hAnsi="Arial"/>
                <w:sz w:val="18"/>
                <w:szCs w:val="18"/>
                <w:color w:val="auto"/>
              </w:rPr>
              <w:t>17</w:t>
            </w:r>
          </w:p>
        </w:tc>
        <w:tc>
          <w:tcPr>
            <w:tcW w:w="800" w:type="dxa"/>
            <w:vAlign w:val="bottom"/>
          </w:tcPr>
          <w:p>
            <w:pPr>
              <w:spacing w:after="0"/>
              <w:rPr>
                <w:sz w:val="18"/>
                <w:szCs w:val="18"/>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17</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Naomi Platt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7,379</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7,379</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Joseph Louis, Sr. &amp; Sallyann Prato, JTWROS</w:t>
            </w:r>
          </w:p>
        </w:tc>
        <w:tc>
          <w:tcPr>
            <w:tcW w:w="800" w:type="dxa"/>
            <w:vAlign w:val="bottom"/>
          </w:tcPr>
          <w:p>
            <w:pPr>
              <w:jc w:val="right"/>
              <w:spacing w:after="0"/>
              <w:rPr>
                <w:sz w:val="20"/>
                <w:szCs w:val="20"/>
                <w:color w:val="auto"/>
              </w:rPr>
            </w:pPr>
            <w:r>
              <w:rPr>
                <w:rFonts w:ascii="Arial" w:cs="Arial" w:eastAsia="Arial" w:hAnsi="Arial"/>
                <w:sz w:val="18"/>
                <w:szCs w:val="18"/>
                <w:color w:val="auto"/>
              </w:rPr>
              <w:t>7,000</w:t>
            </w:r>
          </w:p>
        </w:tc>
        <w:tc>
          <w:tcPr>
            <w:tcW w:w="800" w:type="dxa"/>
            <w:vAlign w:val="bottom"/>
          </w:tcPr>
          <w:p>
            <w:pPr>
              <w:spacing w:after="0"/>
              <w:rPr>
                <w:sz w:val="18"/>
                <w:szCs w:val="18"/>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7,000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Yigal Ran</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5,186</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5,186</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Suzanna F. Ran</w:t>
            </w:r>
          </w:p>
        </w:tc>
        <w:tc>
          <w:tcPr>
            <w:tcW w:w="800" w:type="dxa"/>
            <w:vAlign w:val="bottom"/>
          </w:tcPr>
          <w:p>
            <w:pPr>
              <w:jc w:val="right"/>
              <w:spacing w:after="0"/>
              <w:rPr>
                <w:sz w:val="20"/>
                <w:szCs w:val="20"/>
                <w:color w:val="auto"/>
              </w:rPr>
            </w:pPr>
            <w:r>
              <w:rPr>
                <w:rFonts w:ascii="Arial" w:cs="Arial" w:eastAsia="Arial" w:hAnsi="Arial"/>
                <w:sz w:val="18"/>
                <w:szCs w:val="18"/>
                <w:color w:val="auto"/>
              </w:rPr>
              <w:t>51,589</w:t>
            </w:r>
          </w:p>
        </w:tc>
        <w:tc>
          <w:tcPr>
            <w:tcW w:w="800" w:type="dxa"/>
            <w:vAlign w:val="bottom"/>
          </w:tcPr>
          <w:p>
            <w:pPr>
              <w:spacing w:after="0"/>
              <w:rPr>
                <w:sz w:val="18"/>
                <w:szCs w:val="18"/>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51,589</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Dain Rauscher as Custodian for John P Smith (IRA)</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166</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Carl Richard</w:t>
            </w:r>
          </w:p>
        </w:tc>
        <w:tc>
          <w:tcPr>
            <w:tcW w:w="800" w:type="dxa"/>
            <w:vAlign w:val="bottom"/>
          </w:tcPr>
          <w:p>
            <w:pPr>
              <w:jc w:val="right"/>
              <w:spacing w:after="0"/>
              <w:rPr>
                <w:sz w:val="20"/>
                <w:szCs w:val="20"/>
                <w:color w:val="auto"/>
              </w:rPr>
            </w:pPr>
            <w:r>
              <w:rPr>
                <w:rFonts w:ascii="Arial" w:cs="Arial" w:eastAsia="Arial" w:hAnsi="Arial"/>
                <w:sz w:val="18"/>
                <w:szCs w:val="18"/>
                <w:color w:val="auto"/>
              </w:rPr>
              <w:t>8,000</w:t>
            </w:r>
          </w:p>
        </w:tc>
        <w:tc>
          <w:tcPr>
            <w:tcW w:w="800" w:type="dxa"/>
            <w:vAlign w:val="bottom"/>
          </w:tcPr>
          <w:p>
            <w:pPr>
              <w:spacing w:after="0"/>
              <w:rPr>
                <w:sz w:val="18"/>
                <w:szCs w:val="18"/>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8,000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H. Riemer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10,363</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10,363</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Steven D. Roberts as Trustee for Steven D. Roberts Trust</w:t>
            </w:r>
          </w:p>
        </w:tc>
        <w:tc>
          <w:tcPr>
            <w:tcW w:w="800" w:type="dxa"/>
            <w:vAlign w:val="bottom"/>
          </w:tcPr>
          <w:p>
            <w:pPr>
              <w:jc w:val="right"/>
              <w:spacing w:after="0"/>
              <w:rPr>
                <w:sz w:val="20"/>
                <w:szCs w:val="20"/>
                <w:color w:val="auto"/>
              </w:rPr>
            </w:pPr>
            <w:r>
              <w:rPr>
                <w:rFonts w:ascii="Arial" w:cs="Arial" w:eastAsia="Arial" w:hAnsi="Arial"/>
                <w:sz w:val="18"/>
                <w:szCs w:val="18"/>
                <w:color w:val="auto"/>
              </w:rPr>
              <w:t>5,500</w:t>
            </w:r>
          </w:p>
        </w:tc>
        <w:tc>
          <w:tcPr>
            <w:tcW w:w="800" w:type="dxa"/>
            <w:vAlign w:val="bottom"/>
          </w:tcPr>
          <w:p>
            <w:pPr>
              <w:spacing w:after="0"/>
              <w:rPr>
                <w:sz w:val="18"/>
                <w:szCs w:val="18"/>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5,500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Robin C. Dubuc Living Trust dtd 1/21/87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25,000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Jerald K. Rome</w:t>
            </w:r>
          </w:p>
        </w:tc>
        <w:tc>
          <w:tcPr>
            <w:tcW w:w="800" w:type="dxa"/>
            <w:vAlign w:val="bottom"/>
          </w:tcPr>
          <w:p>
            <w:pPr>
              <w:jc w:val="right"/>
              <w:spacing w:after="0"/>
              <w:rPr>
                <w:sz w:val="20"/>
                <w:szCs w:val="20"/>
                <w:color w:val="auto"/>
              </w:rPr>
            </w:pPr>
            <w:r>
              <w:rPr>
                <w:rFonts w:ascii="Arial" w:cs="Arial" w:eastAsia="Arial" w:hAnsi="Arial"/>
                <w:sz w:val="18"/>
                <w:szCs w:val="18"/>
                <w:color w:val="auto"/>
              </w:rPr>
              <w:t>82,344</w:t>
            </w:r>
          </w:p>
        </w:tc>
        <w:tc>
          <w:tcPr>
            <w:tcW w:w="800" w:type="dxa"/>
            <w:vAlign w:val="bottom"/>
          </w:tcPr>
          <w:p>
            <w:pPr>
              <w:spacing w:after="0"/>
              <w:rPr>
                <w:sz w:val="18"/>
                <w:szCs w:val="18"/>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82,344</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Jerald K. Rome as Custodian</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42,000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Daniel Sagert</w:t>
            </w:r>
          </w:p>
        </w:tc>
        <w:tc>
          <w:tcPr>
            <w:tcW w:w="800" w:type="dxa"/>
            <w:vAlign w:val="bottom"/>
          </w:tcPr>
          <w:p>
            <w:pPr>
              <w:jc w:val="right"/>
              <w:spacing w:after="0"/>
              <w:rPr>
                <w:sz w:val="20"/>
                <w:szCs w:val="20"/>
                <w:color w:val="auto"/>
              </w:rPr>
            </w:pPr>
            <w:r>
              <w:rPr>
                <w:rFonts w:ascii="Arial" w:cs="Arial" w:eastAsia="Arial" w:hAnsi="Arial"/>
                <w:sz w:val="18"/>
                <w:szCs w:val="18"/>
                <w:color w:val="auto"/>
              </w:rPr>
              <w:t>3,000</w:t>
            </w:r>
          </w:p>
        </w:tc>
        <w:tc>
          <w:tcPr>
            <w:tcW w:w="800" w:type="dxa"/>
            <w:vAlign w:val="bottom"/>
          </w:tcPr>
          <w:p>
            <w:pPr>
              <w:spacing w:after="0"/>
              <w:rPr>
                <w:sz w:val="18"/>
                <w:szCs w:val="18"/>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3,000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J. Sare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10,248</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10,248</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Dennis &amp; Nancy Schmahl</w:t>
            </w:r>
          </w:p>
        </w:tc>
        <w:tc>
          <w:tcPr>
            <w:tcW w:w="800" w:type="dxa"/>
            <w:vAlign w:val="bottom"/>
          </w:tcPr>
          <w:p>
            <w:pPr>
              <w:jc w:val="right"/>
              <w:spacing w:after="0"/>
              <w:rPr>
                <w:sz w:val="20"/>
                <w:szCs w:val="20"/>
                <w:color w:val="auto"/>
              </w:rPr>
            </w:pPr>
            <w:r>
              <w:rPr>
                <w:rFonts w:ascii="Arial" w:cs="Arial" w:eastAsia="Arial" w:hAnsi="Arial"/>
                <w:sz w:val="18"/>
                <w:szCs w:val="18"/>
                <w:color w:val="auto"/>
              </w:rPr>
              <w:t>10,360</w:t>
            </w:r>
          </w:p>
        </w:tc>
        <w:tc>
          <w:tcPr>
            <w:tcW w:w="800" w:type="dxa"/>
            <w:vAlign w:val="bottom"/>
          </w:tcPr>
          <w:p>
            <w:pPr>
              <w:spacing w:after="0"/>
              <w:rPr>
                <w:sz w:val="18"/>
                <w:szCs w:val="18"/>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10,360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Martin L. Schmidt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10,359</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10,359</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Christopher K. Schneenman</w:t>
            </w: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c>
          <w:tcPr>
            <w:tcW w:w="800" w:type="dxa"/>
            <w:vAlign w:val="bottom"/>
          </w:tcPr>
          <w:p>
            <w:pPr>
              <w:spacing w:after="0"/>
              <w:rPr>
                <w:sz w:val="18"/>
                <w:szCs w:val="18"/>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21</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Aaron J. Scholl as Custodian for Gordon J. Scholl</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34</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Aaron J. Scholl as Custodian for Nora M. Scholl</w:t>
            </w: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c>
          <w:tcPr>
            <w:tcW w:w="800" w:type="dxa"/>
            <w:vAlign w:val="bottom"/>
          </w:tcPr>
          <w:p>
            <w:pPr>
              <w:spacing w:after="0"/>
              <w:rPr>
                <w:sz w:val="18"/>
                <w:szCs w:val="18"/>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34</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Kraig L. Selleke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3,500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Joan V. Smith</w:t>
            </w:r>
          </w:p>
        </w:tc>
        <w:tc>
          <w:tcPr>
            <w:tcW w:w="800" w:type="dxa"/>
            <w:vAlign w:val="bottom"/>
          </w:tcPr>
          <w:p>
            <w:pPr>
              <w:jc w:val="right"/>
              <w:spacing w:after="0"/>
              <w:rPr>
                <w:sz w:val="20"/>
                <w:szCs w:val="20"/>
                <w:color w:val="auto"/>
              </w:rPr>
            </w:pPr>
            <w:r>
              <w:rPr>
                <w:rFonts w:ascii="Arial" w:cs="Arial" w:eastAsia="Arial" w:hAnsi="Arial"/>
                <w:sz w:val="18"/>
                <w:szCs w:val="18"/>
                <w:color w:val="auto"/>
              </w:rPr>
              <w:t>134</w:t>
            </w:r>
          </w:p>
        </w:tc>
        <w:tc>
          <w:tcPr>
            <w:tcW w:w="800" w:type="dxa"/>
            <w:vAlign w:val="bottom"/>
          </w:tcPr>
          <w:p>
            <w:pPr>
              <w:spacing w:after="0"/>
              <w:rPr>
                <w:sz w:val="18"/>
                <w:szCs w:val="18"/>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134</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Theresa J. Smith</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334</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John Snedden</w:t>
            </w:r>
          </w:p>
        </w:tc>
        <w:tc>
          <w:tcPr>
            <w:tcW w:w="800" w:type="dxa"/>
            <w:vAlign w:val="bottom"/>
          </w:tcPr>
          <w:p>
            <w:pPr>
              <w:jc w:val="right"/>
              <w:spacing w:after="0"/>
              <w:rPr>
                <w:sz w:val="20"/>
                <w:szCs w:val="20"/>
                <w:color w:val="auto"/>
              </w:rPr>
            </w:pPr>
            <w:r>
              <w:rPr>
                <w:rFonts w:ascii="Arial" w:cs="Arial" w:eastAsia="Arial" w:hAnsi="Arial"/>
                <w:sz w:val="18"/>
                <w:szCs w:val="18"/>
                <w:color w:val="auto"/>
              </w:rPr>
              <w:t>17,000</w:t>
            </w:r>
          </w:p>
        </w:tc>
        <w:tc>
          <w:tcPr>
            <w:tcW w:w="800" w:type="dxa"/>
            <w:vAlign w:val="bottom"/>
          </w:tcPr>
          <w:p>
            <w:pPr>
              <w:spacing w:after="0"/>
              <w:rPr>
                <w:sz w:val="18"/>
                <w:szCs w:val="18"/>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17,000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L. Solberg and Barb M. Solberg</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100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John Steinbergs</w:t>
            </w:r>
          </w:p>
        </w:tc>
        <w:tc>
          <w:tcPr>
            <w:tcW w:w="800" w:type="dxa"/>
            <w:vAlign w:val="bottom"/>
          </w:tcPr>
          <w:p>
            <w:pPr>
              <w:jc w:val="right"/>
              <w:spacing w:after="0"/>
              <w:rPr>
                <w:sz w:val="20"/>
                <w:szCs w:val="20"/>
                <w:color w:val="auto"/>
              </w:rPr>
            </w:pPr>
            <w:r>
              <w:rPr>
                <w:rFonts w:ascii="Arial" w:cs="Arial" w:eastAsia="Arial" w:hAnsi="Arial"/>
                <w:sz w:val="18"/>
                <w:szCs w:val="18"/>
                <w:color w:val="auto"/>
              </w:rPr>
              <w:t>7,500</w:t>
            </w:r>
          </w:p>
        </w:tc>
        <w:tc>
          <w:tcPr>
            <w:tcW w:w="800" w:type="dxa"/>
            <w:vAlign w:val="bottom"/>
          </w:tcPr>
          <w:p>
            <w:pPr>
              <w:spacing w:after="0"/>
              <w:rPr>
                <w:sz w:val="18"/>
                <w:szCs w:val="18"/>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7,500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Louis Stone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7,000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Brian Swank</w:t>
            </w:r>
          </w:p>
        </w:tc>
        <w:tc>
          <w:tcPr>
            <w:tcW w:w="800" w:type="dxa"/>
            <w:vAlign w:val="bottom"/>
          </w:tcPr>
          <w:p>
            <w:pPr>
              <w:jc w:val="right"/>
              <w:spacing w:after="0"/>
              <w:rPr>
                <w:sz w:val="20"/>
                <w:szCs w:val="20"/>
                <w:color w:val="auto"/>
              </w:rPr>
            </w:pPr>
            <w:r>
              <w:rPr>
                <w:rFonts w:ascii="Arial" w:cs="Arial" w:eastAsia="Arial" w:hAnsi="Arial"/>
                <w:sz w:val="18"/>
                <w:szCs w:val="18"/>
                <w:color w:val="auto"/>
              </w:rPr>
              <w:t>3,500</w:t>
            </w:r>
          </w:p>
        </w:tc>
        <w:tc>
          <w:tcPr>
            <w:tcW w:w="800" w:type="dxa"/>
            <w:vAlign w:val="bottom"/>
          </w:tcPr>
          <w:p>
            <w:pPr>
              <w:spacing w:after="0"/>
              <w:rPr>
                <w:sz w:val="18"/>
                <w:szCs w:val="18"/>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3,500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Paul H. Swy</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16,000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Tailwind V.C., LLC</w:t>
            </w:r>
          </w:p>
        </w:tc>
        <w:tc>
          <w:tcPr>
            <w:tcW w:w="800" w:type="dxa"/>
            <w:vAlign w:val="bottom"/>
          </w:tcPr>
          <w:p>
            <w:pPr>
              <w:jc w:val="right"/>
              <w:spacing w:after="0"/>
              <w:rPr>
                <w:sz w:val="20"/>
                <w:szCs w:val="20"/>
                <w:color w:val="auto"/>
              </w:rPr>
            </w:pPr>
            <w:r>
              <w:rPr>
                <w:rFonts w:ascii="Arial" w:cs="Arial" w:eastAsia="Arial" w:hAnsi="Arial"/>
                <w:sz w:val="18"/>
                <w:szCs w:val="18"/>
                <w:color w:val="auto"/>
              </w:rPr>
              <w:t>100,000</w:t>
            </w:r>
          </w:p>
        </w:tc>
        <w:tc>
          <w:tcPr>
            <w:tcW w:w="800" w:type="dxa"/>
            <w:vAlign w:val="bottom"/>
          </w:tcPr>
          <w:p>
            <w:pPr>
              <w:spacing w:after="0"/>
              <w:rPr>
                <w:sz w:val="18"/>
                <w:szCs w:val="18"/>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100,000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Elissa Traher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3,000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Leo Tutewohl (Trustee)</w:t>
            </w:r>
          </w:p>
        </w:tc>
        <w:tc>
          <w:tcPr>
            <w:tcW w:w="800" w:type="dxa"/>
            <w:vAlign w:val="bottom"/>
          </w:tcPr>
          <w:p>
            <w:pPr>
              <w:jc w:val="right"/>
              <w:spacing w:after="0"/>
              <w:rPr>
                <w:sz w:val="20"/>
                <w:szCs w:val="20"/>
                <w:color w:val="auto"/>
              </w:rPr>
            </w:pPr>
            <w:r>
              <w:rPr>
                <w:rFonts w:ascii="Arial" w:cs="Arial" w:eastAsia="Arial" w:hAnsi="Arial"/>
                <w:sz w:val="18"/>
                <w:szCs w:val="18"/>
                <w:color w:val="auto"/>
              </w:rPr>
              <w:t>166</w:t>
            </w:r>
          </w:p>
        </w:tc>
        <w:tc>
          <w:tcPr>
            <w:tcW w:w="800" w:type="dxa"/>
            <w:vAlign w:val="bottom"/>
          </w:tcPr>
          <w:p>
            <w:pPr>
              <w:spacing w:after="0"/>
              <w:rPr>
                <w:sz w:val="18"/>
                <w:szCs w:val="18"/>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166</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Talia Ran Irrevocable Trust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3,440</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3,440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Tamar R. Ran Irrevocable Trust UAD</w:t>
            </w:r>
          </w:p>
        </w:tc>
        <w:tc>
          <w:tcPr>
            <w:tcW w:w="800" w:type="dxa"/>
            <w:vAlign w:val="bottom"/>
          </w:tcPr>
          <w:p>
            <w:pPr>
              <w:jc w:val="right"/>
              <w:spacing w:after="0"/>
              <w:rPr>
                <w:sz w:val="20"/>
                <w:szCs w:val="20"/>
                <w:color w:val="auto"/>
              </w:rPr>
            </w:pPr>
            <w:r>
              <w:rPr>
                <w:rFonts w:ascii="Arial" w:cs="Arial" w:eastAsia="Arial" w:hAnsi="Arial"/>
                <w:sz w:val="18"/>
                <w:szCs w:val="18"/>
                <w:color w:val="auto"/>
              </w:rPr>
              <w:t>3,440</w:t>
            </w:r>
          </w:p>
        </w:tc>
        <w:tc>
          <w:tcPr>
            <w:tcW w:w="800" w:type="dxa"/>
            <w:vAlign w:val="bottom"/>
          </w:tcPr>
          <w:p>
            <w:pPr>
              <w:spacing w:after="0"/>
              <w:rPr>
                <w:sz w:val="18"/>
                <w:szCs w:val="18"/>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3,440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Leland &amp; Cessily J. Thalacker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29,572</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29,572</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Trustee for the Glenn E. White Trust dtd 6/8/95</w:t>
            </w:r>
          </w:p>
        </w:tc>
        <w:tc>
          <w:tcPr>
            <w:tcW w:w="800" w:type="dxa"/>
            <w:vAlign w:val="bottom"/>
          </w:tcPr>
          <w:p>
            <w:pPr>
              <w:jc w:val="right"/>
              <w:spacing w:after="0"/>
              <w:rPr>
                <w:sz w:val="20"/>
                <w:szCs w:val="20"/>
                <w:color w:val="auto"/>
              </w:rPr>
            </w:pPr>
            <w:r>
              <w:rPr>
                <w:rFonts w:ascii="Arial" w:cs="Arial" w:eastAsia="Arial" w:hAnsi="Arial"/>
                <w:sz w:val="18"/>
                <w:szCs w:val="18"/>
                <w:color w:val="auto"/>
              </w:rPr>
              <w:t>20,658</w:t>
            </w:r>
          </w:p>
        </w:tc>
        <w:tc>
          <w:tcPr>
            <w:tcW w:w="800" w:type="dxa"/>
            <w:vAlign w:val="bottom"/>
          </w:tcPr>
          <w:p>
            <w:pPr>
              <w:spacing w:after="0"/>
              <w:rPr>
                <w:sz w:val="18"/>
                <w:szCs w:val="18"/>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20,658</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E. Upton Trustee U/A dtd 7/8/71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7,000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Debra Van Der Vieren</w:t>
            </w:r>
          </w:p>
        </w:tc>
        <w:tc>
          <w:tcPr>
            <w:tcW w:w="800" w:type="dxa"/>
            <w:vAlign w:val="bottom"/>
          </w:tcPr>
          <w:p>
            <w:pPr>
              <w:jc w:val="right"/>
              <w:spacing w:after="0"/>
              <w:rPr>
                <w:sz w:val="20"/>
                <w:szCs w:val="20"/>
                <w:color w:val="auto"/>
              </w:rPr>
            </w:pPr>
            <w:r>
              <w:rPr>
                <w:rFonts w:ascii="Arial" w:cs="Arial" w:eastAsia="Arial" w:hAnsi="Arial"/>
                <w:sz w:val="18"/>
                <w:szCs w:val="18"/>
                <w:color w:val="auto"/>
              </w:rPr>
              <w:t>835</w:t>
            </w:r>
          </w:p>
        </w:tc>
        <w:tc>
          <w:tcPr>
            <w:tcW w:w="800" w:type="dxa"/>
            <w:vAlign w:val="bottom"/>
          </w:tcPr>
          <w:p>
            <w:pPr>
              <w:spacing w:after="0"/>
              <w:rPr>
                <w:sz w:val="19"/>
                <w:szCs w:val="19"/>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835</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5"/>
              </w:rPr>
              <w:t>Common</w:t>
            </w:r>
          </w:p>
        </w:tc>
        <w:tc>
          <w:tcPr>
            <w:tcW w:w="6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8"/>
              </w:rPr>
              <w:t>Common</w:t>
            </w:r>
          </w:p>
        </w:tc>
        <w:tc>
          <w:tcPr>
            <w:tcW w:w="68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Percentage (2)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7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5"/>
              </w:rPr>
              <w:t>Common</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 Being</w:t>
            </w:r>
          </w:p>
        </w:tc>
        <w:tc>
          <w:tcPr>
            <w:tcW w:w="6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Stock Owned</w:t>
            </w:r>
          </w:p>
        </w:tc>
        <w:tc>
          <w:tcPr>
            <w:tcW w:w="68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7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5"/>
              </w:rPr>
              <w:t>Stock Owned</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Offered</w:t>
            </w:r>
          </w:p>
        </w:tc>
        <w:tc>
          <w:tcPr>
            <w:tcW w:w="6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Upon</w:t>
            </w:r>
          </w:p>
        </w:tc>
        <w:tc>
          <w:tcPr>
            <w:tcW w:w="68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Owned Upon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7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0"/>
              </w:rPr>
              <w:t>Prior to the</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Pursuant to</w:t>
            </w:r>
          </w:p>
        </w:tc>
        <w:tc>
          <w:tcPr>
            <w:tcW w:w="6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Completion of</w:t>
            </w:r>
          </w:p>
        </w:tc>
        <w:tc>
          <w:tcPr>
            <w:tcW w:w="680" w:type="dxa"/>
            <w:vAlign w:val="bottom"/>
          </w:tcPr>
          <w:p>
            <w:pPr>
              <w:spacing w:after="0"/>
              <w:rPr>
                <w:sz w:val="12"/>
                <w:szCs w:val="12"/>
                <w:color w:val="auto"/>
              </w:rPr>
            </w:pP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Completion of</w:t>
            </w:r>
          </w:p>
        </w:tc>
        <w:tc>
          <w:tcPr>
            <w:tcW w:w="0" w:type="dxa"/>
            <w:vAlign w:val="bottom"/>
          </w:tcPr>
          <w:p>
            <w:pPr>
              <w:spacing w:after="0"/>
              <w:rPr>
                <w:sz w:val="1"/>
                <w:szCs w:val="1"/>
                <w:color w:val="auto"/>
              </w:rPr>
            </w:pPr>
          </w:p>
        </w:tc>
      </w:tr>
      <w:tr>
        <w:trPr>
          <w:trHeight w:val="174"/>
        </w:trPr>
        <w:tc>
          <w:tcPr>
            <w:tcW w:w="5340" w:type="dxa"/>
            <w:vAlign w:val="bottom"/>
            <w:gridSpan w:val="3"/>
          </w:tcPr>
          <w:p>
            <w:pPr>
              <w:spacing w:after="0"/>
              <w:rPr>
                <w:sz w:val="20"/>
                <w:szCs w:val="20"/>
                <w:color w:val="auto"/>
              </w:rPr>
            </w:pPr>
            <w:r>
              <w:rPr>
                <w:rFonts w:ascii="Arial" w:cs="Arial" w:eastAsia="Arial" w:hAnsi="Arial"/>
                <w:sz w:val="14"/>
                <w:szCs w:val="14"/>
                <w:b w:val="1"/>
                <w:bCs w:val="1"/>
                <w:color w:val="auto"/>
              </w:rPr>
              <w:t>Name of Selling Stockholder</w:t>
            </w:r>
          </w:p>
        </w:tc>
        <w:tc>
          <w:tcPr>
            <w:tcW w:w="17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8"/>
              </w:rPr>
              <w:t>Offering</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3"/>
              </w:rPr>
              <w:t>this Prospectus</w:t>
            </w:r>
          </w:p>
        </w:tc>
        <w:tc>
          <w:tcPr>
            <w:tcW w:w="68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this Offering (1)</w:t>
            </w:r>
          </w:p>
        </w:tc>
        <w:tc>
          <w:tcPr>
            <w:tcW w:w="680" w:type="dxa"/>
            <w:vAlign w:val="bottom"/>
          </w:tcPr>
          <w:p>
            <w:pPr>
              <w:spacing w:after="0"/>
              <w:rPr>
                <w:sz w:val="15"/>
                <w:szCs w:val="15"/>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this Offering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314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8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Vanguard Tax Id #23-2869268 custodian F/B/O Thomas J.</w:t>
            </w:r>
          </w:p>
        </w:tc>
        <w:tc>
          <w:tcPr>
            <w:tcW w:w="10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Favazza, IRA</w:t>
            </w: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39,453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39,453</w:t>
            </w:r>
          </w:p>
        </w:tc>
        <w:tc>
          <w:tcPr>
            <w:tcW w:w="6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D.M. Van Leijenhorst</w:t>
            </w:r>
          </w:p>
        </w:tc>
        <w:tc>
          <w:tcPr>
            <w:tcW w:w="1700" w:type="dxa"/>
            <w:vAlign w:val="bottom"/>
            <w:gridSpan w:val="2"/>
          </w:tcPr>
          <w:p>
            <w:pPr>
              <w:jc w:val="right"/>
              <w:ind w:right="700"/>
              <w:spacing w:after="0"/>
              <w:rPr>
                <w:sz w:val="20"/>
                <w:szCs w:val="20"/>
                <w:color w:val="auto"/>
              </w:rPr>
            </w:pPr>
            <w:r>
              <w:rPr>
                <w:rFonts w:ascii="Arial" w:cs="Arial" w:eastAsia="Arial" w:hAnsi="Arial"/>
                <w:sz w:val="18"/>
                <w:szCs w:val="18"/>
                <w:color w:val="auto"/>
              </w:rPr>
              <w:t>20,715</w:t>
            </w:r>
          </w:p>
        </w:tc>
        <w:tc>
          <w:tcPr>
            <w:tcW w:w="900" w:type="dxa"/>
            <w:vAlign w:val="bottom"/>
          </w:tcPr>
          <w:p>
            <w:pPr>
              <w:jc w:val="right"/>
              <w:spacing w:after="0"/>
              <w:rPr>
                <w:sz w:val="20"/>
                <w:szCs w:val="20"/>
                <w:color w:val="auto"/>
              </w:rPr>
            </w:pPr>
            <w:r>
              <w:rPr>
                <w:rFonts w:ascii="Arial" w:cs="Arial" w:eastAsia="Arial" w:hAnsi="Arial"/>
                <w:sz w:val="18"/>
                <w:szCs w:val="18"/>
                <w:color w:val="auto"/>
              </w:rPr>
              <w:t>20,715</w:t>
            </w:r>
          </w:p>
        </w:tc>
        <w:tc>
          <w:tcPr>
            <w:tcW w:w="680" w:type="dxa"/>
            <w:vAlign w:val="bottom"/>
          </w:tcPr>
          <w:p>
            <w:pPr>
              <w:spacing w:after="0"/>
              <w:rPr>
                <w:sz w:val="18"/>
                <w:szCs w:val="18"/>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Dick Martijn Van Leijenhorst</w:t>
            </w: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22,500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w:t>
            </w: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Kimberly S. Vatter</w:t>
            </w:r>
          </w:p>
        </w:tc>
        <w:tc>
          <w:tcPr>
            <w:tcW w:w="1700" w:type="dxa"/>
            <w:vAlign w:val="bottom"/>
            <w:gridSpan w:val="2"/>
          </w:tcPr>
          <w:p>
            <w:pPr>
              <w:jc w:val="right"/>
              <w:ind w:right="700"/>
              <w:spacing w:after="0"/>
              <w:rPr>
                <w:sz w:val="20"/>
                <w:szCs w:val="20"/>
                <w:color w:val="auto"/>
              </w:rPr>
            </w:pPr>
            <w:r>
              <w:rPr>
                <w:rFonts w:ascii="Arial" w:cs="Arial" w:eastAsia="Arial" w:hAnsi="Arial"/>
                <w:sz w:val="18"/>
                <w:szCs w:val="18"/>
                <w:color w:val="auto"/>
              </w:rPr>
              <w:t>134</w:t>
            </w:r>
          </w:p>
        </w:tc>
        <w:tc>
          <w:tcPr>
            <w:tcW w:w="900" w:type="dxa"/>
            <w:vAlign w:val="bottom"/>
          </w:tcPr>
          <w:p>
            <w:pPr>
              <w:jc w:val="right"/>
              <w:spacing w:after="0"/>
              <w:rPr>
                <w:sz w:val="20"/>
                <w:szCs w:val="20"/>
                <w:color w:val="auto"/>
              </w:rPr>
            </w:pPr>
            <w:r>
              <w:rPr>
                <w:rFonts w:ascii="Arial" w:cs="Arial" w:eastAsia="Arial" w:hAnsi="Arial"/>
                <w:sz w:val="18"/>
                <w:szCs w:val="18"/>
                <w:color w:val="auto"/>
              </w:rPr>
              <w:t>134</w:t>
            </w:r>
          </w:p>
        </w:tc>
        <w:tc>
          <w:tcPr>
            <w:tcW w:w="680" w:type="dxa"/>
            <w:vAlign w:val="bottom"/>
          </w:tcPr>
          <w:p>
            <w:pPr>
              <w:spacing w:after="0"/>
              <w:rPr>
                <w:sz w:val="18"/>
                <w:szCs w:val="18"/>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Avie Wasser as Custodian for David M. Wasser</w:t>
            </w: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Leon Weinberg</w:t>
            </w:r>
          </w:p>
        </w:tc>
        <w:tc>
          <w:tcPr>
            <w:tcW w:w="1700" w:type="dxa"/>
            <w:vAlign w:val="bottom"/>
            <w:gridSpan w:val="2"/>
          </w:tcPr>
          <w:p>
            <w:pPr>
              <w:jc w:val="right"/>
              <w:ind w:right="700"/>
              <w:spacing w:after="0"/>
              <w:rPr>
                <w:sz w:val="20"/>
                <w:szCs w:val="20"/>
                <w:color w:val="auto"/>
              </w:rPr>
            </w:pPr>
            <w:r>
              <w:rPr>
                <w:rFonts w:ascii="Arial" w:cs="Arial" w:eastAsia="Arial" w:hAnsi="Arial"/>
                <w:sz w:val="18"/>
                <w:szCs w:val="18"/>
                <w:color w:val="auto"/>
              </w:rPr>
              <w:t>20,537</w:t>
            </w:r>
          </w:p>
        </w:tc>
        <w:tc>
          <w:tcPr>
            <w:tcW w:w="900" w:type="dxa"/>
            <w:vAlign w:val="bottom"/>
          </w:tcPr>
          <w:p>
            <w:pPr>
              <w:jc w:val="right"/>
              <w:spacing w:after="0"/>
              <w:rPr>
                <w:sz w:val="20"/>
                <w:szCs w:val="20"/>
                <w:color w:val="auto"/>
              </w:rPr>
            </w:pPr>
            <w:r>
              <w:rPr>
                <w:rFonts w:ascii="Arial" w:cs="Arial" w:eastAsia="Arial" w:hAnsi="Arial"/>
                <w:sz w:val="18"/>
                <w:szCs w:val="18"/>
                <w:color w:val="auto"/>
              </w:rPr>
              <w:t>20,537</w:t>
            </w:r>
          </w:p>
        </w:tc>
        <w:tc>
          <w:tcPr>
            <w:tcW w:w="680" w:type="dxa"/>
            <w:vAlign w:val="bottom"/>
          </w:tcPr>
          <w:p>
            <w:pPr>
              <w:spacing w:after="0"/>
              <w:rPr>
                <w:sz w:val="18"/>
                <w:szCs w:val="18"/>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White Family Living Trust</w:t>
            </w: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11,250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11,250</w:t>
            </w: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Yonatan Y. Ran Irrevocable Trust UAD</w:t>
            </w:r>
          </w:p>
        </w:tc>
        <w:tc>
          <w:tcPr>
            <w:tcW w:w="1700" w:type="dxa"/>
            <w:vAlign w:val="bottom"/>
            <w:gridSpan w:val="2"/>
          </w:tcPr>
          <w:p>
            <w:pPr>
              <w:jc w:val="right"/>
              <w:ind w:right="700"/>
              <w:spacing w:after="0"/>
              <w:rPr>
                <w:sz w:val="20"/>
                <w:szCs w:val="20"/>
                <w:color w:val="auto"/>
              </w:rPr>
            </w:pPr>
            <w:r>
              <w:rPr>
                <w:rFonts w:ascii="Arial" w:cs="Arial" w:eastAsia="Arial" w:hAnsi="Arial"/>
                <w:sz w:val="18"/>
                <w:szCs w:val="18"/>
                <w:color w:val="auto"/>
              </w:rPr>
              <w:t>3,440</w:t>
            </w:r>
          </w:p>
        </w:tc>
        <w:tc>
          <w:tcPr>
            <w:tcW w:w="900" w:type="dxa"/>
            <w:vAlign w:val="bottom"/>
          </w:tcPr>
          <w:p>
            <w:pPr>
              <w:jc w:val="right"/>
              <w:spacing w:after="0"/>
              <w:rPr>
                <w:sz w:val="20"/>
                <w:szCs w:val="20"/>
                <w:color w:val="auto"/>
              </w:rPr>
            </w:pPr>
            <w:r>
              <w:rPr>
                <w:rFonts w:ascii="Arial" w:cs="Arial" w:eastAsia="Arial" w:hAnsi="Arial"/>
                <w:sz w:val="18"/>
                <w:szCs w:val="18"/>
                <w:color w:val="auto"/>
              </w:rPr>
              <w:t>3,440</w:t>
            </w:r>
          </w:p>
        </w:tc>
        <w:tc>
          <w:tcPr>
            <w:tcW w:w="680" w:type="dxa"/>
            <w:vAlign w:val="bottom"/>
          </w:tcPr>
          <w:p>
            <w:pPr>
              <w:spacing w:after="0"/>
              <w:rPr>
                <w:sz w:val="18"/>
                <w:szCs w:val="18"/>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W. Baird &amp; Co., Incorporated (12)</w:t>
            </w: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202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Brown &amp; Company Securities Corporation (12)</w:t>
            </w:r>
          </w:p>
        </w:tc>
        <w:tc>
          <w:tcPr>
            <w:tcW w:w="1700" w:type="dxa"/>
            <w:vAlign w:val="bottom"/>
            <w:gridSpan w:val="2"/>
          </w:tcPr>
          <w:p>
            <w:pPr>
              <w:jc w:val="right"/>
              <w:ind w:right="700"/>
              <w:spacing w:after="0"/>
              <w:rPr>
                <w:sz w:val="20"/>
                <w:szCs w:val="20"/>
                <w:color w:val="auto"/>
              </w:rPr>
            </w:pPr>
            <w:r>
              <w:rPr>
                <w:rFonts w:ascii="Arial" w:cs="Arial" w:eastAsia="Arial" w:hAnsi="Arial"/>
                <w:sz w:val="18"/>
                <w:szCs w:val="18"/>
                <w:color w:val="auto"/>
              </w:rPr>
              <w:t>31,868</w:t>
            </w:r>
          </w:p>
        </w:tc>
        <w:tc>
          <w:tcPr>
            <w:tcW w:w="900" w:type="dxa"/>
            <w:vAlign w:val="bottom"/>
          </w:tcPr>
          <w:p>
            <w:pPr>
              <w:jc w:val="right"/>
              <w:spacing w:after="0"/>
              <w:rPr>
                <w:sz w:val="20"/>
                <w:szCs w:val="20"/>
                <w:color w:val="auto"/>
              </w:rPr>
            </w:pPr>
            <w:r>
              <w:rPr>
                <w:rFonts w:ascii="Arial" w:cs="Arial" w:eastAsia="Arial" w:hAnsi="Arial"/>
                <w:sz w:val="18"/>
                <w:szCs w:val="18"/>
                <w:color w:val="auto"/>
              </w:rPr>
              <w:t>31,868</w:t>
            </w:r>
          </w:p>
        </w:tc>
        <w:tc>
          <w:tcPr>
            <w:tcW w:w="680" w:type="dxa"/>
            <w:vAlign w:val="bottom"/>
          </w:tcPr>
          <w:p>
            <w:pPr>
              <w:spacing w:after="0"/>
              <w:rPr>
                <w:sz w:val="18"/>
                <w:szCs w:val="18"/>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Schwab &amp; Co., Inc. (12)</w:t>
            </w: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Dain Rauscher Incorporated (12)</w:t>
            </w:r>
          </w:p>
        </w:tc>
        <w:tc>
          <w:tcPr>
            <w:tcW w:w="1700" w:type="dxa"/>
            <w:vAlign w:val="bottom"/>
            <w:gridSpan w:val="2"/>
          </w:tcPr>
          <w:p>
            <w:pPr>
              <w:jc w:val="right"/>
              <w:ind w:right="700"/>
              <w:spacing w:after="0"/>
              <w:rPr>
                <w:sz w:val="20"/>
                <w:szCs w:val="20"/>
                <w:color w:val="auto"/>
              </w:rPr>
            </w:pPr>
            <w:r>
              <w:rPr>
                <w:rFonts w:ascii="Arial" w:cs="Arial" w:eastAsia="Arial" w:hAnsi="Arial"/>
                <w:sz w:val="18"/>
                <w:szCs w:val="18"/>
                <w:color w:val="auto"/>
              </w:rPr>
              <w:t>3</w:t>
            </w: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680" w:type="dxa"/>
            <w:vAlign w:val="bottom"/>
          </w:tcPr>
          <w:p>
            <w:pPr>
              <w:spacing w:after="0"/>
              <w:rPr>
                <w:sz w:val="18"/>
                <w:szCs w:val="18"/>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Dobbin &amp; Co. (12)</w:t>
            </w: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First Clearing Corporation (12)</w:t>
            </w:r>
          </w:p>
        </w:tc>
        <w:tc>
          <w:tcPr>
            <w:tcW w:w="1700" w:type="dxa"/>
            <w:vAlign w:val="bottom"/>
            <w:gridSpan w:val="2"/>
          </w:tcPr>
          <w:p>
            <w:pPr>
              <w:jc w:val="right"/>
              <w:ind w:right="700"/>
              <w:spacing w:after="0"/>
              <w:rPr>
                <w:sz w:val="20"/>
                <w:szCs w:val="20"/>
                <w:color w:val="auto"/>
              </w:rPr>
            </w:pPr>
            <w:r>
              <w:rPr>
                <w:rFonts w:ascii="Arial" w:cs="Arial" w:eastAsia="Arial" w:hAnsi="Arial"/>
                <w:sz w:val="18"/>
                <w:szCs w:val="18"/>
                <w:color w:val="auto"/>
              </w:rPr>
              <w:t>4,000</w:t>
            </w:r>
          </w:p>
        </w:tc>
        <w:tc>
          <w:tcPr>
            <w:tcW w:w="900" w:type="dxa"/>
            <w:vAlign w:val="bottom"/>
          </w:tcPr>
          <w:p>
            <w:pPr>
              <w:jc w:val="right"/>
              <w:spacing w:after="0"/>
              <w:rPr>
                <w:sz w:val="20"/>
                <w:szCs w:val="20"/>
                <w:color w:val="auto"/>
              </w:rPr>
            </w:pPr>
            <w:r>
              <w:rPr>
                <w:rFonts w:ascii="Arial" w:cs="Arial" w:eastAsia="Arial" w:hAnsi="Arial"/>
                <w:sz w:val="18"/>
                <w:szCs w:val="18"/>
                <w:color w:val="auto"/>
              </w:rPr>
              <w:t>4,000</w:t>
            </w:r>
          </w:p>
        </w:tc>
        <w:tc>
          <w:tcPr>
            <w:tcW w:w="680" w:type="dxa"/>
            <w:vAlign w:val="bottom"/>
          </w:tcPr>
          <w:p>
            <w:pPr>
              <w:spacing w:after="0"/>
              <w:rPr>
                <w:sz w:val="18"/>
                <w:szCs w:val="18"/>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Fiserv Securities, Inc. (12)</w:t>
            </w: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Fleet Securities, Inc. (12)</w:t>
            </w:r>
          </w:p>
        </w:tc>
        <w:tc>
          <w:tcPr>
            <w:tcW w:w="1700" w:type="dxa"/>
            <w:vAlign w:val="bottom"/>
            <w:gridSpan w:val="2"/>
          </w:tcPr>
          <w:p>
            <w:pPr>
              <w:jc w:val="right"/>
              <w:ind w:right="700"/>
              <w:spacing w:after="0"/>
              <w:rPr>
                <w:sz w:val="20"/>
                <w:szCs w:val="20"/>
                <w:color w:val="auto"/>
              </w:rPr>
            </w:pPr>
            <w:r>
              <w:rPr>
                <w:rFonts w:ascii="Arial" w:cs="Arial" w:eastAsia="Arial" w:hAnsi="Arial"/>
                <w:sz w:val="18"/>
                <w:szCs w:val="18"/>
                <w:color w:val="auto"/>
              </w:rPr>
              <w:t>986</w:t>
            </w:r>
          </w:p>
        </w:tc>
        <w:tc>
          <w:tcPr>
            <w:tcW w:w="900" w:type="dxa"/>
            <w:vAlign w:val="bottom"/>
          </w:tcPr>
          <w:p>
            <w:pPr>
              <w:jc w:val="right"/>
              <w:spacing w:after="0"/>
              <w:rPr>
                <w:sz w:val="20"/>
                <w:szCs w:val="20"/>
                <w:color w:val="auto"/>
              </w:rPr>
            </w:pPr>
            <w:r>
              <w:rPr>
                <w:rFonts w:ascii="Arial" w:cs="Arial" w:eastAsia="Arial" w:hAnsi="Arial"/>
                <w:sz w:val="18"/>
                <w:szCs w:val="18"/>
                <w:color w:val="auto"/>
              </w:rPr>
              <w:t>986</w:t>
            </w:r>
          </w:p>
        </w:tc>
        <w:tc>
          <w:tcPr>
            <w:tcW w:w="680" w:type="dxa"/>
            <w:vAlign w:val="bottom"/>
          </w:tcPr>
          <w:p>
            <w:pPr>
              <w:spacing w:after="0"/>
              <w:rPr>
                <w:sz w:val="18"/>
                <w:szCs w:val="18"/>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GVR Co. (12)</w:t>
            </w: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Janney Montgomery Scott Inc. (12)</w:t>
            </w:r>
          </w:p>
        </w:tc>
        <w:tc>
          <w:tcPr>
            <w:tcW w:w="1700" w:type="dxa"/>
            <w:vAlign w:val="bottom"/>
            <w:gridSpan w:val="2"/>
          </w:tcPr>
          <w:p>
            <w:pPr>
              <w:jc w:val="right"/>
              <w:ind w:right="700"/>
              <w:spacing w:after="0"/>
              <w:rPr>
                <w:sz w:val="20"/>
                <w:szCs w:val="20"/>
                <w:color w:val="auto"/>
              </w:rPr>
            </w:pPr>
            <w:r>
              <w:rPr>
                <w:rFonts w:ascii="Arial" w:cs="Arial" w:eastAsia="Arial" w:hAnsi="Arial"/>
                <w:sz w:val="18"/>
                <w:szCs w:val="18"/>
                <w:color w:val="auto"/>
              </w:rPr>
              <w:t>350</w:t>
            </w:r>
          </w:p>
        </w:tc>
        <w:tc>
          <w:tcPr>
            <w:tcW w:w="900" w:type="dxa"/>
            <w:vAlign w:val="bottom"/>
          </w:tcPr>
          <w:p>
            <w:pPr>
              <w:jc w:val="right"/>
              <w:spacing w:after="0"/>
              <w:rPr>
                <w:sz w:val="20"/>
                <w:szCs w:val="20"/>
                <w:color w:val="auto"/>
              </w:rPr>
            </w:pPr>
            <w:r>
              <w:rPr>
                <w:rFonts w:ascii="Arial" w:cs="Arial" w:eastAsia="Arial" w:hAnsi="Arial"/>
                <w:sz w:val="18"/>
                <w:szCs w:val="18"/>
                <w:color w:val="auto"/>
              </w:rPr>
              <w:t>350</w:t>
            </w:r>
          </w:p>
        </w:tc>
        <w:tc>
          <w:tcPr>
            <w:tcW w:w="680" w:type="dxa"/>
            <w:vAlign w:val="bottom"/>
          </w:tcPr>
          <w:p>
            <w:pPr>
              <w:spacing w:after="0"/>
              <w:rPr>
                <w:sz w:val="18"/>
                <w:szCs w:val="18"/>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Lehman Brothers, Inc. (12)</w:t>
            </w: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Morgan Stanley Dean Witter Inc (12)</w:t>
            </w:r>
          </w:p>
        </w:tc>
        <w:tc>
          <w:tcPr>
            <w:tcW w:w="1700" w:type="dxa"/>
            <w:vAlign w:val="bottom"/>
            <w:gridSpan w:val="2"/>
          </w:tcPr>
          <w:p>
            <w:pPr>
              <w:jc w:val="right"/>
              <w:ind w:right="700"/>
              <w:spacing w:after="0"/>
              <w:rPr>
                <w:sz w:val="20"/>
                <w:szCs w:val="20"/>
                <w:color w:val="auto"/>
              </w:rPr>
            </w:pPr>
            <w:r>
              <w:rPr>
                <w:rFonts w:ascii="Arial" w:cs="Arial" w:eastAsia="Arial" w:hAnsi="Arial"/>
                <w:sz w:val="18"/>
                <w:szCs w:val="18"/>
                <w:color w:val="auto"/>
              </w:rPr>
              <w:t>334</w:t>
            </w:r>
          </w:p>
        </w:tc>
        <w:tc>
          <w:tcPr>
            <w:tcW w:w="900" w:type="dxa"/>
            <w:vAlign w:val="bottom"/>
          </w:tcPr>
          <w:p>
            <w:pPr>
              <w:jc w:val="right"/>
              <w:spacing w:after="0"/>
              <w:rPr>
                <w:sz w:val="20"/>
                <w:szCs w:val="20"/>
                <w:color w:val="auto"/>
              </w:rPr>
            </w:pPr>
            <w:r>
              <w:rPr>
                <w:rFonts w:ascii="Arial" w:cs="Arial" w:eastAsia="Arial" w:hAnsi="Arial"/>
                <w:sz w:val="18"/>
                <w:szCs w:val="18"/>
                <w:color w:val="auto"/>
              </w:rPr>
              <w:t>334</w:t>
            </w:r>
          </w:p>
        </w:tc>
        <w:tc>
          <w:tcPr>
            <w:tcW w:w="680" w:type="dxa"/>
            <w:vAlign w:val="bottom"/>
          </w:tcPr>
          <w:p>
            <w:pPr>
              <w:spacing w:after="0"/>
              <w:rPr>
                <w:sz w:val="18"/>
                <w:szCs w:val="18"/>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PREFERREDTRADE, INC. (12)</w:t>
            </w: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333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Stifel, Nicolaus &amp; Co Inc. (12)</w:t>
            </w:r>
          </w:p>
        </w:tc>
        <w:tc>
          <w:tcPr>
            <w:tcW w:w="1700" w:type="dxa"/>
            <w:vAlign w:val="bottom"/>
            <w:gridSpan w:val="2"/>
          </w:tcPr>
          <w:p>
            <w:pPr>
              <w:jc w:val="right"/>
              <w:ind w:right="700"/>
              <w:spacing w:after="0"/>
              <w:rPr>
                <w:sz w:val="20"/>
                <w:szCs w:val="20"/>
                <w:color w:val="auto"/>
              </w:rPr>
            </w:pPr>
            <w:r>
              <w:rPr>
                <w:rFonts w:ascii="Arial" w:cs="Arial" w:eastAsia="Arial" w:hAnsi="Arial"/>
                <w:sz w:val="18"/>
                <w:szCs w:val="18"/>
                <w:color w:val="auto"/>
              </w:rPr>
              <w:t>333</w:t>
            </w:r>
          </w:p>
        </w:tc>
        <w:tc>
          <w:tcPr>
            <w:tcW w:w="900" w:type="dxa"/>
            <w:vAlign w:val="bottom"/>
          </w:tcPr>
          <w:p>
            <w:pPr>
              <w:jc w:val="right"/>
              <w:spacing w:after="0"/>
              <w:rPr>
                <w:sz w:val="20"/>
                <w:szCs w:val="20"/>
                <w:color w:val="auto"/>
              </w:rPr>
            </w:pPr>
            <w:r>
              <w:rPr>
                <w:rFonts w:ascii="Arial" w:cs="Arial" w:eastAsia="Arial" w:hAnsi="Arial"/>
                <w:sz w:val="18"/>
                <w:szCs w:val="18"/>
                <w:color w:val="auto"/>
              </w:rPr>
              <w:t>333</w:t>
            </w:r>
          </w:p>
        </w:tc>
        <w:tc>
          <w:tcPr>
            <w:tcW w:w="680" w:type="dxa"/>
            <w:vAlign w:val="bottom"/>
          </w:tcPr>
          <w:p>
            <w:pPr>
              <w:spacing w:after="0"/>
              <w:rPr>
                <w:sz w:val="18"/>
                <w:szCs w:val="18"/>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UBS Painewebber Inc. (12)</w:t>
            </w: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2,583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w:t>
            </w: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US Bancorp Piper Jaffray Inc. (12)</w:t>
            </w:r>
          </w:p>
        </w:tc>
        <w:tc>
          <w:tcPr>
            <w:tcW w:w="1700" w:type="dxa"/>
            <w:vAlign w:val="bottom"/>
            <w:gridSpan w:val="2"/>
          </w:tcPr>
          <w:p>
            <w:pPr>
              <w:jc w:val="right"/>
              <w:ind w:right="700"/>
              <w:spacing w:after="0"/>
              <w:rPr>
                <w:sz w:val="20"/>
                <w:szCs w:val="20"/>
                <w:color w:val="auto"/>
              </w:rPr>
            </w:pPr>
            <w:r>
              <w:rPr>
                <w:rFonts w:ascii="Arial" w:cs="Arial" w:eastAsia="Arial" w:hAnsi="Arial"/>
                <w:sz w:val="18"/>
                <w:szCs w:val="18"/>
                <w:color w:val="auto"/>
              </w:rPr>
              <w:t>34</w:t>
            </w: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c>
          <w:tcPr>
            <w:tcW w:w="680" w:type="dxa"/>
            <w:vAlign w:val="bottom"/>
          </w:tcPr>
          <w:p>
            <w:pPr>
              <w:spacing w:after="0"/>
              <w:rPr>
                <w:sz w:val="18"/>
                <w:szCs w:val="18"/>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USAA Investment Management Company (12)</w:t>
            </w: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750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Wells Fargo Bank Minnesota, N.A. (12)</w:t>
            </w:r>
          </w:p>
        </w:tc>
        <w:tc>
          <w:tcPr>
            <w:tcW w:w="1700" w:type="dxa"/>
            <w:vAlign w:val="bottom"/>
            <w:gridSpan w:val="2"/>
          </w:tcPr>
          <w:p>
            <w:pPr>
              <w:jc w:val="right"/>
              <w:ind w:right="700"/>
              <w:spacing w:after="0"/>
              <w:rPr>
                <w:sz w:val="20"/>
                <w:szCs w:val="20"/>
                <w:color w:val="auto"/>
              </w:rPr>
            </w:pPr>
            <w:r>
              <w:rPr>
                <w:rFonts w:ascii="Arial" w:cs="Arial" w:eastAsia="Arial" w:hAnsi="Arial"/>
                <w:sz w:val="18"/>
                <w:szCs w:val="18"/>
                <w:color w:val="auto"/>
              </w:rPr>
              <w:t>334</w:t>
            </w:r>
          </w:p>
        </w:tc>
        <w:tc>
          <w:tcPr>
            <w:tcW w:w="900" w:type="dxa"/>
            <w:vAlign w:val="bottom"/>
          </w:tcPr>
          <w:p>
            <w:pPr>
              <w:jc w:val="right"/>
              <w:spacing w:after="0"/>
              <w:rPr>
                <w:sz w:val="20"/>
                <w:szCs w:val="20"/>
                <w:color w:val="auto"/>
              </w:rPr>
            </w:pPr>
            <w:r>
              <w:rPr>
                <w:rFonts w:ascii="Arial" w:cs="Arial" w:eastAsia="Arial" w:hAnsi="Arial"/>
                <w:sz w:val="18"/>
                <w:szCs w:val="18"/>
                <w:color w:val="auto"/>
              </w:rPr>
              <w:t>334</w:t>
            </w:r>
          </w:p>
        </w:tc>
        <w:tc>
          <w:tcPr>
            <w:tcW w:w="680" w:type="dxa"/>
            <w:vAlign w:val="bottom"/>
          </w:tcPr>
          <w:p>
            <w:pPr>
              <w:spacing w:after="0"/>
              <w:rPr>
                <w:sz w:val="18"/>
                <w:szCs w:val="18"/>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Fred Mancheski</w:t>
            </w: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8,333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8,333</w:t>
            </w: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Hassan Nemazee</w:t>
            </w:r>
          </w:p>
        </w:tc>
        <w:tc>
          <w:tcPr>
            <w:tcW w:w="1700" w:type="dxa"/>
            <w:vAlign w:val="bottom"/>
            <w:gridSpan w:val="2"/>
          </w:tcPr>
          <w:p>
            <w:pPr>
              <w:jc w:val="right"/>
              <w:ind w:right="700"/>
              <w:spacing w:after="0"/>
              <w:rPr>
                <w:sz w:val="20"/>
                <w:szCs w:val="20"/>
                <w:color w:val="auto"/>
              </w:rPr>
            </w:pPr>
            <w:r>
              <w:rPr>
                <w:rFonts w:ascii="Arial" w:cs="Arial" w:eastAsia="Arial" w:hAnsi="Arial"/>
                <w:sz w:val="18"/>
                <w:szCs w:val="18"/>
                <w:color w:val="auto"/>
              </w:rPr>
              <w:t>16,667</w:t>
            </w:r>
          </w:p>
        </w:tc>
        <w:tc>
          <w:tcPr>
            <w:tcW w:w="900" w:type="dxa"/>
            <w:vAlign w:val="bottom"/>
          </w:tcPr>
          <w:p>
            <w:pPr>
              <w:jc w:val="right"/>
              <w:spacing w:after="0"/>
              <w:rPr>
                <w:sz w:val="20"/>
                <w:szCs w:val="20"/>
                <w:color w:val="auto"/>
              </w:rPr>
            </w:pPr>
            <w:r>
              <w:rPr>
                <w:rFonts w:ascii="Arial" w:cs="Arial" w:eastAsia="Arial" w:hAnsi="Arial"/>
                <w:sz w:val="18"/>
                <w:szCs w:val="18"/>
                <w:color w:val="auto"/>
              </w:rPr>
              <w:t>16,667</w:t>
            </w:r>
          </w:p>
        </w:tc>
        <w:tc>
          <w:tcPr>
            <w:tcW w:w="680" w:type="dxa"/>
            <w:vAlign w:val="bottom"/>
          </w:tcPr>
          <w:p>
            <w:pPr>
              <w:spacing w:after="0"/>
              <w:rPr>
                <w:sz w:val="18"/>
                <w:szCs w:val="18"/>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Dean Phypers</w:t>
            </w: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25,000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L.A. Bexten Inc.</w:t>
            </w:r>
          </w:p>
        </w:tc>
        <w:tc>
          <w:tcPr>
            <w:tcW w:w="1700" w:type="dxa"/>
            <w:vAlign w:val="bottom"/>
            <w:gridSpan w:val="2"/>
          </w:tcPr>
          <w:p>
            <w:pPr>
              <w:jc w:val="right"/>
              <w:ind w:right="700"/>
              <w:spacing w:after="0"/>
              <w:rPr>
                <w:sz w:val="20"/>
                <w:szCs w:val="20"/>
                <w:color w:val="auto"/>
              </w:rPr>
            </w:pPr>
            <w:r>
              <w:rPr>
                <w:rFonts w:ascii="Arial" w:cs="Arial" w:eastAsia="Arial" w:hAnsi="Arial"/>
                <w:sz w:val="18"/>
                <w:szCs w:val="18"/>
                <w:color w:val="auto"/>
              </w:rPr>
              <w:t>14,000</w:t>
            </w:r>
          </w:p>
        </w:tc>
        <w:tc>
          <w:tcPr>
            <w:tcW w:w="900" w:type="dxa"/>
            <w:vAlign w:val="bottom"/>
          </w:tcPr>
          <w:p>
            <w:pPr>
              <w:jc w:val="right"/>
              <w:spacing w:after="0"/>
              <w:rPr>
                <w:sz w:val="20"/>
                <w:szCs w:val="20"/>
                <w:color w:val="auto"/>
              </w:rPr>
            </w:pPr>
            <w:r>
              <w:rPr>
                <w:rFonts w:ascii="Arial" w:cs="Arial" w:eastAsia="Arial" w:hAnsi="Arial"/>
                <w:sz w:val="18"/>
                <w:szCs w:val="18"/>
                <w:color w:val="auto"/>
              </w:rPr>
              <w:t>14,000</w:t>
            </w:r>
          </w:p>
        </w:tc>
        <w:tc>
          <w:tcPr>
            <w:tcW w:w="680" w:type="dxa"/>
            <w:vAlign w:val="bottom"/>
          </w:tcPr>
          <w:p>
            <w:pPr>
              <w:spacing w:after="0"/>
              <w:rPr>
                <w:sz w:val="18"/>
                <w:szCs w:val="18"/>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Ruth Favazza</w:t>
            </w: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41,458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41,458</w:t>
            </w: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Louis Gherlone Jr.</w:t>
            </w:r>
          </w:p>
        </w:tc>
        <w:tc>
          <w:tcPr>
            <w:tcW w:w="1700" w:type="dxa"/>
            <w:vAlign w:val="bottom"/>
            <w:gridSpan w:val="2"/>
          </w:tcPr>
          <w:p>
            <w:pPr>
              <w:jc w:val="right"/>
              <w:ind w:right="700"/>
              <w:spacing w:after="0"/>
              <w:rPr>
                <w:sz w:val="20"/>
                <w:szCs w:val="20"/>
                <w:color w:val="auto"/>
              </w:rPr>
            </w:pPr>
            <w:r>
              <w:rPr>
                <w:rFonts w:ascii="Arial" w:cs="Arial" w:eastAsia="Arial" w:hAnsi="Arial"/>
                <w:sz w:val="18"/>
                <w:szCs w:val="18"/>
                <w:color w:val="auto"/>
              </w:rPr>
              <w:t>7,000</w:t>
            </w:r>
          </w:p>
        </w:tc>
        <w:tc>
          <w:tcPr>
            <w:tcW w:w="900" w:type="dxa"/>
            <w:vAlign w:val="bottom"/>
          </w:tcPr>
          <w:p>
            <w:pPr>
              <w:jc w:val="right"/>
              <w:spacing w:after="0"/>
              <w:rPr>
                <w:sz w:val="20"/>
                <w:szCs w:val="20"/>
                <w:color w:val="auto"/>
              </w:rPr>
            </w:pPr>
            <w:r>
              <w:rPr>
                <w:rFonts w:ascii="Arial" w:cs="Arial" w:eastAsia="Arial" w:hAnsi="Arial"/>
                <w:sz w:val="18"/>
                <w:szCs w:val="18"/>
                <w:color w:val="auto"/>
              </w:rPr>
              <w:t>7,000</w:t>
            </w:r>
          </w:p>
        </w:tc>
        <w:tc>
          <w:tcPr>
            <w:tcW w:w="680" w:type="dxa"/>
            <w:vAlign w:val="bottom"/>
          </w:tcPr>
          <w:p>
            <w:pPr>
              <w:spacing w:after="0"/>
              <w:rPr>
                <w:sz w:val="18"/>
                <w:szCs w:val="18"/>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Alvin Goldstein &amp; Lisa Polyacheek JTTEN</w:t>
            </w: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1,500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Alvin Goldstein &amp; Lisa Saladini JTTEN</w:t>
            </w:r>
          </w:p>
        </w:tc>
        <w:tc>
          <w:tcPr>
            <w:tcW w:w="1700" w:type="dxa"/>
            <w:vAlign w:val="bottom"/>
            <w:gridSpan w:val="2"/>
          </w:tcPr>
          <w:p>
            <w:pPr>
              <w:jc w:val="right"/>
              <w:ind w:right="700"/>
              <w:spacing w:after="0"/>
              <w:rPr>
                <w:sz w:val="20"/>
                <w:szCs w:val="20"/>
                <w:color w:val="auto"/>
              </w:rPr>
            </w:pPr>
            <w:r>
              <w:rPr>
                <w:rFonts w:ascii="Arial" w:cs="Arial" w:eastAsia="Arial" w:hAnsi="Arial"/>
                <w:sz w:val="18"/>
                <w:szCs w:val="18"/>
                <w:color w:val="auto"/>
              </w:rPr>
              <w:t>2,500</w:t>
            </w:r>
          </w:p>
        </w:tc>
        <w:tc>
          <w:tcPr>
            <w:tcW w:w="900" w:type="dxa"/>
            <w:vAlign w:val="bottom"/>
          </w:tcPr>
          <w:p>
            <w:pPr>
              <w:jc w:val="right"/>
              <w:spacing w:after="0"/>
              <w:rPr>
                <w:sz w:val="20"/>
                <w:szCs w:val="20"/>
                <w:color w:val="auto"/>
              </w:rPr>
            </w:pPr>
            <w:r>
              <w:rPr>
                <w:rFonts w:ascii="Arial" w:cs="Arial" w:eastAsia="Arial" w:hAnsi="Arial"/>
                <w:sz w:val="18"/>
                <w:szCs w:val="18"/>
                <w:color w:val="auto"/>
              </w:rPr>
              <w:t>2,500</w:t>
            </w:r>
          </w:p>
        </w:tc>
        <w:tc>
          <w:tcPr>
            <w:tcW w:w="680" w:type="dxa"/>
            <w:vAlign w:val="bottom"/>
          </w:tcPr>
          <w:p>
            <w:pPr>
              <w:spacing w:after="0"/>
              <w:rPr>
                <w:sz w:val="18"/>
                <w:szCs w:val="18"/>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Alvin Goldstein &amp; Cheryl S. Young JTTEN</w:t>
            </w: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1,500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Carl R. Messing</w:t>
            </w:r>
          </w:p>
        </w:tc>
        <w:tc>
          <w:tcPr>
            <w:tcW w:w="1700" w:type="dxa"/>
            <w:vAlign w:val="bottom"/>
            <w:gridSpan w:val="2"/>
          </w:tcPr>
          <w:p>
            <w:pPr>
              <w:jc w:val="right"/>
              <w:ind w:right="700"/>
              <w:spacing w:after="0"/>
              <w:rPr>
                <w:sz w:val="20"/>
                <w:szCs w:val="20"/>
                <w:color w:val="auto"/>
              </w:rPr>
            </w:pPr>
            <w:r>
              <w:rPr>
                <w:rFonts w:ascii="Arial" w:cs="Arial" w:eastAsia="Arial" w:hAnsi="Arial"/>
                <w:sz w:val="18"/>
                <w:szCs w:val="18"/>
                <w:color w:val="auto"/>
              </w:rPr>
              <w:t>10,337</w:t>
            </w:r>
          </w:p>
        </w:tc>
        <w:tc>
          <w:tcPr>
            <w:tcW w:w="900" w:type="dxa"/>
            <w:vAlign w:val="bottom"/>
          </w:tcPr>
          <w:p>
            <w:pPr>
              <w:jc w:val="right"/>
              <w:spacing w:after="0"/>
              <w:rPr>
                <w:sz w:val="20"/>
                <w:szCs w:val="20"/>
                <w:color w:val="auto"/>
              </w:rPr>
            </w:pPr>
            <w:r>
              <w:rPr>
                <w:rFonts w:ascii="Arial" w:cs="Arial" w:eastAsia="Arial" w:hAnsi="Arial"/>
                <w:sz w:val="18"/>
                <w:szCs w:val="18"/>
                <w:color w:val="auto"/>
              </w:rPr>
              <w:t>10,337</w:t>
            </w:r>
          </w:p>
        </w:tc>
        <w:tc>
          <w:tcPr>
            <w:tcW w:w="680" w:type="dxa"/>
            <w:vAlign w:val="bottom"/>
          </w:tcPr>
          <w:p>
            <w:pPr>
              <w:spacing w:after="0"/>
              <w:rPr>
                <w:sz w:val="18"/>
                <w:szCs w:val="18"/>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Leonard D. Pearlman</w:t>
            </w: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4,200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w:t>
            </w: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Martha Skelton &amp; Kenneth Skelton JTTEN</w:t>
            </w:r>
          </w:p>
        </w:tc>
        <w:tc>
          <w:tcPr>
            <w:tcW w:w="1700" w:type="dxa"/>
            <w:vAlign w:val="bottom"/>
            <w:gridSpan w:val="2"/>
          </w:tcPr>
          <w:p>
            <w:pPr>
              <w:jc w:val="right"/>
              <w:ind w:right="700"/>
              <w:spacing w:after="0"/>
              <w:rPr>
                <w:sz w:val="20"/>
                <w:szCs w:val="20"/>
                <w:color w:val="auto"/>
              </w:rPr>
            </w:pPr>
            <w:r>
              <w:rPr>
                <w:rFonts w:ascii="Arial" w:cs="Arial" w:eastAsia="Arial" w:hAnsi="Arial"/>
                <w:sz w:val="18"/>
                <w:szCs w:val="18"/>
                <w:color w:val="auto"/>
              </w:rPr>
              <w:t>1,500</w:t>
            </w:r>
          </w:p>
        </w:tc>
        <w:tc>
          <w:tcPr>
            <w:tcW w:w="900" w:type="dxa"/>
            <w:vAlign w:val="bottom"/>
          </w:tcPr>
          <w:p>
            <w:pPr>
              <w:jc w:val="right"/>
              <w:spacing w:after="0"/>
              <w:rPr>
                <w:sz w:val="20"/>
                <w:szCs w:val="20"/>
                <w:color w:val="auto"/>
              </w:rPr>
            </w:pPr>
            <w:r>
              <w:rPr>
                <w:rFonts w:ascii="Arial" w:cs="Arial" w:eastAsia="Arial" w:hAnsi="Arial"/>
                <w:sz w:val="18"/>
                <w:szCs w:val="18"/>
                <w:color w:val="auto"/>
              </w:rPr>
              <w:t>1,500</w:t>
            </w:r>
          </w:p>
        </w:tc>
        <w:tc>
          <w:tcPr>
            <w:tcW w:w="68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Subtotal of Shares Included in this Prospectus Pursuant</w:t>
            </w:r>
          </w:p>
        </w:tc>
        <w:tc>
          <w:tcPr>
            <w:tcW w:w="10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to Rule 429</w:t>
            </w: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9,519,121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2,329,169</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7,189,952</w:t>
            </w:r>
          </w:p>
        </w:tc>
        <w:tc>
          <w:tcPr>
            <w:tcW w:w="6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Totals</w:t>
            </w: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21,279,583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9,639,742</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11,639,841</w:t>
            </w:r>
          </w:p>
        </w:tc>
        <w:tc>
          <w:tcPr>
            <w:tcW w:w="6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9620" w:type="dxa"/>
            <w:vAlign w:val="bottom"/>
            <w:gridSpan w:val="7"/>
          </w:tcPr>
          <w:p>
            <w:pPr>
              <w:jc w:val="right"/>
              <w:ind w:right="175"/>
              <w:spacing w:after="0"/>
              <w:rPr>
                <w:sz w:val="20"/>
                <w:szCs w:val="20"/>
                <w:color w:val="auto"/>
              </w:rPr>
            </w:pPr>
            <w:r>
              <w:rPr>
                <w:rFonts w:ascii="Arial" w:cs="Arial" w:eastAsia="Arial" w:hAnsi="Arial"/>
                <w:sz w:val="18"/>
                <w:szCs w:val="18"/>
                <w:color w:val="auto"/>
                <w:w w:val="90"/>
              </w:rPr>
              <w:t>Percentage calculations are based on 24,054,300 shares of our common stock issued and outstanding as of December 22, 2003.</w:t>
            </w: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000" w:type="dxa"/>
            <w:vAlign w:val="bottom"/>
          </w:tcPr>
          <w:p>
            <w:pPr>
              <w:jc w:val="right"/>
              <w:ind w:right="454"/>
              <w:spacing w:after="0"/>
              <w:rPr>
                <w:sz w:val="20"/>
                <w:szCs w:val="20"/>
                <w:color w:val="auto"/>
              </w:rPr>
            </w:pPr>
            <w:r>
              <w:rPr>
                <w:rFonts w:ascii="Arial" w:cs="Arial" w:eastAsia="Arial" w:hAnsi="Arial"/>
                <w:sz w:val="18"/>
                <w:szCs w:val="18"/>
                <w:color w:val="auto"/>
              </w:rPr>
              <w:t>16</w:t>
            </w: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461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less than 1% of the outstanding shares of common stock.</w:t>
      </w:r>
    </w:p>
    <w:p>
      <w:pPr>
        <w:spacing w:after="0" w:line="15" w:lineRule="exact"/>
        <w:rPr>
          <w:sz w:val="20"/>
          <w:szCs w:val="20"/>
          <w:color w:val="auto"/>
        </w:rPr>
      </w:pPr>
    </w:p>
    <w:p>
      <w:pPr>
        <w:ind w:left="460" w:right="60" w:hanging="452"/>
        <w:spacing w:after="0" w:line="281"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Except where otherwise noted, assumes that all shares are sold pursuant to this offering and that no other shares of common stock are acquired or disposed of by the selling security holders prior to the termination of this offering. Because the selling security holders may sell all, some or none of their shares or may acquire or dispose of other shares of common stock, we cannot estimate the aggregate number of shares which will be sold in this offering or the number or percentage of shares of common stock that each selling security holder will own upon completion of this offering.</w:t>
      </w:r>
    </w:p>
    <w:p>
      <w:pPr>
        <w:spacing w:after="0" w:line="2" w:lineRule="exact"/>
        <w:rPr>
          <w:rFonts w:ascii="Arial" w:cs="Arial" w:eastAsia="Arial" w:hAnsi="Arial"/>
          <w:sz w:val="16"/>
          <w:szCs w:val="16"/>
          <w:color w:val="auto"/>
        </w:rPr>
      </w:pPr>
    </w:p>
    <w:p>
      <w:pPr>
        <w:ind w:left="46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Applicable percentage of ownership is based on 24,054,300 shares of common stock outstanding as of December 22, 2003, plus any securities held by such holder exercisable for or convertible into common stock within sixty (60) days of December 22, 2003.</w:t>
      </w:r>
    </w:p>
    <w:p>
      <w:pPr>
        <w:ind w:left="460" w:right="12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Mr. Binder beneficially owns an aggregate of 1,235,467 shares of common stock prior to the offering contemplated hereby, which are distributed between the two tables.</w:t>
      </w: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Ms. Christian is a director. Includes 26,354 shares issuable upon the exercise of stock options.</w:t>
      </w:r>
    </w:p>
    <w:p>
      <w:pPr>
        <w:spacing w:after="0" w:line="9"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Mr. Klyosov beneficially owns an aggregate of 1,235,467 shares of common stock prior to the offering contemplated hereby, which are distributed between the two tables.</w:t>
      </w: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Dr. Platt is a director and our President and Chief Executive Officer.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Mr. Smith is a director. Includes 71,167 shares issuable upon the exercise of stock options.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Ms. Jayaraj served as Vice President Investor Relations and Corporate Strategy from October 2002 to March 2003.</w:t>
      </w:r>
    </w:p>
    <w:p>
      <w:pPr>
        <w:spacing w:after="0" w:line="9" w:lineRule="exact"/>
        <w:rPr>
          <w:rFonts w:ascii="Arial" w:cs="Arial" w:eastAsia="Arial" w:hAnsi="Arial"/>
          <w:sz w:val="18"/>
          <w:szCs w:val="18"/>
          <w:color w:val="auto"/>
        </w:rPr>
      </w:pPr>
    </w:p>
    <w:p>
      <w:pPr>
        <w:ind w:left="460" w:right="20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Mr. Conaway is a director. Includes 4,500 shares issuable upon the exercise of stock options. Also includes 6,250 shares issuable upon the exercise of an immediately exercisable common stock purchase warrant.</w:t>
      </w: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Mr. Firtel is a director. Includes 252,000 shares issuable upon the exercise of stock options.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Mr. Czirr served as a Vice President and a director through October 2003.</w:t>
      </w:r>
    </w:p>
    <w:p>
      <w:pPr>
        <w:spacing w:after="0" w:line="9" w:lineRule="exact"/>
        <w:rPr>
          <w:rFonts w:ascii="Arial" w:cs="Arial" w:eastAsia="Arial" w:hAnsi="Arial"/>
          <w:sz w:val="18"/>
          <w:szCs w:val="18"/>
          <w:color w:val="auto"/>
        </w:rPr>
      </w:pPr>
    </w:p>
    <w:p>
      <w:pPr>
        <w:ind w:left="460" w:right="140" w:hanging="452"/>
        <w:spacing w:after="0" w:line="255"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believe this record holder received these shares, and is holding them in “street name” for one or more beneficial owner(s) and may be a broker-dealer. As such shares do not represent underwriting compensation, such record holder, if a broker-dealer, may be deemed an underwriter within the meaning of the federal securities law.</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6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selling stockholders and any of their pledgees, assignees and successors-in-interest may, from time to time, sell any or all of their shares of common stock on any stock exchange, market or trading facility on which the shares are traded or in private transactions. These sales may be at fixed or negotiated prices. The selling stockholders may use any one or more of the following methods when selling shares:</w:t>
      </w:r>
    </w:p>
    <w:p>
      <w:pPr>
        <w:spacing w:after="0" w:line="46" w:lineRule="exact"/>
        <w:rPr>
          <w:sz w:val="20"/>
          <w:szCs w:val="20"/>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76" w:lineRule="exact"/>
        <w:rPr>
          <w:rFonts w:ascii="Arial" w:cs="Arial" w:eastAsia="Arial" w:hAnsi="Arial"/>
          <w:sz w:val="18"/>
          <w:szCs w:val="18"/>
          <w:color w:val="auto"/>
        </w:rPr>
      </w:pPr>
    </w:p>
    <w:p>
      <w:pPr>
        <w:ind w:left="800" w:right="600" w:hanging="346"/>
        <w:spacing w:after="0" w:line="268"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settlement of short sales;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broker-dealers may agree with the selling stockholders to sell a specified number of such shares at a stipulated price per share;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selling stockholders may also sell shares under Rule 144 under the Securities Act, if available, rather than under this prospectus.</w:t>
      </w:r>
    </w:p>
    <w:p>
      <w:pPr>
        <w:spacing w:after="0" w:line="158"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Broker-dealers engaged by the selling stockholders may arrange for other broker-dealers to participate in sales. Broker-dealers may receive commissions or discounts from the selling stockholders (or, if any broker-dealer acts as agent for the purchaser of shares, from the purchaser) in amounts to be negotiated. The selling stockholders do not expect these commissions and discounts to exceed what is customary in the types of transactions involved.</w:t>
      </w:r>
    </w:p>
    <w:p>
      <w:pPr>
        <w:spacing w:after="0" w:line="9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 supplement to this prospectus under Rule 424(b)(3) or other applicable provision of the Securities Act of 1933 amending the list of selling stockholders to include the pledgee, transferee or other successors in interest as selling stockholders under this prospectus.</w:t>
      </w:r>
    </w:p>
    <w:p>
      <w:pPr>
        <w:spacing w:after="0" w:line="9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selling stockholders and any broker-dealers or agents that are involved in selling the shares may be deemed to be “underwriters” within the meaning of the Securities Act in connection with such sales. In such event, any commissions received by such broker-dealers or agents and any profit on the resale of the shares purchased by them may be deemed to be underwriting commissions or discounts under the Securities Act. Each of the selling stockholders at the original time of purchase represented and warranted to us that such selling stockholder did not have any agreement or understanding, directly or indirectly, with any person to distribute the common stock.</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validity of the shares of common stock being offered hereby has been passed upon for Pro-Pharmaceuticals, Inc. by Perkins Smith &amp; Cohen LLP of Boston, Massachusetts.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The financial statements for our Massachusetts predecessor corporation for the period from inception (July 10, 2000) through December 31, 2000, incorporated into this document by reference from our Annual Report on Form 10-KSB for the year ended December 31, 2002, have been audited by Scillia Dowling &amp; Natarelli LLC, independent auditors, as stated in their report, which is incorporated herein by reference, and have been so incorporated in reliance upon the report of such firm given upon their authority as experts in auditing and accounting.</w:t>
      </w:r>
    </w:p>
    <w:p>
      <w:pPr>
        <w:spacing w:after="0" w:line="99"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The financial statements as of December 31, 2002 and 2001 and for the years then ended, and for the period from inception (July 10, 2000) to December 31, 2002, incorporated into this document by reference from our Annual Report on Form 10-KSB for the year ended December 31, 2002, have been audited by Deloitte &amp; Touche LLP, independent auditors, as stated in their report (which report expresses an unqualified opinion and includes an explanatory paragraph referring to the ability of Pro-Pharmaceuticals to continue as a going concern), which is incorporated herein by reference, and have been so incorporated in reliance upon the report of such firm given upon their authority as experts in accounting and auditing.</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are a reporting company and file annual, quarterly and current reports, proxy statements and other information with the Securities and Exchange Commission. You may read and copy any document we file with the SEC at the public reference facilities the SEC maintains at Room 1024, Judiciary Plaza, 450 Fifth Street, N.W., Washington, D.C. 20549. You may also obtain copies of such material by mail from the Public Reference Section of the SEC (450 Fifth Street, N.W., Washington, D.C. 20549) at prescribed rates. Please call the SEC at 1-800-SEC-0330 for further information about the operation of the public reference rooms. Our SEC filings are also available at the SEC’s website at www.sec.gov.</w:t>
      </w:r>
    </w:p>
    <w:p>
      <w:pPr>
        <w:spacing w:after="0" w:line="10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prospectus is part of a registration statement on Form S-3 that we filed with the SEC. The registration statement contains more information than this prospectus regarding us and the securities, including certain exhibits and schedules. You can obtain a copy of the registration statement from the SEC at the above address or from the SEC’s Internet site.</w:t>
      </w:r>
    </w:p>
    <w:p>
      <w:pPr>
        <w:spacing w:after="0" w:line="127"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Our world wide web address is www.pro-pharmaceuticals.com. We have not incorporated by reference into this prospectus the information on our website, and you should not consider it to be a part of this document. Our web address is included in this document as an inactive textual reference only.</w:t>
      </w:r>
    </w:p>
    <w:p>
      <w:pPr>
        <w:spacing w:after="0" w:line="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64"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The SEC allows us to “incorporate by reference” information contained in documents that we file with them, which means that we can disclose important information to you by referring you to those other documents. The information incorporated by reference is an important part of this prospectus, and information that we file later with the SEC will automatically update and supersede this information. We incorporate by reference the documents listed below and any future filings we will make with the SEC under Section 13(a), 13(c), 14 or 15(d) of the Securities Exchange Act of 1934 prior to the termination of this offering:</w:t>
      </w:r>
    </w:p>
    <w:p>
      <w:pPr>
        <w:spacing w:after="0" w:line="18"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Annual Report on Form 10-KSB filed with the SEC on March 31, 2003 for the year ended December 31, 2002;</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Quarterly Report on Form 10-QSB filed with the SEC on May 14, 2003 for the quarter ended March 31, 2003;</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Quarterly Report on Form 10-QSB filed with the SEC on August 14, 2003 for the quarter ended June 30, 2003;</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Quarterly Report on Form 10-QSB filed with the SEC on November 14, 2003 for the quarter ended September 30, 2003;</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Current Report on Form 8-K filed with the SEC on September 9, 2003;</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Current Report on Form 8-K filed with the SEC on September 26, 2003;</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Current Report on Form 8-K filed with the SEC on October 10, 2003;</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Current Report on Form 8-K filed with the SEC on November 14, 2003;</w:t>
      </w:r>
    </w:p>
    <w:p>
      <w:pPr>
        <w:spacing w:after="0" w:line="76"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our filings pursuant to the Securities Exchange Act of 1934 after the date of filing the initial registration statement and prior to effectiveness of the registration statement; and</w:t>
      </w:r>
    </w:p>
    <w:p>
      <w:pPr>
        <w:spacing w:after="0" w:line="37" w:lineRule="exact"/>
        <w:rPr>
          <w:rFonts w:ascii="Arial" w:cs="Arial" w:eastAsia="Arial" w:hAnsi="Arial"/>
          <w:sz w:val="18"/>
          <w:szCs w:val="18"/>
          <w:color w:val="auto"/>
        </w:rPr>
      </w:pPr>
    </w:p>
    <w:p>
      <w:pPr>
        <w:ind w:left="460" w:right="22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with the SEC on September 9, 2003, including any amendments or reports filed for the purpose of updating that description.</w:t>
      </w:r>
    </w:p>
    <w:p>
      <w:pPr>
        <w:spacing w:after="0" w:line="11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You may request, orally or in writing, a copy of these documents, which will be provided to you at no cost, by contacting:</w:t>
      </w:r>
    </w:p>
    <w:p>
      <w:pPr>
        <w:spacing w:after="0" w:line="7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Pro-Pharmaceuticals, Inc.</w:t>
      </w:r>
    </w:p>
    <w:p>
      <w:pPr>
        <w:spacing w:after="0" w:line="1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189 Wells Avenue</w:t>
      </w:r>
    </w:p>
    <w:p>
      <w:pPr>
        <w:spacing w:after="0" w:line="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Newton, Massachusetts 02459</w:t>
      </w:r>
    </w:p>
    <w:p>
      <w:pPr>
        <w:spacing w:after="0" w:line="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Attention: Anthony D. Squeglia, Vice President, Investor Relations</w:t>
      </w:r>
    </w:p>
    <w:p>
      <w:pPr>
        <w:spacing w:after="0" w:line="9" w:lineRule="exact"/>
        <w:rPr>
          <w:rFonts w:ascii="Arial" w:cs="Arial" w:eastAsia="Arial" w:hAnsi="Arial"/>
          <w:sz w:val="18"/>
          <w:szCs w:val="18"/>
          <w:color w:val="auto"/>
        </w:rPr>
      </w:pPr>
    </w:p>
    <w:p>
      <w:pPr>
        <w:ind w:left="880" w:hanging="416"/>
        <w:spacing w:after="0"/>
        <w:tabs>
          <w:tab w:leader="none" w:pos="880" w:val="left"/>
        </w:tabs>
        <w:numPr>
          <w:ilvl w:val="1"/>
          <w:numId w:val="7"/>
        </w:numPr>
        <w:rPr>
          <w:rFonts w:ascii="Arial" w:cs="Arial" w:eastAsia="Arial" w:hAnsi="Arial"/>
          <w:sz w:val="16"/>
          <w:szCs w:val="16"/>
          <w:color w:val="auto"/>
        </w:rPr>
      </w:pPr>
      <w:r>
        <w:rPr>
          <w:rFonts w:ascii="Arial" w:cs="Arial" w:eastAsia="Arial" w:hAnsi="Arial"/>
          <w:sz w:val="16"/>
          <w:szCs w:val="16"/>
          <w:color w:val="auto"/>
        </w:rPr>
        <w:t>559-0033</w:t>
      </w:r>
    </w:p>
    <w:p>
      <w:pPr>
        <w:spacing w:after="0" w:line="17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240" w:top="459" w:right="6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EXPENSES OF ISSUANCE AND DISTRIBUTION.</w:t>
      </w:r>
    </w:p>
    <w:p>
      <w:pPr>
        <w:spacing w:after="0" w:line="8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following table sets forth all costs and expenses to be incurred by Pro-Pharmaceuticals in connection with the preparation and filing of this Registration Statement. All amounts shown are estimates except for the SEC registration fee. We will pay all expenses in connection with the distribution of the shares of common stock being registered hereby, except for the fees and expenses of any counsel and other advisors that any selling stockholders may employ to represent them in connection with the offering and any brokerage or underwriting discounts or commissions paid to broker-dealers in connection with the sale of the shares.</w:t>
      </w:r>
    </w:p>
    <w:p>
      <w:pPr>
        <w:spacing w:after="0" w:line="13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3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Accountants’ Fees and Expenses</w:t>
            </w:r>
          </w:p>
        </w:tc>
        <w:tc>
          <w:tcPr>
            <w:tcW w:w="3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3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Transfer Agent Fees and Expenses</w:t>
            </w:r>
          </w:p>
        </w:tc>
        <w:tc>
          <w:tcPr>
            <w:tcW w:w="3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Miscellaneous</w:t>
            </w:r>
          </w:p>
        </w:tc>
        <w:tc>
          <w:tcPr>
            <w:tcW w:w="3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3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27,400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3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8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registrant’s By-laws, as amended to date, provide for indemnification of officers and directors to the fullest extent permitted by Section 7502 of Chapter 78 of the Nevada Revised Statutes (“NRS”) (as from time to time amended), provided such officer or director acts in good faith and in a manner which such person reasonably believes to be in or not opposed to the best interests of the registrant, and with respect to any criminal matter, had no reasonable cause to believe such person’s conduct was unlawful.</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NRS 78.7502 states:</w:t>
      </w:r>
    </w:p>
    <w:p>
      <w:pPr>
        <w:spacing w:after="0" w:line="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“1. A corporation may indemnify any person who was or is a party or is threatened to be made a party to any threatened, pending or completed action, suit or proceeding, whether civil, criminal, administrative or investigative, except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the action, suit or proceeding if he:</w:t>
      </w:r>
    </w:p>
    <w:p>
      <w:pPr>
        <w:spacing w:after="0" w:line="21" w:lineRule="exact"/>
        <w:rPr>
          <w:sz w:val="20"/>
          <w:szCs w:val="20"/>
          <w:color w:val="auto"/>
        </w:rPr>
      </w:pPr>
    </w:p>
    <w:p>
      <w:pPr>
        <w:ind w:left="1140" w:hanging="237"/>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Is not liable pursuant to </w:t>
      </w:r>
      <w:r>
        <w:rPr>
          <w:rFonts w:ascii="Arial" w:cs="Arial" w:eastAsia="Arial" w:hAnsi="Arial"/>
          <w:sz w:val="18"/>
          <w:szCs w:val="18"/>
          <w:i w:val="1"/>
          <w:iCs w:val="1"/>
          <w:color w:val="auto"/>
        </w:rPr>
        <w:t>NRS 78.138</w:t>
      </w:r>
      <w:r>
        <w:rPr>
          <w:rFonts w:ascii="Arial" w:cs="Arial" w:eastAsia="Arial" w:hAnsi="Arial"/>
          <w:sz w:val="18"/>
          <w:szCs w:val="18"/>
          <w:color w:val="auto"/>
        </w:rPr>
        <w:t>; or</w:t>
      </w:r>
    </w:p>
    <w:p>
      <w:pPr>
        <w:spacing w:after="0" w:line="76" w:lineRule="exact"/>
        <w:rPr>
          <w:rFonts w:ascii="Arial" w:cs="Arial" w:eastAsia="Arial" w:hAnsi="Arial"/>
          <w:sz w:val="18"/>
          <w:szCs w:val="18"/>
          <w:color w:val="auto"/>
        </w:rPr>
      </w:pPr>
    </w:p>
    <w:p>
      <w:pPr>
        <w:ind w:left="460" w:right="520" w:firstLine="443"/>
        <w:spacing w:after="0" w:line="268" w:lineRule="auto"/>
        <w:tabs>
          <w:tab w:leader="none" w:pos="1147" w:val="left"/>
        </w:tabs>
        <w:numPr>
          <w:ilvl w:val="0"/>
          <w:numId w:val="8"/>
        </w:numPr>
        <w:rPr>
          <w:rFonts w:ascii="Arial" w:cs="Arial" w:eastAsia="Arial" w:hAnsi="Arial"/>
          <w:sz w:val="18"/>
          <w:szCs w:val="18"/>
          <w:color w:val="auto"/>
        </w:rPr>
      </w:pPr>
      <w:r>
        <w:rPr>
          <w:rFonts w:ascii="Arial" w:cs="Arial" w:eastAsia="Arial" w:hAnsi="Arial"/>
          <w:sz w:val="18"/>
          <w:szCs w:val="18"/>
          <w:color w:val="auto"/>
        </w:rPr>
        <w:t>Acted in good faith and in a manner which he reasonably believed to be in or not opposed to the best interests of the corporation, and, with respect to any criminal action or proceeding, had no reasonable cause to believe his conduct was unlawful.</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The termination of any action, suit or proceeding by judgment, order, settlement, conviction or upon a plea of nolo contendere or its equivalent, does not, of itself, create a presumption that the person is liable pursuant to </w:t>
      </w:r>
      <w:r>
        <w:rPr>
          <w:rFonts w:ascii="Arial" w:cs="Arial" w:eastAsia="Arial" w:hAnsi="Arial"/>
          <w:sz w:val="18"/>
          <w:szCs w:val="18"/>
          <w:i w:val="1"/>
          <w:iCs w:val="1"/>
          <w:color w:val="auto"/>
        </w:rPr>
        <w:t>NRS 78.138</w:t>
      </w:r>
      <w:r>
        <w:rPr>
          <w:rFonts w:ascii="Arial" w:cs="Arial" w:eastAsia="Arial" w:hAnsi="Arial"/>
          <w:sz w:val="18"/>
          <w:szCs w:val="18"/>
          <w:color w:val="auto"/>
        </w:rPr>
        <w:t xml:space="preserve"> or did not act in good faith and in a manner which he reasonably believed to be in or not opposed to the best interests of the corporation, or that, with respect to any criminal action or proceeding, he had reasonable cause to believe that his conduct was unlawful.</w:t>
      </w:r>
    </w:p>
    <w:p>
      <w:pPr>
        <w:spacing w:after="0" w:line="130" w:lineRule="exact"/>
        <w:rPr>
          <w:sz w:val="20"/>
          <w:szCs w:val="20"/>
          <w:color w:val="auto"/>
        </w:rPr>
      </w:pPr>
    </w:p>
    <w:p>
      <w:pPr>
        <w:ind w:right="40" w:firstLine="464"/>
        <w:spacing w:after="0" w:line="268" w:lineRule="auto"/>
        <w:tabs>
          <w:tab w:leader="none" w:pos="632"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corporation may indemnify any person who was or is a party or is threatened to be made a party to any threatened, pending or completed action or suit by or in the right of the corporation to procure a judgment in its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auto"/>
        </w:rPr>
        <w:t>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amounts paid in settlement and attorneys’ fees actually and reasonably incurred by him in connection with the defense or settlement of the action or suit if he:</w:t>
      </w:r>
    </w:p>
    <w:p>
      <w:pPr>
        <w:spacing w:after="0" w:line="12" w:lineRule="exact"/>
        <w:rPr>
          <w:sz w:val="20"/>
          <w:szCs w:val="20"/>
          <w:color w:val="auto"/>
        </w:rPr>
      </w:pPr>
    </w:p>
    <w:p>
      <w:pPr>
        <w:ind w:left="1140" w:hanging="237"/>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Is not liable pursuant to </w:t>
      </w:r>
      <w:r>
        <w:rPr>
          <w:rFonts w:ascii="Arial" w:cs="Arial" w:eastAsia="Arial" w:hAnsi="Arial"/>
          <w:sz w:val="18"/>
          <w:szCs w:val="18"/>
          <w:i w:val="1"/>
          <w:iCs w:val="1"/>
          <w:color w:val="auto"/>
        </w:rPr>
        <w:t>NRS 78.138</w:t>
      </w:r>
      <w:r>
        <w:rPr>
          <w:rFonts w:ascii="Arial" w:cs="Arial" w:eastAsia="Arial" w:hAnsi="Arial"/>
          <w:sz w:val="18"/>
          <w:szCs w:val="18"/>
          <w:color w:val="auto"/>
        </w:rPr>
        <w:t>; or</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Acted in good faith and in a manner which he reasonably believed to be in or not opposed to the best interests of the corporation.</w:t>
      </w:r>
    </w:p>
    <w:p>
      <w:pPr>
        <w:spacing w:after="0" w:line="18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Indemnification may not be made for any claim, issue or matter as to which such a person has been adjudged by a court of competent jurisdiction, after exhaustion of all appeals therefrom, to be liable to the corporation or for amounts paid in settlement to the corporation, unless and only to the extent that the court in which the action or suit was brought or other court of competent jurisdiction determines upon application that in view of all the circumstances of the case, the person is fairly and reasonably entitled to indemnity for such expenses as the court deems proper.</w:t>
      </w:r>
    </w:p>
    <w:p>
      <w:pPr>
        <w:spacing w:after="0" w:line="99" w:lineRule="exact"/>
        <w:rPr>
          <w:sz w:val="20"/>
          <w:szCs w:val="20"/>
          <w:color w:val="auto"/>
        </w:rPr>
      </w:pPr>
    </w:p>
    <w:p>
      <w:pPr>
        <w:ind w:right="80" w:firstLine="464"/>
        <w:spacing w:after="0" w:line="259" w:lineRule="auto"/>
        <w:tabs>
          <w:tab w:leader="none" w:pos="63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the extent that a director, officer, employee or agent of a corporation has been successful on the merits or otherwise in defense of any action, suit or proceeding referred to in subsections 1 and 2, or in defense of any claim, issue or matter therein, the corporation shall indemnify him against expenses, including attorneys’ fees, actually and reasonably incurred by him in connection with the defense.”</w:t>
      </w:r>
    </w:p>
    <w:p>
      <w:pPr>
        <w:spacing w:after="0" w:line="12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registrant’s By-laws also provide that to the fullest extent permitted by NRS 78.751 (as from time to time amended), the registrant shall pay the expenses of officers and directors of the Corporation incurred in defending a civil or criminal action, suit or proceeding, as they are incurred and in advance of the final disposition of such matter, upon receipt of an undertaking in form and substance acceptable to the Board of Directors for the repayment of such advances if it is ultimately determined by a court of competent jurisdiction that the officer or director is not entitled to be indemnified.”</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NRS 78.751 states:</w:t>
      </w:r>
    </w:p>
    <w:p>
      <w:pPr>
        <w:spacing w:after="0" w:line="77"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 xml:space="preserve">“1. Any discretionary indemnification pursuant to </w:t>
      </w:r>
      <w:r>
        <w:rPr>
          <w:rFonts w:ascii="Arial" w:cs="Arial" w:eastAsia="Arial" w:hAnsi="Arial"/>
          <w:sz w:val="18"/>
          <w:szCs w:val="18"/>
          <w:i w:val="1"/>
          <w:iCs w:val="1"/>
          <w:color w:val="auto"/>
        </w:rPr>
        <w:t>NRS 78.7502</w:t>
      </w:r>
      <w:r>
        <w:rPr>
          <w:rFonts w:ascii="Arial" w:cs="Arial" w:eastAsia="Arial" w:hAnsi="Arial"/>
          <w:sz w:val="18"/>
          <w:szCs w:val="18"/>
          <w:color w:val="auto"/>
        </w:rPr>
        <w:t>, unless ordered by a court or advanced pursuant to subsection 2, may be made by the corporation only as authorized in the specific case upon a determination that indemnification of the director, officer, employee or agent is proper in the circumstances. The determination must be made:</w:t>
      </w:r>
    </w:p>
    <w:p>
      <w:pPr>
        <w:spacing w:after="0" w:line="46" w:lineRule="exact"/>
        <w:rPr>
          <w:sz w:val="20"/>
          <w:szCs w:val="20"/>
          <w:color w:val="auto"/>
        </w:rPr>
      </w:pPr>
    </w:p>
    <w:p>
      <w:pPr>
        <w:ind w:left="1140" w:hanging="237"/>
        <w:spacing w:after="0"/>
        <w:tabs>
          <w:tab w:leader="none" w:pos="11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By the stockholders;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By the board of directors by majority vote of a quorum consisting of directors who were not parties to the action, suit or proceeding;</w:t>
      </w:r>
    </w:p>
    <w:p>
      <w:pPr>
        <w:spacing w:after="0" w:line="99" w:lineRule="exact"/>
        <w:rPr>
          <w:rFonts w:ascii="Arial" w:cs="Arial" w:eastAsia="Arial" w:hAnsi="Arial"/>
          <w:sz w:val="16"/>
          <w:szCs w:val="16"/>
          <w:color w:val="auto"/>
        </w:rPr>
      </w:pPr>
    </w:p>
    <w:p>
      <w:pPr>
        <w:ind w:left="460" w:right="520" w:firstLine="443"/>
        <w:spacing w:after="0" w:line="268" w:lineRule="auto"/>
        <w:tabs>
          <w:tab w:leader="none" w:pos="1137" w:val="left"/>
        </w:tabs>
        <w:numPr>
          <w:ilvl w:val="1"/>
          <w:numId w:val="12"/>
        </w:numPr>
        <w:rPr>
          <w:rFonts w:ascii="Arial" w:cs="Arial" w:eastAsia="Arial" w:hAnsi="Arial"/>
          <w:sz w:val="18"/>
          <w:szCs w:val="18"/>
          <w:color w:val="auto"/>
        </w:rPr>
      </w:pPr>
      <w:r>
        <w:rPr>
          <w:rFonts w:ascii="Arial" w:cs="Arial" w:eastAsia="Arial" w:hAnsi="Arial"/>
          <w:sz w:val="18"/>
          <w:szCs w:val="18"/>
          <w:color w:val="auto"/>
        </w:rPr>
        <w:t>If a majority vote of a quorum consisting of directors who were not parties to the action, suit or proceeding so orders, by independent legal counsel in a written opinion; or</w:t>
      </w:r>
    </w:p>
    <w:p>
      <w:pPr>
        <w:spacing w:after="0" w:line="37" w:lineRule="exact"/>
        <w:rPr>
          <w:rFonts w:ascii="Arial" w:cs="Arial" w:eastAsia="Arial" w:hAnsi="Arial"/>
          <w:sz w:val="18"/>
          <w:szCs w:val="18"/>
          <w:color w:val="auto"/>
        </w:rPr>
      </w:pPr>
    </w:p>
    <w:p>
      <w:pPr>
        <w:ind w:left="460" w:right="240" w:firstLine="443"/>
        <w:spacing w:after="0" w:line="268" w:lineRule="auto"/>
        <w:tabs>
          <w:tab w:leader="none" w:pos="1147" w:val="left"/>
        </w:tabs>
        <w:numPr>
          <w:ilvl w:val="1"/>
          <w:numId w:val="12"/>
        </w:numPr>
        <w:rPr>
          <w:rFonts w:ascii="Arial" w:cs="Arial" w:eastAsia="Arial" w:hAnsi="Arial"/>
          <w:sz w:val="18"/>
          <w:szCs w:val="18"/>
          <w:color w:val="auto"/>
        </w:rPr>
      </w:pPr>
      <w:r>
        <w:rPr>
          <w:rFonts w:ascii="Arial" w:cs="Arial" w:eastAsia="Arial" w:hAnsi="Arial"/>
          <w:sz w:val="18"/>
          <w:szCs w:val="18"/>
          <w:color w:val="auto"/>
        </w:rPr>
        <w:t>If a quorum consisting of directors who were not parties to the action, suit or proceeding cannot be obtained, by independent legal counsel in a written opinion.</w:t>
      </w:r>
    </w:p>
    <w:p>
      <w:pPr>
        <w:spacing w:after="0" w:line="118" w:lineRule="exact"/>
        <w:rPr>
          <w:rFonts w:ascii="Arial" w:cs="Arial" w:eastAsia="Arial" w:hAnsi="Arial"/>
          <w:sz w:val="18"/>
          <w:szCs w:val="18"/>
          <w:color w:val="auto"/>
        </w:rPr>
      </w:pPr>
    </w:p>
    <w:p>
      <w:pPr>
        <w:ind w:right="180" w:firstLine="464"/>
        <w:spacing w:after="0" w:line="294" w:lineRule="auto"/>
        <w:tabs>
          <w:tab w:leader="none" w:pos="632"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articles of incorporation, the bylaws or an agreement made by the corporation may provide that the expenses of officers and directors incurred in defending a civil or criminal action, suit or proceeding must be paid by the corporation as they are incurred and in advance of the final disposition of the action, suit or proceeding, upon receipt of an undertaking by or on behalf of the director or officer to repay the amount if it is ultimately determined by a court of competent jurisdiction that he is not entitled to be indemnified by the corporation. The provisions of this subsection do not affect any rights to advancement of expenses to which corporate personnel other than directors or officers may be entitled under any contract or otherwise by law.</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hanging="176"/>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The indemnification pursuant to </w:t>
      </w:r>
      <w:r>
        <w:rPr>
          <w:rFonts w:ascii="Arial" w:cs="Arial" w:eastAsia="Arial" w:hAnsi="Arial"/>
          <w:sz w:val="16"/>
          <w:szCs w:val="16"/>
          <w:i w:val="1"/>
          <w:iCs w:val="1"/>
          <w:color w:val="auto"/>
        </w:rPr>
        <w:t>NRS 78.7502</w:t>
      </w:r>
      <w:r>
        <w:rPr>
          <w:rFonts w:ascii="Arial" w:cs="Arial" w:eastAsia="Arial" w:hAnsi="Arial"/>
          <w:sz w:val="16"/>
          <w:szCs w:val="16"/>
          <w:color w:val="auto"/>
        </w:rPr>
        <w:t xml:space="preserve"> and advancement of expenses authorized in or ordered by a court pursuant to this section:</w:t>
      </w:r>
    </w:p>
    <w:p>
      <w:pPr>
        <w:spacing w:after="0" w:line="99" w:lineRule="exact"/>
        <w:rPr>
          <w:rFonts w:ascii="Arial" w:cs="Arial" w:eastAsia="Arial" w:hAnsi="Arial"/>
          <w:sz w:val="16"/>
          <w:szCs w:val="16"/>
          <w:color w:val="auto"/>
        </w:rPr>
      </w:pPr>
    </w:p>
    <w:p>
      <w:pPr>
        <w:ind w:left="460" w:right="80" w:firstLine="443"/>
        <w:spacing w:after="0" w:line="294" w:lineRule="auto"/>
        <w:tabs>
          <w:tab w:leader="none" w:pos="1137" w:val="left"/>
        </w:tabs>
        <w:numPr>
          <w:ilvl w:val="1"/>
          <w:numId w:val="14"/>
        </w:numPr>
        <w:rPr>
          <w:rFonts w:ascii="Arial" w:cs="Arial" w:eastAsia="Arial" w:hAnsi="Arial"/>
          <w:sz w:val="16"/>
          <w:szCs w:val="16"/>
          <w:color w:val="auto"/>
        </w:rPr>
      </w:pPr>
      <w:r>
        <w:rPr>
          <w:rFonts w:ascii="Arial" w:cs="Arial" w:eastAsia="Arial" w:hAnsi="Arial"/>
          <w:sz w:val="16"/>
          <w:szCs w:val="16"/>
          <w:color w:val="auto"/>
        </w:rPr>
        <w:t xml:space="preserve">Does not exclude any other rights to which a person seeking indemnification or advancement of expenses may be entitled under the articles of incorporation or any bylaw, agreement, vote of stockholders or disinterested directors or otherwise, for either an action in his official capacity or an action in another capacity while holding his office, except that indemnification, unless ordered by a court pursuant to </w:t>
      </w:r>
      <w:r>
        <w:rPr>
          <w:rFonts w:ascii="Arial" w:cs="Arial" w:eastAsia="Arial" w:hAnsi="Arial"/>
          <w:sz w:val="16"/>
          <w:szCs w:val="16"/>
          <w:i w:val="1"/>
          <w:iCs w:val="1"/>
          <w:color w:val="auto"/>
        </w:rPr>
        <w:t>NRS 78.7502</w:t>
      </w:r>
      <w:r>
        <w:rPr>
          <w:rFonts w:ascii="Arial" w:cs="Arial" w:eastAsia="Arial" w:hAnsi="Arial"/>
          <w:sz w:val="16"/>
          <w:szCs w:val="16"/>
          <w:color w:val="auto"/>
        </w:rPr>
        <w:t xml:space="preserve"> or for the advancement of expenses made pursuant to subsection 2, may not be made to or on behalf of any director or officer if a final adjudication establishes that his acts or omissions involved intentional misconduct, fraud or a knowing violation of the law and was material to the cause of action.</w:t>
      </w:r>
    </w:p>
    <w:p>
      <w:pPr>
        <w:spacing w:after="0" w:line="21" w:lineRule="exact"/>
        <w:rPr>
          <w:rFonts w:ascii="Arial" w:cs="Arial" w:eastAsia="Arial" w:hAnsi="Arial"/>
          <w:sz w:val="16"/>
          <w:szCs w:val="16"/>
          <w:color w:val="auto"/>
        </w:rPr>
      </w:pPr>
    </w:p>
    <w:p>
      <w:pPr>
        <w:ind w:left="460" w:right="820" w:firstLine="443"/>
        <w:spacing w:after="0" w:line="268" w:lineRule="auto"/>
        <w:tabs>
          <w:tab w:leader="none" w:pos="1147" w:val="left"/>
        </w:tabs>
        <w:numPr>
          <w:ilvl w:val="1"/>
          <w:numId w:val="14"/>
        </w:numPr>
        <w:rPr>
          <w:rFonts w:ascii="Arial" w:cs="Arial" w:eastAsia="Arial" w:hAnsi="Arial"/>
          <w:sz w:val="18"/>
          <w:szCs w:val="18"/>
          <w:color w:val="auto"/>
        </w:rPr>
      </w:pPr>
      <w:r>
        <w:rPr>
          <w:rFonts w:ascii="Arial" w:cs="Arial" w:eastAsia="Arial" w:hAnsi="Arial"/>
          <w:sz w:val="18"/>
          <w:szCs w:val="18"/>
          <w:color w:val="auto"/>
        </w:rPr>
        <w:t>Continues for a person who has ceased to be a director, officer, employee or agent and inures to the benefit of the heirs, executors and administrators of such a person.”</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addition, the registrant maintains directors’ and officers’ liability insurance which insures against liabilities that its directors and officers may incur in such capacities.</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Reference is made to “Undertakings,” below, for the registrant’s undertakings in this registration statement with respect to indemnification of liabilities arising under the Securities Act of 1933, as amended (the “Securities Act”).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ind w:left="100"/>
              <w:spacing w:after="0"/>
              <w:rPr>
                <w:sz w:val="20"/>
                <w:szCs w:val="20"/>
                <w:color w:val="auto"/>
              </w:rPr>
            </w:pPr>
            <w:r>
              <w:rPr>
                <w:rFonts w:ascii="Arial" w:cs="Arial" w:eastAsia="Arial" w:hAnsi="Arial"/>
                <w:sz w:val="14"/>
                <w:szCs w:val="14"/>
                <w:b w:val="1"/>
                <w:bCs w:val="1"/>
                <w:color w:val="auto"/>
              </w:rPr>
              <w:t>Exhibit</w:t>
            </w:r>
          </w:p>
        </w:tc>
        <w:tc>
          <w:tcPr>
            <w:tcW w:w="48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160" w:type="dxa"/>
            <w:vAlign w:val="bottom"/>
          </w:tcPr>
          <w:p>
            <w:pPr>
              <w:spacing w:after="0"/>
              <w:rPr>
                <w:sz w:val="14"/>
                <w:szCs w:val="14"/>
                <w:color w:val="auto"/>
              </w:rPr>
            </w:pPr>
          </w:p>
        </w:tc>
      </w:tr>
      <w:tr>
        <w:trPr>
          <w:trHeight w:val="174"/>
        </w:trPr>
        <w:tc>
          <w:tcPr>
            <w:tcW w:w="620" w:type="dxa"/>
            <w:vAlign w:val="bottom"/>
          </w:tcPr>
          <w:p>
            <w:pPr>
              <w:ind w:left="80"/>
              <w:spacing w:after="0"/>
              <w:rPr>
                <w:sz w:val="20"/>
                <w:szCs w:val="20"/>
                <w:color w:val="auto"/>
              </w:rPr>
            </w:pPr>
            <w:r>
              <w:rPr>
                <w:rFonts w:ascii="Arial" w:cs="Arial" w:eastAsia="Arial" w:hAnsi="Arial"/>
                <w:sz w:val="14"/>
                <w:szCs w:val="14"/>
                <w:b w:val="1"/>
                <w:bCs w:val="1"/>
                <w:color w:val="auto"/>
                <w:w w:val="98"/>
              </w:rPr>
              <w:t>Number</w:t>
            </w:r>
          </w:p>
        </w:tc>
        <w:tc>
          <w:tcPr>
            <w:tcW w:w="4880" w:type="dxa"/>
            <w:vAlign w:val="bottom"/>
          </w:tcPr>
          <w:p>
            <w:pPr>
              <w:spacing w:after="0"/>
              <w:rPr>
                <w:sz w:val="15"/>
                <w:szCs w:val="15"/>
                <w:color w:val="auto"/>
              </w:rPr>
            </w:pPr>
          </w:p>
        </w:tc>
        <w:tc>
          <w:tcPr>
            <w:tcW w:w="5100" w:type="dxa"/>
            <w:vAlign w:val="bottom"/>
            <w:gridSpan w:val="2"/>
          </w:tcPr>
          <w:p>
            <w:pPr>
              <w:ind w:left="240"/>
              <w:spacing w:after="0"/>
              <w:rPr>
                <w:sz w:val="20"/>
                <w:szCs w:val="20"/>
                <w:color w:val="auto"/>
              </w:rPr>
            </w:pPr>
            <w:r>
              <w:rPr>
                <w:rFonts w:ascii="Arial" w:cs="Arial" w:eastAsia="Arial" w:hAnsi="Arial"/>
                <w:sz w:val="14"/>
                <w:szCs w:val="14"/>
                <w:b w:val="1"/>
                <w:bCs w:val="1"/>
                <w:color w:val="auto"/>
              </w:rPr>
              <w:t>Description of Document</w:t>
            </w:r>
          </w:p>
        </w:tc>
      </w:tr>
      <w:tr>
        <w:trPr>
          <w:trHeight w:val="95"/>
        </w:trPr>
        <w:tc>
          <w:tcPr>
            <w:tcW w:w="620" w:type="dxa"/>
            <w:vAlign w:val="bottom"/>
            <w:tcBorders>
              <w:bottom w:val="single" w:sz="8" w:color="auto"/>
            </w:tcBorders>
          </w:tcPr>
          <w:p>
            <w:pPr>
              <w:spacing w:after="0"/>
              <w:rPr>
                <w:sz w:val="8"/>
                <w:szCs w:val="8"/>
                <w:color w:val="auto"/>
              </w:rPr>
            </w:pPr>
          </w:p>
        </w:tc>
        <w:tc>
          <w:tcPr>
            <w:tcW w:w="4880" w:type="dxa"/>
            <w:vAlign w:val="bottom"/>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3160" w:type="dxa"/>
            <w:vAlign w:val="bottom"/>
          </w:tcPr>
          <w:p>
            <w:pPr>
              <w:spacing w:after="0"/>
              <w:rPr>
                <w:sz w:val="8"/>
                <w:szCs w:val="8"/>
                <w:color w:val="auto"/>
              </w:rPr>
            </w:pPr>
          </w:p>
        </w:tc>
      </w:tr>
      <w:tr>
        <w:trPr>
          <w:trHeight w:val="316"/>
        </w:trPr>
        <w:tc>
          <w:tcPr>
            <w:tcW w:w="620" w:type="dxa"/>
            <w:vAlign w:val="bottom"/>
          </w:tcPr>
          <w:p>
            <w:pPr>
              <w:spacing w:after="0"/>
              <w:rPr>
                <w:sz w:val="20"/>
                <w:szCs w:val="20"/>
                <w:color w:val="auto"/>
              </w:rPr>
            </w:pPr>
            <w:r>
              <w:rPr>
                <w:rFonts w:ascii="Arial" w:cs="Arial" w:eastAsia="Arial" w:hAnsi="Arial"/>
                <w:sz w:val="18"/>
                <w:szCs w:val="18"/>
                <w:color w:val="auto"/>
              </w:rPr>
              <w:t>5</w:t>
            </w:r>
          </w:p>
        </w:tc>
        <w:tc>
          <w:tcPr>
            <w:tcW w:w="9980" w:type="dxa"/>
            <w:vAlign w:val="bottom"/>
            <w:gridSpan w:val="3"/>
          </w:tcPr>
          <w:p>
            <w:pPr>
              <w:ind w:left="880"/>
              <w:spacing w:after="0"/>
              <w:rPr>
                <w:sz w:val="20"/>
                <w:szCs w:val="20"/>
                <w:color w:val="auto"/>
              </w:rPr>
            </w:pPr>
            <w:r>
              <w:rPr>
                <w:rFonts w:ascii="Arial" w:cs="Arial" w:eastAsia="Arial" w:hAnsi="Arial"/>
                <w:sz w:val="18"/>
                <w:szCs w:val="18"/>
                <w:color w:val="auto"/>
                <w:w w:val="90"/>
              </w:rPr>
              <w:t>Opinion of Perkins Smith &amp; Cohen LLP (including the consent of such firm) regarding the legality of the securities being offered</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23.1</w:t>
            </w:r>
          </w:p>
        </w:tc>
        <w:tc>
          <w:tcPr>
            <w:tcW w:w="9980" w:type="dxa"/>
            <w:vAlign w:val="bottom"/>
            <w:gridSpan w:val="3"/>
          </w:tcPr>
          <w:p>
            <w:pPr>
              <w:ind w:left="880"/>
              <w:spacing w:after="0"/>
              <w:rPr>
                <w:sz w:val="20"/>
                <w:szCs w:val="20"/>
                <w:color w:val="auto"/>
              </w:rPr>
            </w:pPr>
            <w:r>
              <w:rPr>
                <w:rFonts w:ascii="Arial" w:cs="Arial" w:eastAsia="Arial" w:hAnsi="Arial"/>
                <w:sz w:val="18"/>
                <w:szCs w:val="18"/>
                <w:color w:val="auto"/>
              </w:rPr>
              <w:t>Consent of Perkins Smith &amp; Cohen LLP (included as part of Exhibit 5 hereto)</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23.2</w:t>
            </w:r>
          </w:p>
        </w:tc>
        <w:tc>
          <w:tcPr>
            <w:tcW w:w="9980" w:type="dxa"/>
            <w:vAlign w:val="bottom"/>
            <w:gridSpan w:val="3"/>
          </w:tcPr>
          <w:p>
            <w:pPr>
              <w:ind w:left="880"/>
              <w:spacing w:after="0"/>
              <w:rPr>
                <w:sz w:val="20"/>
                <w:szCs w:val="20"/>
                <w:color w:val="auto"/>
              </w:rPr>
            </w:pPr>
            <w:r>
              <w:rPr>
                <w:rFonts w:ascii="Arial" w:cs="Arial" w:eastAsia="Arial" w:hAnsi="Arial"/>
                <w:sz w:val="18"/>
                <w:szCs w:val="18"/>
                <w:color w:val="auto"/>
              </w:rPr>
              <w:t>Consent of Deloitte &amp; Touche LLP, independent auditors</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23.3</w:t>
            </w:r>
          </w:p>
        </w:tc>
        <w:tc>
          <w:tcPr>
            <w:tcW w:w="9980" w:type="dxa"/>
            <w:vAlign w:val="bottom"/>
            <w:gridSpan w:val="3"/>
          </w:tcPr>
          <w:p>
            <w:pPr>
              <w:ind w:left="880"/>
              <w:spacing w:after="0"/>
              <w:rPr>
                <w:sz w:val="20"/>
                <w:szCs w:val="20"/>
                <w:color w:val="auto"/>
              </w:rPr>
            </w:pPr>
            <w:r>
              <w:rPr>
                <w:rFonts w:ascii="Arial" w:cs="Arial" w:eastAsia="Arial" w:hAnsi="Arial"/>
                <w:sz w:val="18"/>
                <w:szCs w:val="18"/>
                <w:color w:val="auto"/>
              </w:rPr>
              <w:t>Consent of Scillia Dowling &amp; Natarelli LLC, independent auditors</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24</w:t>
            </w:r>
          </w:p>
        </w:tc>
        <w:tc>
          <w:tcPr>
            <w:tcW w:w="9980" w:type="dxa"/>
            <w:vAlign w:val="bottom"/>
            <w:gridSpan w:val="3"/>
          </w:tcPr>
          <w:p>
            <w:pPr>
              <w:ind w:left="880"/>
              <w:spacing w:after="0"/>
              <w:rPr>
                <w:sz w:val="20"/>
                <w:szCs w:val="20"/>
                <w:color w:val="auto"/>
              </w:rPr>
            </w:pPr>
            <w:r>
              <w:rPr>
                <w:rFonts w:ascii="Arial" w:cs="Arial" w:eastAsia="Arial" w:hAnsi="Arial"/>
                <w:sz w:val="18"/>
                <w:szCs w:val="18"/>
                <w:color w:val="auto"/>
              </w:rPr>
              <w:t>Powers of Attorney (included on signature page).</w:t>
            </w:r>
          </w:p>
        </w:tc>
      </w:tr>
    </w:tbl>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UNDERTAKINGS.</w:t>
      </w:r>
    </w:p>
    <w:p>
      <w:pPr>
        <w:spacing w:after="0" w:line="83" w:lineRule="exact"/>
        <w:rPr>
          <w:sz w:val="20"/>
          <w:szCs w:val="20"/>
          <w:color w:val="auto"/>
        </w:rPr>
      </w:pPr>
    </w:p>
    <w:p>
      <w:pPr>
        <w:ind w:left="700" w:hanging="23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undersigned small business issuer will:</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File, during any period in which it offers or sells securities, a post-effective amendment to this registration statement to:</w:t>
      </w:r>
    </w:p>
    <w:p>
      <w:pPr>
        <w:spacing w:after="0" w:line="76" w:lineRule="exact"/>
        <w:rPr>
          <w:rFonts w:ascii="Arial" w:cs="Arial" w:eastAsia="Arial" w:hAnsi="Arial"/>
          <w:sz w:val="18"/>
          <w:szCs w:val="18"/>
          <w:color w:val="auto"/>
        </w:rPr>
      </w:pPr>
    </w:p>
    <w:p>
      <w:pPr>
        <w:ind w:left="1560" w:hanging="219"/>
        <w:spacing w:after="0"/>
        <w:tabs>
          <w:tab w:leader="none" w:pos="1560" w:val="left"/>
        </w:tabs>
        <w:numPr>
          <w:ilvl w:val="2"/>
          <w:numId w:val="15"/>
        </w:numPr>
        <w:rPr>
          <w:rFonts w:ascii="Arial" w:cs="Arial" w:eastAsia="Arial" w:hAnsi="Arial"/>
          <w:sz w:val="18"/>
          <w:szCs w:val="18"/>
          <w:color w:val="auto"/>
        </w:rPr>
      </w:pPr>
      <w:r>
        <w:rPr>
          <w:rFonts w:ascii="Arial" w:cs="Arial" w:eastAsia="Arial" w:hAnsi="Arial"/>
          <w:sz w:val="18"/>
          <w:szCs w:val="18"/>
          <w:color w:val="auto"/>
        </w:rPr>
        <w:t>Include any prospectus required by Section 10(a)(3) of the Securities Act;</w:t>
      </w:r>
    </w:p>
    <w:p>
      <w:pPr>
        <w:spacing w:after="0" w:line="76" w:lineRule="exact"/>
        <w:rPr>
          <w:rFonts w:ascii="Arial" w:cs="Arial" w:eastAsia="Arial" w:hAnsi="Arial"/>
          <w:sz w:val="18"/>
          <w:szCs w:val="18"/>
          <w:color w:val="auto"/>
        </w:rPr>
      </w:pPr>
    </w:p>
    <w:p>
      <w:pPr>
        <w:ind w:left="920" w:firstLine="421"/>
        <w:spacing w:after="0" w:line="254" w:lineRule="auto"/>
        <w:tabs>
          <w:tab w:leader="none" w:pos="1598" w:val="left"/>
        </w:tabs>
        <w:numPr>
          <w:ilvl w:val="2"/>
          <w:numId w:val="15"/>
        </w:numPr>
        <w:rPr>
          <w:rFonts w:ascii="Arial" w:cs="Arial" w:eastAsia="Arial" w:hAnsi="Arial"/>
          <w:sz w:val="18"/>
          <w:szCs w:val="18"/>
          <w:color w:val="auto"/>
        </w:rPr>
      </w:pPr>
      <w:r>
        <w:rPr>
          <w:rFonts w:ascii="Arial" w:cs="Arial" w:eastAsia="Arial" w:hAnsi="Arial"/>
          <w:sz w:val="18"/>
          <w:szCs w:val="18"/>
          <w:color w:val="auto"/>
        </w:rPr>
        <w:t>Reflect in the prospectus any facts or events which, individually or together, represent a fundamental change in the information in the registration statement; and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the volume and price represent no more than a 20% change in the maximum aggregate offering price set forth in the “Calculation of Registration Fee” table in the effective registration statement; and</w:t>
      </w:r>
    </w:p>
    <w:p>
      <w:pPr>
        <w:spacing w:after="0" w:line="49" w:lineRule="exact"/>
        <w:rPr>
          <w:rFonts w:ascii="Arial" w:cs="Arial" w:eastAsia="Arial" w:hAnsi="Arial"/>
          <w:sz w:val="18"/>
          <w:szCs w:val="18"/>
          <w:color w:val="auto"/>
        </w:rPr>
      </w:pPr>
    </w:p>
    <w:p>
      <w:pPr>
        <w:ind w:left="1640" w:hanging="299"/>
        <w:spacing w:after="0"/>
        <w:tabs>
          <w:tab w:leader="none" w:pos="1640" w:val="left"/>
        </w:tabs>
        <w:numPr>
          <w:ilvl w:val="2"/>
          <w:numId w:val="15"/>
        </w:numPr>
        <w:rPr>
          <w:rFonts w:ascii="Arial" w:cs="Arial" w:eastAsia="Arial" w:hAnsi="Arial"/>
          <w:sz w:val="18"/>
          <w:szCs w:val="18"/>
          <w:color w:val="auto"/>
        </w:rPr>
      </w:pPr>
      <w:r>
        <w:rPr>
          <w:rFonts w:ascii="Arial" w:cs="Arial" w:eastAsia="Arial" w:hAnsi="Arial"/>
          <w:sz w:val="18"/>
          <w:szCs w:val="18"/>
          <w:color w:val="auto"/>
        </w:rPr>
        <w:t>Include any additional or changed material information on the plan of distribution;</w:t>
      </w:r>
    </w:p>
    <w:p>
      <w:pPr>
        <w:spacing w:after="0" w:line="158"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provided, however, that paragraphs (a)(1)(i) and (a)(1)(ii) above do not apply if the information required to be included in a post-effective amendment by those paragraphs is incorporated by reference from periodic reports filed by the small business issuer under the Exchange Act.</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20" w:firstLine="443"/>
        <w:spacing w:after="0" w:line="268" w:lineRule="auto"/>
        <w:tabs>
          <w:tab w:leader="none" w:pos="1147" w:val="left"/>
        </w:tabs>
        <w:numPr>
          <w:ilvl w:val="1"/>
          <w:numId w:val="16"/>
        </w:numPr>
        <w:rPr>
          <w:rFonts w:ascii="Arial" w:cs="Arial" w:eastAsia="Arial" w:hAnsi="Arial"/>
          <w:sz w:val="18"/>
          <w:szCs w:val="18"/>
          <w:color w:val="auto"/>
        </w:rPr>
      </w:pPr>
      <w:r>
        <w:rPr>
          <w:rFonts w:ascii="Arial" w:cs="Arial" w:eastAsia="Arial" w:hAnsi="Arial"/>
          <w:sz w:val="18"/>
          <w:szCs w:val="18"/>
          <w:color w:val="auto"/>
        </w:rPr>
        <w:t>For determining liability under the Securities Act, treat each post-effective amendment as a new registration statement of the securities offered, and the offering of the securities at that time to be the initial bona fide offering.</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File a post-effective amendment to remove from registration any of the securities that remain unsold at the end of the offering.</w:t>
      </w:r>
    </w:p>
    <w:p>
      <w:pPr>
        <w:spacing w:after="0" w:line="157" w:lineRule="exact"/>
        <w:rPr>
          <w:rFonts w:ascii="Arial" w:cs="Arial" w:eastAsia="Arial" w:hAnsi="Arial"/>
          <w:sz w:val="18"/>
          <w:szCs w:val="18"/>
          <w:color w:val="auto"/>
        </w:rPr>
      </w:pPr>
    </w:p>
    <w:p>
      <w:pPr>
        <w:ind w:firstLine="464"/>
        <w:spacing w:after="0" w:line="256" w:lineRule="auto"/>
        <w:tabs>
          <w:tab w:leader="none" w:pos="70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undersigned small business issuer hereby undertakes that, for purposes of determining any liability under the Securities Act, each filing of the small business issuer’s annual report pursuant to Section 13(a) or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29" w:lineRule="exact"/>
        <w:rPr>
          <w:rFonts w:ascii="Arial" w:cs="Arial" w:eastAsia="Arial" w:hAnsi="Arial"/>
          <w:sz w:val="18"/>
          <w:szCs w:val="18"/>
          <w:color w:val="auto"/>
        </w:rPr>
      </w:pPr>
    </w:p>
    <w:p>
      <w:pPr>
        <w:ind w:right="80" w:firstLine="464"/>
        <w:spacing w:after="0" w:line="289" w:lineRule="auto"/>
        <w:tabs>
          <w:tab w:leader="none" w:pos="695"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small business issuer pursuant to the foregoing provisions, or otherwise, the small business issuer has been advised that in the opinion of the Commission such indemnification is against public policy as expressed in the Securities Act and is, therefore, unenforceable. In the event that a claim for indemnification against such liabilities (other than the payment by the small business issuer of expenses incurred or paid by a director, officer or controlling person of the small business issuer in the successful defense of any action, suit or proceeding) is asserted by such director, officer or controlling person in connection with the securities being registered, the small business issuer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w:t>
      </w:r>
    </w:p>
    <w:p>
      <w:pPr>
        <w:spacing w:after="0" w:line="158"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of filing on Form S-3 and has duly caused this Registration Statement to be signed on its behalf by the undersigned, thereunto duly authorized in Newton, Massachusetts, on December 31, 2003.</w:t>
      </w:r>
    </w:p>
    <w:p>
      <w:pPr>
        <w:spacing w:after="0" w:line="1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PRO-PHARMACEUTICALS, INC.</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ind w:left="6860"/>
        <w:spacing w:after="0"/>
        <w:tabs>
          <w:tab w:leader="none" w:pos="8540" w:val="left"/>
          <w:tab w:leader="none" w:pos="8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D</w:t>
      </w:r>
      <w:r>
        <w:rPr>
          <w:rFonts w:ascii="Arial" w:cs="Arial" w:eastAsia="Arial" w:hAnsi="Arial"/>
          <w:sz w:val="14"/>
          <w:szCs w:val="14"/>
          <w:color w:val="auto"/>
        </w:rPr>
        <w:t>AVID</w:t>
      </w:r>
      <w:r>
        <w:rPr>
          <w:rFonts w:ascii="Arial" w:cs="Arial" w:eastAsia="Arial" w:hAnsi="Arial"/>
          <w:sz w:val="18"/>
          <w:szCs w:val="18"/>
          <w:color w:val="auto"/>
        </w:rPr>
        <w:t xml:space="preserve"> P</w:t>
      </w:r>
      <w:r>
        <w:rPr>
          <w:rFonts w:ascii="Arial" w:cs="Arial" w:eastAsia="Arial" w:hAnsi="Arial"/>
          <w:sz w:val="14"/>
          <w:szCs w:val="14"/>
          <w:color w:val="auto"/>
        </w:rPr>
        <w:t>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80010</wp:posOffset>
            </wp:positionV>
            <wp:extent cx="260731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14" w:lineRule="exact"/>
        <w:rPr>
          <w:sz w:val="20"/>
          <w:szCs w:val="20"/>
          <w:color w:val="auto"/>
        </w:rPr>
      </w:pPr>
    </w:p>
    <w:p>
      <w:pPr>
        <w:jc w:val="center"/>
        <w:ind w:left="7320"/>
        <w:spacing w:after="0"/>
        <w:rPr>
          <w:sz w:val="20"/>
          <w:szCs w:val="20"/>
          <w:color w:val="auto"/>
        </w:rPr>
      </w:pPr>
      <w:r>
        <w:rPr>
          <w:rFonts w:ascii="Arial" w:cs="Arial" w:eastAsia="Arial" w:hAnsi="Arial"/>
          <w:sz w:val="14"/>
          <w:szCs w:val="14"/>
          <w:b w:val="1"/>
          <w:bCs w:val="1"/>
          <w:color w:val="auto"/>
        </w:rPr>
        <w:t>David Platt, Ph.D.</w:t>
      </w:r>
    </w:p>
    <w:p>
      <w:pPr>
        <w:spacing w:after="0" w:line="1" w:lineRule="exact"/>
        <w:rPr>
          <w:sz w:val="20"/>
          <w:szCs w:val="20"/>
          <w:color w:val="auto"/>
        </w:rPr>
      </w:pPr>
    </w:p>
    <w:p>
      <w:pPr>
        <w:jc w:val="center"/>
        <w:ind w:left="732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16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David Platt, his/her true and lawful attorney-in-fact and agent with full power of substitution and resubstitution, for him/her and in his name, place and stead, in any and all capacities to sign any or all amendments (including, without limitation, post-effective amendments) to this Registration Statement, any related Registration Statement filed pursuant to Rule 462(b) under the Securities Act of 1933 and any or all pre- or post-effective amendments thereto, and to file the same, with all exhibits thereto, and all other documents in connection therewith, with the Securities and Exchange Commission, granting unto said attorney-in-fact and agent full power and authority to do and perform each and every act and thing requisite and necessary to be done in and about the premises, as fully for all intents and purposes as he/she might or could do in person, hereby ratifying and confirming all that said attorney-in-fact and agent, or any substitute or substitutes for him, may lawfully do or cause to be done by virtue hereof.</w:t>
      </w:r>
    </w:p>
    <w:p>
      <w:pPr>
        <w:spacing w:after="0" w:line="10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stated.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0" w:type="dxa"/>
            <w:vAlign w:val="bottom"/>
            <w:gridSpan w:val="2"/>
          </w:tcPr>
          <w:p>
            <w:pPr>
              <w:jc w:val="center"/>
              <w:ind w:right="1840"/>
              <w:spacing w:after="0"/>
              <w:rPr>
                <w:sz w:val="20"/>
                <w:szCs w:val="20"/>
                <w:color w:val="auto"/>
              </w:rPr>
            </w:pPr>
            <w:r>
              <w:rPr>
                <w:rFonts w:ascii="Arial" w:cs="Arial" w:eastAsia="Arial" w:hAnsi="Arial"/>
                <w:sz w:val="14"/>
                <w:szCs w:val="14"/>
                <w:b w:val="1"/>
                <w:bCs w:val="1"/>
                <w:color w:val="auto"/>
                <w:w w:val="86"/>
              </w:rPr>
              <w:t>Signature</w:t>
            </w:r>
          </w:p>
        </w:tc>
        <w:tc>
          <w:tcPr>
            <w:tcW w:w="2120" w:type="dxa"/>
            <w:vAlign w:val="bottom"/>
          </w:tcPr>
          <w:p>
            <w:pPr>
              <w:spacing w:after="0"/>
              <w:rPr>
                <w:sz w:val="15"/>
                <w:szCs w:val="15"/>
                <w:color w:val="auto"/>
              </w:rPr>
            </w:pPr>
          </w:p>
        </w:tc>
        <w:tc>
          <w:tcPr>
            <w:tcW w:w="2280" w:type="dxa"/>
            <w:vAlign w:val="bottom"/>
            <w:gridSpan w:val="2"/>
          </w:tcPr>
          <w:p>
            <w:pPr>
              <w:ind w:left="40"/>
              <w:spacing w:after="0"/>
              <w:rPr>
                <w:sz w:val="20"/>
                <w:szCs w:val="20"/>
                <w:color w:val="auto"/>
              </w:rPr>
            </w:pPr>
            <w:r>
              <w:rPr>
                <w:rFonts w:ascii="Arial" w:cs="Arial" w:eastAsia="Arial" w:hAnsi="Arial"/>
                <w:sz w:val="14"/>
                <w:szCs w:val="14"/>
                <w:b w:val="1"/>
                <w:bCs w:val="1"/>
                <w:color w:val="auto"/>
              </w:rPr>
              <w:t>Title</w:t>
            </w:r>
          </w:p>
        </w:tc>
        <w:tc>
          <w:tcPr>
            <w:tcW w:w="1180" w:type="dxa"/>
            <w:vAlign w:val="bottom"/>
          </w:tcPr>
          <w:p>
            <w:pPr>
              <w:spacing w:after="0"/>
              <w:rPr>
                <w:sz w:val="15"/>
                <w:szCs w:val="15"/>
                <w:color w:val="auto"/>
              </w:rPr>
            </w:pPr>
          </w:p>
        </w:tc>
        <w:tc>
          <w:tcPr>
            <w:tcW w:w="8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95"/>
        </w:trPr>
        <w:tc>
          <w:tcPr>
            <w:tcW w:w="1860" w:type="dxa"/>
            <w:vAlign w:val="bottom"/>
            <w:gridSpan w:val="2"/>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840" w:type="dxa"/>
            <w:vAlign w:val="bottom"/>
          </w:tcPr>
          <w:p>
            <w:pPr>
              <w:spacing w:after="0"/>
              <w:rPr>
                <w:sz w:val="8"/>
                <w:szCs w:val="8"/>
                <w:color w:val="auto"/>
              </w:rPr>
            </w:pPr>
          </w:p>
        </w:tc>
        <w:tc>
          <w:tcPr>
            <w:tcW w:w="21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9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85"/>
        </w:trPr>
        <w:tc>
          <w:tcPr>
            <w:tcW w:w="4460" w:type="dxa"/>
            <w:vAlign w:val="bottom"/>
            <w:gridSpan w:val="4"/>
          </w:tcPr>
          <w:p>
            <w:pPr>
              <w:jc w:val="center"/>
              <w:ind w:right="280"/>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AVID</w:t>
            </w:r>
            <w:r>
              <w:rPr>
                <w:rFonts w:ascii="Arial" w:cs="Arial" w:eastAsia="Arial" w:hAnsi="Arial"/>
                <w:sz w:val="18"/>
                <w:szCs w:val="18"/>
                <w:color w:val="auto"/>
              </w:rPr>
              <w:t xml:space="preserve"> P</w:t>
            </w:r>
            <w:r>
              <w:rPr>
                <w:rFonts w:ascii="Arial" w:cs="Arial" w:eastAsia="Arial" w:hAnsi="Arial"/>
                <w:sz w:val="14"/>
                <w:szCs w:val="14"/>
                <w:color w:val="auto"/>
              </w:rPr>
              <w:t>LATT</w:t>
            </w:r>
          </w:p>
        </w:tc>
        <w:tc>
          <w:tcPr>
            <w:tcW w:w="4400" w:type="dxa"/>
            <w:vAlign w:val="bottom"/>
            <w:gridSpan w:val="3"/>
          </w:tcPr>
          <w:p>
            <w:pPr>
              <w:ind w:left="360"/>
              <w:spacing w:after="0"/>
              <w:rPr>
                <w:sz w:val="20"/>
                <w:szCs w:val="20"/>
                <w:color w:val="auto"/>
              </w:rPr>
            </w:pPr>
            <w:r>
              <w:rPr>
                <w:rFonts w:ascii="Arial" w:cs="Arial" w:eastAsia="Arial" w:hAnsi="Arial"/>
                <w:sz w:val="18"/>
                <w:szCs w:val="18"/>
                <w:color w:val="auto"/>
              </w:rPr>
              <w:t>President, Chief Executive Officer and Director</w:t>
            </w:r>
          </w:p>
        </w:tc>
        <w:tc>
          <w:tcPr>
            <w:tcW w:w="2060" w:type="dxa"/>
            <w:vAlign w:val="bottom"/>
            <w:gridSpan w:val="3"/>
          </w:tcPr>
          <w:p>
            <w:pPr>
              <w:jc w:val="center"/>
              <w:ind w:left="592"/>
              <w:spacing w:after="0"/>
              <w:rPr>
                <w:sz w:val="20"/>
                <w:szCs w:val="20"/>
                <w:color w:val="auto"/>
              </w:rPr>
            </w:pPr>
            <w:r>
              <w:rPr>
                <w:rFonts w:ascii="Arial" w:cs="Arial" w:eastAsia="Arial" w:hAnsi="Arial"/>
                <w:sz w:val="18"/>
                <w:szCs w:val="18"/>
                <w:color w:val="auto"/>
                <w:w w:val="87"/>
              </w:rPr>
              <w:t>December 31, 2003</w:t>
            </w:r>
          </w:p>
        </w:tc>
        <w:tc>
          <w:tcPr>
            <w:tcW w:w="0" w:type="dxa"/>
            <w:vAlign w:val="bottom"/>
          </w:tcPr>
          <w:p>
            <w:pPr>
              <w:spacing w:after="0"/>
              <w:rPr>
                <w:sz w:val="1"/>
                <w:szCs w:val="1"/>
                <w:color w:val="auto"/>
              </w:rPr>
            </w:pPr>
          </w:p>
        </w:tc>
      </w:tr>
      <w:tr>
        <w:trPr>
          <w:trHeight w:val="116"/>
        </w:trPr>
        <w:tc>
          <w:tcPr>
            <w:tcW w:w="15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4400" w:type="dxa"/>
            <w:vAlign w:val="bottom"/>
            <w:gridSpan w:val="3"/>
            <w:vMerge w:val="restart"/>
          </w:tcPr>
          <w:p>
            <w:pPr>
              <w:ind w:left="580"/>
              <w:spacing w:after="0"/>
              <w:rPr>
                <w:sz w:val="20"/>
                <w:szCs w:val="20"/>
                <w:color w:val="auto"/>
              </w:rPr>
            </w:pPr>
            <w:r>
              <w:rPr>
                <w:rFonts w:ascii="Arial" w:cs="Arial" w:eastAsia="Arial" w:hAnsi="Arial"/>
                <w:sz w:val="18"/>
                <w:szCs w:val="18"/>
                <w:color w:val="auto"/>
              </w:rPr>
              <w:t>(Principal Executive Officer)</w:t>
            </w:r>
          </w:p>
        </w:tc>
        <w:tc>
          <w:tcPr>
            <w:tcW w:w="1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500" w:type="dxa"/>
            <w:vAlign w:val="bottom"/>
          </w:tcPr>
          <w:p>
            <w:pPr>
              <w:spacing w:after="0"/>
              <w:rPr>
                <w:sz w:val="7"/>
                <w:szCs w:val="7"/>
                <w:color w:val="auto"/>
              </w:rPr>
            </w:pPr>
          </w:p>
        </w:tc>
        <w:tc>
          <w:tcPr>
            <w:tcW w:w="2960" w:type="dxa"/>
            <w:vAlign w:val="bottom"/>
            <w:gridSpan w:val="3"/>
            <w:vMerge w:val="restart"/>
          </w:tcPr>
          <w:p>
            <w:pPr>
              <w:jc w:val="center"/>
              <w:ind w:right="1480"/>
              <w:spacing w:after="0"/>
              <w:rPr>
                <w:sz w:val="20"/>
                <w:szCs w:val="20"/>
                <w:color w:val="auto"/>
              </w:rPr>
            </w:pPr>
            <w:r>
              <w:rPr>
                <w:rFonts w:ascii="Arial" w:cs="Arial" w:eastAsia="Arial" w:hAnsi="Arial"/>
                <w:sz w:val="14"/>
                <w:szCs w:val="14"/>
                <w:b w:val="1"/>
                <w:bCs w:val="1"/>
                <w:color w:val="auto"/>
                <w:w w:val="89"/>
              </w:rPr>
              <w:t>David Platt, Ph.D.</w:t>
            </w:r>
          </w:p>
        </w:tc>
        <w:tc>
          <w:tcPr>
            <w:tcW w:w="4400" w:type="dxa"/>
            <w:vAlign w:val="bottom"/>
            <w:gridSpan w:val="3"/>
            <w:vMerge w:val="continue"/>
          </w:tcPr>
          <w:p>
            <w:pPr>
              <w:spacing w:after="0"/>
              <w:rPr>
                <w:sz w:val="7"/>
                <w:szCs w:val="7"/>
                <w:color w:val="auto"/>
              </w:rPr>
            </w:pPr>
          </w:p>
        </w:tc>
        <w:tc>
          <w:tcPr>
            <w:tcW w:w="1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500" w:type="dxa"/>
            <w:vAlign w:val="bottom"/>
          </w:tcPr>
          <w:p>
            <w:pPr>
              <w:spacing w:after="0"/>
              <w:rPr>
                <w:sz w:val="15"/>
                <w:szCs w:val="15"/>
                <w:color w:val="auto"/>
              </w:rPr>
            </w:pPr>
          </w:p>
        </w:tc>
        <w:tc>
          <w:tcPr>
            <w:tcW w:w="2960" w:type="dxa"/>
            <w:vAlign w:val="bottom"/>
            <w:gridSpan w:val="3"/>
            <w:vMerge w:val="continue"/>
          </w:tcPr>
          <w:p>
            <w:pPr>
              <w:spacing w:after="0"/>
              <w:rPr>
                <w:sz w:val="15"/>
                <w:szCs w:val="15"/>
                <w:color w:val="auto"/>
              </w:rPr>
            </w:pPr>
          </w:p>
        </w:tc>
        <w:tc>
          <w:tcPr>
            <w:tcW w:w="2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0"/>
        </w:trPr>
        <w:tc>
          <w:tcPr>
            <w:tcW w:w="1500" w:type="dxa"/>
            <w:vAlign w:val="bottom"/>
          </w:tcPr>
          <w:p>
            <w:pPr>
              <w:ind w:left="1160"/>
              <w:spacing w:after="0"/>
              <w:rPr>
                <w:sz w:val="20"/>
                <w:szCs w:val="20"/>
                <w:color w:val="auto"/>
              </w:rPr>
            </w:pPr>
            <w:r>
              <w:rPr>
                <w:rFonts w:ascii="Arial" w:cs="Arial" w:eastAsia="Arial" w:hAnsi="Arial"/>
                <w:sz w:val="18"/>
                <w:szCs w:val="18"/>
                <w:color w:val="auto"/>
              </w:rPr>
              <w:t>/s/</w:t>
            </w:r>
          </w:p>
        </w:tc>
        <w:tc>
          <w:tcPr>
            <w:tcW w:w="2960" w:type="dxa"/>
            <w:vAlign w:val="bottom"/>
            <w:gridSpan w:val="3"/>
          </w:tcPr>
          <w:p>
            <w:pPr>
              <w:jc w:val="center"/>
              <w:ind w:right="1440"/>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HARLES</w:t>
            </w:r>
            <w:r>
              <w:rPr>
                <w:rFonts w:ascii="Arial" w:cs="Arial" w:eastAsia="Arial" w:hAnsi="Arial"/>
                <w:sz w:val="18"/>
                <w:szCs w:val="18"/>
                <w:color w:val="auto"/>
                <w:w w:val="97"/>
              </w:rPr>
              <w:t xml:space="preserve"> F. H</w:t>
            </w:r>
            <w:r>
              <w:rPr>
                <w:rFonts w:ascii="Arial" w:cs="Arial" w:eastAsia="Arial" w:hAnsi="Arial"/>
                <w:sz w:val="14"/>
                <w:szCs w:val="14"/>
                <w:color w:val="auto"/>
                <w:w w:val="97"/>
              </w:rPr>
              <w:t>ARNEY</w:t>
            </w:r>
          </w:p>
        </w:tc>
        <w:tc>
          <w:tcPr>
            <w:tcW w:w="4400" w:type="dxa"/>
            <w:vAlign w:val="bottom"/>
            <w:gridSpan w:val="3"/>
          </w:tcPr>
          <w:p>
            <w:pPr>
              <w:ind w:left="360"/>
              <w:spacing w:after="0"/>
              <w:rPr>
                <w:sz w:val="20"/>
                <w:szCs w:val="20"/>
                <w:color w:val="auto"/>
              </w:rPr>
            </w:pPr>
            <w:r>
              <w:rPr>
                <w:rFonts w:ascii="Arial" w:cs="Arial" w:eastAsia="Arial" w:hAnsi="Arial"/>
                <w:sz w:val="18"/>
                <w:szCs w:val="18"/>
                <w:color w:val="auto"/>
              </w:rPr>
              <w:t>Chief Financial Officer and Treasurer (Principal</w:t>
            </w:r>
          </w:p>
        </w:tc>
        <w:tc>
          <w:tcPr>
            <w:tcW w:w="2060" w:type="dxa"/>
            <w:vAlign w:val="bottom"/>
            <w:gridSpan w:val="3"/>
          </w:tcPr>
          <w:p>
            <w:pPr>
              <w:jc w:val="center"/>
              <w:ind w:left="592"/>
              <w:spacing w:after="0"/>
              <w:rPr>
                <w:sz w:val="20"/>
                <w:szCs w:val="20"/>
                <w:color w:val="auto"/>
              </w:rPr>
            </w:pPr>
            <w:r>
              <w:rPr>
                <w:rFonts w:ascii="Arial" w:cs="Arial" w:eastAsia="Arial" w:hAnsi="Arial"/>
                <w:sz w:val="18"/>
                <w:szCs w:val="18"/>
                <w:color w:val="auto"/>
                <w:w w:val="87"/>
              </w:rPr>
              <w:t>December 31, 2003</w:t>
            </w:r>
          </w:p>
        </w:tc>
        <w:tc>
          <w:tcPr>
            <w:tcW w:w="0" w:type="dxa"/>
            <w:vAlign w:val="bottom"/>
          </w:tcPr>
          <w:p>
            <w:pPr>
              <w:spacing w:after="0"/>
              <w:rPr>
                <w:sz w:val="1"/>
                <w:szCs w:val="1"/>
                <w:color w:val="auto"/>
              </w:rPr>
            </w:pPr>
          </w:p>
        </w:tc>
      </w:tr>
      <w:tr>
        <w:trPr>
          <w:trHeight w:val="116"/>
        </w:trPr>
        <w:tc>
          <w:tcPr>
            <w:tcW w:w="15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4400" w:type="dxa"/>
            <w:vAlign w:val="bottom"/>
            <w:gridSpan w:val="3"/>
            <w:vMerge w:val="restart"/>
          </w:tcPr>
          <w:p>
            <w:pPr>
              <w:ind w:left="580"/>
              <w:spacing w:after="0"/>
              <w:rPr>
                <w:sz w:val="20"/>
                <w:szCs w:val="20"/>
                <w:color w:val="auto"/>
              </w:rPr>
            </w:pPr>
            <w:r>
              <w:rPr>
                <w:rFonts w:ascii="Arial" w:cs="Arial" w:eastAsia="Arial" w:hAnsi="Arial"/>
                <w:sz w:val="18"/>
                <w:szCs w:val="18"/>
                <w:color w:val="auto"/>
              </w:rPr>
              <w:t>Financial and Accounting Officer)</w:t>
            </w:r>
          </w:p>
        </w:tc>
        <w:tc>
          <w:tcPr>
            <w:tcW w:w="1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500" w:type="dxa"/>
            <w:vAlign w:val="bottom"/>
          </w:tcPr>
          <w:p>
            <w:pPr>
              <w:spacing w:after="0"/>
              <w:rPr>
                <w:sz w:val="7"/>
                <w:szCs w:val="7"/>
                <w:color w:val="auto"/>
              </w:rPr>
            </w:pPr>
          </w:p>
        </w:tc>
        <w:tc>
          <w:tcPr>
            <w:tcW w:w="2960" w:type="dxa"/>
            <w:vAlign w:val="bottom"/>
            <w:gridSpan w:val="3"/>
            <w:vMerge w:val="restart"/>
          </w:tcPr>
          <w:p>
            <w:pPr>
              <w:jc w:val="center"/>
              <w:ind w:right="1500"/>
              <w:spacing w:after="0"/>
              <w:rPr>
                <w:sz w:val="20"/>
                <w:szCs w:val="20"/>
                <w:color w:val="auto"/>
              </w:rPr>
            </w:pPr>
            <w:r>
              <w:rPr>
                <w:rFonts w:ascii="Arial" w:cs="Arial" w:eastAsia="Arial" w:hAnsi="Arial"/>
                <w:sz w:val="14"/>
                <w:szCs w:val="14"/>
                <w:b w:val="1"/>
                <w:bCs w:val="1"/>
                <w:color w:val="auto"/>
                <w:w w:val="89"/>
              </w:rPr>
              <w:t>Charles F. Harney</w:t>
            </w:r>
          </w:p>
        </w:tc>
        <w:tc>
          <w:tcPr>
            <w:tcW w:w="4400" w:type="dxa"/>
            <w:vAlign w:val="bottom"/>
            <w:gridSpan w:val="3"/>
            <w:vMerge w:val="continue"/>
          </w:tcPr>
          <w:p>
            <w:pPr>
              <w:spacing w:after="0"/>
              <w:rPr>
                <w:sz w:val="7"/>
                <w:szCs w:val="7"/>
                <w:color w:val="auto"/>
              </w:rPr>
            </w:pPr>
          </w:p>
        </w:tc>
        <w:tc>
          <w:tcPr>
            <w:tcW w:w="1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500" w:type="dxa"/>
            <w:vAlign w:val="bottom"/>
          </w:tcPr>
          <w:p>
            <w:pPr>
              <w:spacing w:after="0"/>
              <w:rPr>
                <w:sz w:val="15"/>
                <w:szCs w:val="15"/>
                <w:color w:val="auto"/>
              </w:rPr>
            </w:pPr>
          </w:p>
        </w:tc>
        <w:tc>
          <w:tcPr>
            <w:tcW w:w="2960" w:type="dxa"/>
            <w:vAlign w:val="bottom"/>
            <w:gridSpan w:val="3"/>
            <w:vMerge w:val="continue"/>
          </w:tcPr>
          <w:p>
            <w:pPr>
              <w:spacing w:after="0"/>
              <w:rPr>
                <w:sz w:val="15"/>
                <w:szCs w:val="15"/>
                <w:color w:val="auto"/>
              </w:rPr>
            </w:pPr>
          </w:p>
        </w:tc>
        <w:tc>
          <w:tcPr>
            <w:tcW w:w="2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7"/>
        </w:trPr>
        <w:tc>
          <w:tcPr>
            <w:tcW w:w="1500" w:type="dxa"/>
            <w:vAlign w:val="bottom"/>
          </w:tcPr>
          <w:p>
            <w:pPr>
              <w:ind w:left="1240"/>
              <w:spacing w:after="0"/>
              <w:rPr>
                <w:sz w:val="20"/>
                <w:szCs w:val="20"/>
                <w:color w:val="auto"/>
              </w:rPr>
            </w:pPr>
            <w:r>
              <w:rPr>
                <w:rFonts w:ascii="Arial" w:cs="Arial" w:eastAsia="Arial" w:hAnsi="Arial"/>
                <w:sz w:val="18"/>
                <w:szCs w:val="18"/>
                <w:color w:val="auto"/>
              </w:rPr>
              <w:t>/s/</w:t>
            </w:r>
          </w:p>
        </w:tc>
        <w:tc>
          <w:tcPr>
            <w:tcW w:w="2960" w:type="dxa"/>
            <w:vAlign w:val="bottom"/>
            <w:gridSpan w:val="3"/>
          </w:tcPr>
          <w:p>
            <w:pPr>
              <w:jc w:val="center"/>
              <w:ind w:right="1440"/>
              <w:spacing w:after="0"/>
              <w:rPr>
                <w:sz w:val="20"/>
                <w:szCs w:val="20"/>
                <w:color w:val="auto"/>
              </w:rPr>
            </w:pPr>
            <w:r>
              <w:rPr>
                <w:rFonts w:ascii="Arial" w:cs="Arial" w:eastAsia="Arial" w:hAnsi="Arial"/>
                <w:sz w:val="18"/>
                <w:szCs w:val="18"/>
                <w:color w:val="auto"/>
                <w:w w:val="96"/>
              </w:rPr>
              <w:t>B</w:t>
            </w:r>
            <w:r>
              <w:rPr>
                <w:rFonts w:ascii="Arial" w:cs="Arial" w:eastAsia="Arial" w:hAnsi="Arial"/>
                <w:sz w:val="14"/>
                <w:szCs w:val="14"/>
                <w:color w:val="auto"/>
                <w:w w:val="96"/>
              </w:rPr>
              <w:t>URTON</w:t>
            </w:r>
            <w:r>
              <w:rPr>
                <w:rFonts w:ascii="Arial" w:cs="Arial" w:eastAsia="Arial" w:hAnsi="Arial"/>
                <w:sz w:val="18"/>
                <w:szCs w:val="18"/>
                <w:color w:val="auto"/>
                <w:w w:val="96"/>
              </w:rPr>
              <w:t xml:space="preserve"> C. F</w:t>
            </w:r>
            <w:r>
              <w:rPr>
                <w:rFonts w:ascii="Arial" w:cs="Arial" w:eastAsia="Arial" w:hAnsi="Arial"/>
                <w:sz w:val="14"/>
                <w:szCs w:val="14"/>
                <w:color w:val="auto"/>
                <w:w w:val="96"/>
              </w:rPr>
              <w:t>IRTEL</w:t>
            </w:r>
          </w:p>
        </w:tc>
        <w:tc>
          <w:tcPr>
            <w:tcW w:w="440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2060" w:type="dxa"/>
            <w:vAlign w:val="bottom"/>
            <w:gridSpan w:val="3"/>
          </w:tcPr>
          <w:p>
            <w:pPr>
              <w:jc w:val="center"/>
              <w:ind w:left="592"/>
              <w:spacing w:after="0"/>
              <w:rPr>
                <w:sz w:val="20"/>
                <w:szCs w:val="20"/>
                <w:color w:val="auto"/>
              </w:rPr>
            </w:pPr>
            <w:r>
              <w:rPr>
                <w:rFonts w:ascii="Arial" w:cs="Arial" w:eastAsia="Arial" w:hAnsi="Arial"/>
                <w:sz w:val="18"/>
                <w:szCs w:val="18"/>
                <w:color w:val="auto"/>
                <w:w w:val="87"/>
              </w:rPr>
              <w:t>December 31, 2003</w:t>
            </w:r>
          </w:p>
        </w:tc>
        <w:tc>
          <w:tcPr>
            <w:tcW w:w="0" w:type="dxa"/>
            <w:vAlign w:val="bottom"/>
          </w:tcPr>
          <w:p>
            <w:pPr>
              <w:spacing w:after="0"/>
              <w:rPr>
                <w:sz w:val="1"/>
                <w:szCs w:val="1"/>
                <w:color w:val="auto"/>
              </w:rPr>
            </w:pPr>
          </w:p>
        </w:tc>
      </w:tr>
      <w:tr>
        <w:trPr>
          <w:trHeight w:val="110"/>
        </w:trPr>
        <w:tc>
          <w:tcPr>
            <w:tcW w:w="1500" w:type="dxa"/>
            <w:vAlign w:val="bottom"/>
            <w:tcBorders>
              <w:bottom w:val="single" w:sz="8" w:color="auto"/>
            </w:tcBorders>
          </w:tcPr>
          <w:p>
            <w:pPr>
              <w:spacing w:after="0"/>
              <w:rPr>
                <w:sz w:val="9"/>
                <w:szCs w:val="9"/>
                <w:color w:val="auto"/>
              </w:rPr>
            </w:pPr>
          </w:p>
        </w:tc>
        <w:tc>
          <w:tcPr>
            <w:tcW w:w="2960" w:type="dxa"/>
            <w:vAlign w:val="bottom"/>
            <w:tcBorders>
              <w:bottom w:val="single" w:sz="8" w:color="auto"/>
            </w:tcBorders>
            <w:gridSpan w:val="3"/>
          </w:tcPr>
          <w:p>
            <w:pPr>
              <w:spacing w:after="0"/>
              <w:rPr>
                <w:sz w:val="9"/>
                <w:szCs w:val="9"/>
                <w:color w:val="auto"/>
              </w:rPr>
            </w:pPr>
          </w:p>
        </w:tc>
        <w:tc>
          <w:tcPr>
            <w:tcW w:w="2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500" w:type="dxa"/>
            <w:vAlign w:val="bottom"/>
          </w:tcPr>
          <w:p>
            <w:pPr>
              <w:spacing w:after="0"/>
              <w:rPr>
                <w:sz w:val="22"/>
                <w:szCs w:val="22"/>
                <w:color w:val="auto"/>
              </w:rPr>
            </w:pPr>
          </w:p>
        </w:tc>
        <w:tc>
          <w:tcPr>
            <w:tcW w:w="2960" w:type="dxa"/>
            <w:vAlign w:val="bottom"/>
            <w:gridSpan w:val="3"/>
          </w:tcPr>
          <w:p>
            <w:pPr>
              <w:jc w:val="center"/>
              <w:ind w:right="1500"/>
              <w:spacing w:after="0"/>
              <w:rPr>
                <w:sz w:val="20"/>
                <w:szCs w:val="20"/>
                <w:color w:val="auto"/>
              </w:rPr>
            </w:pPr>
            <w:r>
              <w:rPr>
                <w:rFonts w:ascii="Arial" w:cs="Arial" w:eastAsia="Arial" w:hAnsi="Arial"/>
                <w:sz w:val="14"/>
                <w:szCs w:val="14"/>
                <w:b w:val="1"/>
                <w:bCs w:val="1"/>
                <w:color w:val="auto"/>
                <w:w w:val="92"/>
              </w:rPr>
              <w:t>Burton C. Firtel</w:t>
            </w:r>
          </w:p>
        </w:tc>
        <w:tc>
          <w:tcPr>
            <w:tcW w:w="2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7"/>
        </w:trPr>
        <w:tc>
          <w:tcPr>
            <w:tcW w:w="1500" w:type="dxa"/>
            <w:vAlign w:val="bottom"/>
          </w:tcPr>
          <w:p>
            <w:pPr>
              <w:ind w:left="1220"/>
              <w:spacing w:after="0"/>
              <w:rPr>
                <w:sz w:val="20"/>
                <w:szCs w:val="20"/>
                <w:color w:val="auto"/>
              </w:rPr>
            </w:pPr>
            <w:r>
              <w:rPr>
                <w:rFonts w:ascii="Arial" w:cs="Arial" w:eastAsia="Arial" w:hAnsi="Arial"/>
                <w:sz w:val="18"/>
                <w:szCs w:val="18"/>
                <w:color w:val="auto"/>
              </w:rPr>
              <w:t>/s/</w:t>
            </w:r>
          </w:p>
        </w:tc>
        <w:tc>
          <w:tcPr>
            <w:tcW w:w="2960" w:type="dxa"/>
            <w:vAlign w:val="bottom"/>
            <w:gridSpan w:val="3"/>
          </w:tcPr>
          <w:p>
            <w:pPr>
              <w:jc w:val="center"/>
              <w:ind w:right="1440"/>
              <w:spacing w:after="0"/>
              <w:rPr>
                <w:sz w:val="20"/>
                <w:szCs w:val="20"/>
                <w:color w:val="auto"/>
              </w:rPr>
            </w:pPr>
            <w:r>
              <w:rPr>
                <w:rFonts w:ascii="Arial" w:cs="Arial" w:eastAsia="Arial" w:hAnsi="Arial"/>
                <w:sz w:val="18"/>
                <w:szCs w:val="18"/>
                <w:color w:val="auto"/>
                <w:w w:val="98"/>
              </w:rPr>
              <w:t>D</w:t>
            </w:r>
            <w:r>
              <w:rPr>
                <w:rFonts w:ascii="Arial" w:cs="Arial" w:eastAsia="Arial" w:hAnsi="Arial"/>
                <w:sz w:val="14"/>
                <w:szCs w:val="14"/>
                <w:color w:val="auto"/>
                <w:w w:val="98"/>
              </w:rPr>
              <w:t>ALE</w:t>
            </w:r>
            <w:r>
              <w:rPr>
                <w:rFonts w:ascii="Arial" w:cs="Arial" w:eastAsia="Arial" w:hAnsi="Arial"/>
                <w:sz w:val="18"/>
                <w:szCs w:val="18"/>
                <w:color w:val="auto"/>
                <w:w w:val="98"/>
              </w:rPr>
              <w:t xml:space="preserve"> H. C</w:t>
            </w:r>
            <w:r>
              <w:rPr>
                <w:rFonts w:ascii="Arial" w:cs="Arial" w:eastAsia="Arial" w:hAnsi="Arial"/>
                <w:sz w:val="14"/>
                <w:szCs w:val="14"/>
                <w:color w:val="auto"/>
                <w:w w:val="98"/>
              </w:rPr>
              <w:t>ONAWAY</w:t>
            </w:r>
          </w:p>
        </w:tc>
        <w:tc>
          <w:tcPr>
            <w:tcW w:w="440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2060" w:type="dxa"/>
            <w:vAlign w:val="bottom"/>
            <w:gridSpan w:val="3"/>
          </w:tcPr>
          <w:p>
            <w:pPr>
              <w:jc w:val="center"/>
              <w:ind w:left="592"/>
              <w:spacing w:after="0"/>
              <w:rPr>
                <w:sz w:val="20"/>
                <w:szCs w:val="20"/>
                <w:color w:val="auto"/>
              </w:rPr>
            </w:pPr>
            <w:r>
              <w:rPr>
                <w:rFonts w:ascii="Arial" w:cs="Arial" w:eastAsia="Arial" w:hAnsi="Arial"/>
                <w:sz w:val="18"/>
                <w:szCs w:val="18"/>
                <w:color w:val="auto"/>
                <w:w w:val="87"/>
              </w:rPr>
              <w:t>December 31, 2003</w:t>
            </w:r>
          </w:p>
        </w:tc>
        <w:tc>
          <w:tcPr>
            <w:tcW w:w="0" w:type="dxa"/>
            <w:vAlign w:val="bottom"/>
          </w:tcPr>
          <w:p>
            <w:pPr>
              <w:spacing w:after="0"/>
              <w:rPr>
                <w:sz w:val="1"/>
                <w:szCs w:val="1"/>
                <w:color w:val="auto"/>
              </w:rPr>
            </w:pPr>
          </w:p>
        </w:tc>
      </w:tr>
      <w:tr>
        <w:trPr>
          <w:trHeight w:val="110"/>
        </w:trPr>
        <w:tc>
          <w:tcPr>
            <w:tcW w:w="1500" w:type="dxa"/>
            <w:vAlign w:val="bottom"/>
            <w:tcBorders>
              <w:bottom w:val="single" w:sz="8" w:color="auto"/>
            </w:tcBorders>
          </w:tcPr>
          <w:p>
            <w:pPr>
              <w:spacing w:after="0"/>
              <w:rPr>
                <w:sz w:val="9"/>
                <w:szCs w:val="9"/>
                <w:color w:val="auto"/>
              </w:rPr>
            </w:pPr>
          </w:p>
        </w:tc>
        <w:tc>
          <w:tcPr>
            <w:tcW w:w="2960" w:type="dxa"/>
            <w:vAlign w:val="bottom"/>
            <w:tcBorders>
              <w:bottom w:val="single" w:sz="8" w:color="auto"/>
            </w:tcBorders>
            <w:gridSpan w:val="3"/>
          </w:tcPr>
          <w:p>
            <w:pPr>
              <w:spacing w:after="0"/>
              <w:rPr>
                <w:sz w:val="9"/>
                <w:szCs w:val="9"/>
                <w:color w:val="auto"/>
              </w:rPr>
            </w:pPr>
          </w:p>
        </w:tc>
        <w:tc>
          <w:tcPr>
            <w:tcW w:w="2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500" w:type="dxa"/>
            <w:vAlign w:val="bottom"/>
          </w:tcPr>
          <w:p>
            <w:pPr>
              <w:spacing w:after="0"/>
              <w:rPr>
                <w:sz w:val="22"/>
                <w:szCs w:val="22"/>
                <w:color w:val="auto"/>
              </w:rPr>
            </w:pPr>
          </w:p>
        </w:tc>
        <w:tc>
          <w:tcPr>
            <w:tcW w:w="2960" w:type="dxa"/>
            <w:vAlign w:val="bottom"/>
            <w:gridSpan w:val="3"/>
          </w:tcPr>
          <w:p>
            <w:pPr>
              <w:jc w:val="center"/>
              <w:ind w:right="1480"/>
              <w:spacing w:after="0"/>
              <w:rPr>
                <w:sz w:val="20"/>
                <w:szCs w:val="20"/>
                <w:color w:val="auto"/>
              </w:rPr>
            </w:pPr>
            <w:r>
              <w:rPr>
                <w:rFonts w:ascii="Arial" w:cs="Arial" w:eastAsia="Arial" w:hAnsi="Arial"/>
                <w:sz w:val="14"/>
                <w:szCs w:val="14"/>
                <w:b w:val="1"/>
                <w:bCs w:val="1"/>
                <w:color w:val="auto"/>
                <w:w w:val="90"/>
              </w:rPr>
              <w:t>Dale H. Conaway, D.V.M.</w:t>
            </w:r>
          </w:p>
        </w:tc>
        <w:tc>
          <w:tcPr>
            <w:tcW w:w="2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7"/>
        </w:trPr>
        <w:tc>
          <w:tcPr>
            <w:tcW w:w="1500" w:type="dxa"/>
            <w:vAlign w:val="bottom"/>
          </w:tcPr>
          <w:p>
            <w:pPr>
              <w:ind w:left="1320"/>
              <w:spacing w:after="0"/>
              <w:rPr>
                <w:sz w:val="20"/>
                <w:szCs w:val="20"/>
                <w:color w:val="auto"/>
              </w:rPr>
            </w:pPr>
            <w:r>
              <w:rPr>
                <w:rFonts w:ascii="Arial" w:cs="Arial" w:eastAsia="Arial" w:hAnsi="Arial"/>
                <w:sz w:val="18"/>
                <w:szCs w:val="18"/>
                <w:color w:val="auto"/>
                <w:w w:val="83"/>
              </w:rPr>
              <w:t>/s/</w:t>
            </w:r>
          </w:p>
        </w:tc>
        <w:tc>
          <w:tcPr>
            <w:tcW w:w="2960" w:type="dxa"/>
            <w:vAlign w:val="bottom"/>
            <w:gridSpan w:val="3"/>
          </w:tcPr>
          <w:p>
            <w:pPr>
              <w:jc w:val="center"/>
              <w:ind w:right="144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AVID</w:t>
            </w:r>
            <w:r>
              <w:rPr>
                <w:rFonts w:ascii="Arial" w:cs="Arial" w:eastAsia="Arial" w:hAnsi="Arial"/>
                <w:sz w:val="18"/>
                <w:szCs w:val="18"/>
                <w:color w:val="auto"/>
              </w:rPr>
              <w:t xml:space="preserve"> H. S</w:t>
            </w:r>
            <w:r>
              <w:rPr>
                <w:rFonts w:ascii="Arial" w:cs="Arial" w:eastAsia="Arial" w:hAnsi="Arial"/>
                <w:sz w:val="14"/>
                <w:szCs w:val="14"/>
                <w:color w:val="auto"/>
              </w:rPr>
              <w:t>MITH</w:t>
            </w:r>
          </w:p>
        </w:tc>
        <w:tc>
          <w:tcPr>
            <w:tcW w:w="440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2060" w:type="dxa"/>
            <w:vAlign w:val="bottom"/>
            <w:gridSpan w:val="3"/>
          </w:tcPr>
          <w:p>
            <w:pPr>
              <w:jc w:val="center"/>
              <w:ind w:left="592"/>
              <w:spacing w:after="0"/>
              <w:rPr>
                <w:sz w:val="20"/>
                <w:szCs w:val="20"/>
                <w:color w:val="auto"/>
              </w:rPr>
            </w:pPr>
            <w:r>
              <w:rPr>
                <w:rFonts w:ascii="Arial" w:cs="Arial" w:eastAsia="Arial" w:hAnsi="Arial"/>
                <w:sz w:val="18"/>
                <w:szCs w:val="18"/>
                <w:color w:val="auto"/>
                <w:w w:val="87"/>
              </w:rPr>
              <w:t>December 31, 2003</w:t>
            </w:r>
          </w:p>
        </w:tc>
        <w:tc>
          <w:tcPr>
            <w:tcW w:w="0" w:type="dxa"/>
            <w:vAlign w:val="bottom"/>
          </w:tcPr>
          <w:p>
            <w:pPr>
              <w:spacing w:after="0"/>
              <w:rPr>
                <w:sz w:val="1"/>
                <w:szCs w:val="1"/>
                <w:color w:val="auto"/>
              </w:rPr>
            </w:pPr>
          </w:p>
        </w:tc>
      </w:tr>
      <w:tr>
        <w:trPr>
          <w:trHeight w:val="110"/>
        </w:trPr>
        <w:tc>
          <w:tcPr>
            <w:tcW w:w="1500" w:type="dxa"/>
            <w:vAlign w:val="bottom"/>
            <w:tcBorders>
              <w:bottom w:val="single" w:sz="8" w:color="auto"/>
            </w:tcBorders>
          </w:tcPr>
          <w:p>
            <w:pPr>
              <w:spacing w:after="0"/>
              <w:rPr>
                <w:sz w:val="9"/>
                <w:szCs w:val="9"/>
                <w:color w:val="auto"/>
              </w:rPr>
            </w:pPr>
          </w:p>
        </w:tc>
        <w:tc>
          <w:tcPr>
            <w:tcW w:w="2960" w:type="dxa"/>
            <w:vAlign w:val="bottom"/>
            <w:tcBorders>
              <w:bottom w:val="single" w:sz="8" w:color="auto"/>
            </w:tcBorders>
            <w:gridSpan w:val="3"/>
          </w:tcPr>
          <w:p>
            <w:pPr>
              <w:spacing w:after="0"/>
              <w:rPr>
                <w:sz w:val="9"/>
                <w:szCs w:val="9"/>
                <w:color w:val="auto"/>
              </w:rPr>
            </w:pPr>
          </w:p>
        </w:tc>
        <w:tc>
          <w:tcPr>
            <w:tcW w:w="2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500" w:type="dxa"/>
            <w:vAlign w:val="bottom"/>
          </w:tcPr>
          <w:p>
            <w:pPr>
              <w:spacing w:after="0"/>
              <w:rPr>
                <w:sz w:val="22"/>
                <w:szCs w:val="22"/>
                <w:color w:val="auto"/>
              </w:rPr>
            </w:pPr>
          </w:p>
        </w:tc>
        <w:tc>
          <w:tcPr>
            <w:tcW w:w="2960" w:type="dxa"/>
            <w:vAlign w:val="bottom"/>
            <w:gridSpan w:val="3"/>
          </w:tcPr>
          <w:p>
            <w:pPr>
              <w:jc w:val="center"/>
              <w:ind w:right="1500"/>
              <w:spacing w:after="0"/>
              <w:rPr>
                <w:sz w:val="20"/>
                <w:szCs w:val="20"/>
                <w:color w:val="auto"/>
              </w:rPr>
            </w:pPr>
            <w:r>
              <w:rPr>
                <w:rFonts w:ascii="Arial" w:cs="Arial" w:eastAsia="Arial" w:hAnsi="Arial"/>
                <w:sz w:val="14"/>
                <w:szCs w:val="14"/>
                <w:b w:val="1"/>
                <w:bCs w:val="1"/>
                <w:color w:val="auto"/>
                <w:w w:val="91"/>
              </w:rPr>
              <w:t>David H. Smith</w:t>
            </w:r>
          </w:p>
        </w:tc>
        <w:tc>
          <w:tcPr>
            <w:tcW w:w="2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7"/>
        </w:trPr>
        <w:tc>
          <w:tcPr>
            <w:tcW w:w="1500" w:type="dxa"/>
            <w:vAlign w:val="bottom"/>
          </w:tcPr>
          <w:p>
            <w:pPr>
              <w:ind w:left="1240"/>
              <w:spacing w:after="0"/>
              <w:rPr>
                <w:sz w:val="20"/>
                <w:szCs w:val="20"/>
                <w:color w:val="auto"/>
              </w:rPr>
            </w:pPr>
            <w:r>
              <w:rPr>
                <w:rFonts w:ascii="Arial" w:cs="Arial" w:eastAsia="Arial" w:hAnsi="Arial"/>
                <w:sz w:val="18"/>
                <w:szCs w:val="18"/>
                <w:color w:val="auto"/>
              </w:rPr>
              <w:t>/s/</w:t>
            </w:r>
          </w:p>
        </w:tc>
        <w:tc>
          <w:tcPr>
            <w:tcW w:w="2960" w:type="dxa"/>
            <w:vAlign w:val="bottom"/>
            <w:gridSpan w:val="3"/>
          </w:tcPr>
          <w:p>
            <w:pPr>
              <w:jc w:val="center"/>
              <w:ind w:right="1440"/>
              <w:spacing w:after="0"/>
              <w:rPr>
                <w:sz w:val="20"/>
                <w:szCs w:val="20"/>
                <w:color w:val="auto"/>
              </w:rPr>
            </w:pPr>
            <w:r>
              <w:rPr>
                <w:rFonts w:ascii="Arial" w:cs="Arial" w:eastAsia="Arial" w:hAnsi="Arial"/>
                <w:sz w:val="18"/>
                <w:szCs w:val="18"/>
                <w:color w:val="auto"/>
                <w:w w:val="95"/>
              </w:rPr>
              <w:t>E</w:t>
            </w:r>
            <w:r>
              <w:rPr>
                <w:rFonts w:ascii="Arial" w:cs="Arial" w:eastAsia="Arial" w:hAnsi="Arial"/>
                <w:sz w:val="14"/>
                <w:szCs w:val="14"/>
                <w:color w:val="auto"/>
                <w:w w:val="95"/>
              </w:rPr>
              <w:t>DGAR</w:t>
            </w:r>
            <w:r>
              <w:rPr>
                <w:rFonts w:ascii="Arial" w:cs="Arial" w:eastAsia="Arial" w:hAnsi="Arial"/>
                <w:sz w:val="18"/>
                <w:szCs w:val="18"/>
                <w:color w:val="auto"/>
                <w:w w:val="95"/>
              </w:rPr>
              <w:t xml:space="preserve"> B</w:t>
            </w:r>
            <w:r>
              <w:rPr>
                <w:rFonts w:ascii="Arial" w:cs="Arial" w:eastAsia="Arial" w:hAnsi="Arial"/>
                <w:sz w:val="14"/>
                <w:szCs w:val="14"/>
                <w:color w:val="auto"/>
                <w:w w:val="95"/>
              </w:rPr>
              <w:t>EN</w:t>
            </w:r>
            <w:r>
              <w:rPr>
                <w:rFonts w:ascii="Arial" w:cs="Arial" w:eastAsia="Arial" w:hAnsi="Arial"/>
                <w:sz w:val="18"/>
                <w:szCs w:val="18"/>
                <w:color w:val="auto"/>
                <w:w w:val="95"/>
              </w:rPr>
              <w:t>-J</w:t>
            </w:r>
            <w:r>
              <w:rPr>
                <w:rFonts w:ascii="Arial" w:cs="Arial" w:eastAsia="Arial" w:hAnsi="Arial"/>
                <w:sz w:val="14"/>
                <w:szCs w:val="14"/>
                <w:color w:val="auto"/>
                <w:w w:val="95"/>
              </w:rPr>
              <w:t>OSEF</w:t>
            </w:r>
          </w:p>
        </w:tc>
        <w:tc>
          <w:tcPr>
            <w:tcW w:w="440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2060" w:type="dxa"/>
            <w:vAlign w:val="bottom"/>
            <w:gridSpan w:val="3"/>
          </w:tcPr>
          <w:p>
            <w:pPr>
              <w:jc w:val="center"/>
              <w:ind w:left="592"/>
              <w:spacing w:after="0"/>
              <w:rPr>
                <w:sz w:val="20"/>
                <w:szCs w:val="20"/>
                <w:color w:val="auto"/>
              </w:rPr>
            </w:pPr>
            <w:r>
              <w:rPr>
                <w:rFonts w:ascii="Arial" w:cs="Arial" w:eastAsia="Arial" w:hAnsi="Arial"/>
                <w:sz w:val="18"/>
                <w:szCs w:val="18"/>
                <w:color w:val="auto"/>
                <w:w w:val="87"/>
              </w:rPr>
              <w:t>December 31, 2003</w:t>
            </w:r>
          </w:p>
        </w:tc>
        <w:tc>
          <w:tcPr>
            <w:tcW w:w="0" w:type="dxa"/>
            <w:vAlign w:val="bottom"/>
          </w:tcPr>
          <w:p>
            <w:pPr>
              <w:spacing w:after="0"/>
              <w:rPr>
                <w:sz w:val="1"/>
                <w:szCs w:val="1"/>
                <w:color w:val="auto"/>
              </w:rPr>
            </w:pPr>
          </w:p>
        </w:tc>
      </w:tr>
      <w:tr>
        <w:trPr>
          <w:trHeight w:val="110"/>
        </w:trPr>
        <w:tc>
          <w:tcPr>
            <w:tcW w:w="1500" w:type="dxa"/>
            <w:vAlign w:val="bottom"/>
            <w:tcBorders>
              <w:bottom w:val="single" w:sz="8" w:color="auto"/>
            </w:tcBorders>
          </w:tcPr>
          <w:p>
            <w:pPr>
              <w:spacing w:after="0"/>
              <w:rPr>
                <w:sz w:val="9"/>
                <w:szCs w:val="9"/>
                <w:color w:val="auto"/>
              </w:rPr>
            </w:pPr>
          </w:p>
        </w:tc>
        <w:tc>
          <w:tcPr>
            <w:tcW w:w="2960" w:type="dxa"/>
            <w:vAlign w:val="bottom"/>
            <w:tcBorders>
              <w:bottom w:val="single" w:sz="8" w:color="auto"/>
            </w:tcBorders>
            <w:gridSpan w:val="3"/>
          </w:tcPr>
          <w:p>
            <w:pPr>
              <w:spacing w:after="0"/>
              <w:rPr>
                <w:sz w:val="9"/>
                <w:szCs w:val="9"/>
                <w:color w:val="auto"/>
              </w:rPr>
            </w:pPr>
          </w:p>
        </w:tc>
        <w:tc>
          <w:tcPr>
            <w:tcW w:w="2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500" w:type="dxa"/>
            <w:vAlign w:val="bottom"/>
          </w:tcPr>
          <w:p>
            <w:pPr>
              <w:spacing w:after="0"/>
              <w:rPr>
                <w:sz w:val="22"/>
                <w:szCs w:val="22"/>
                <w:color w:val="auto"/>
              </w:rPr>
            </w:pPr>
          </w:p>
        </w:tc>
        <w:tc>
          <w:tcPr>
            <w:tcW w:w="2960" w:type="dxa"/>
            <w:vAlign w:val="bottom"/>
            <w:gridSpan w:val="3"/>
          </w:tcPr>
          <w:p>
            <w:pPr>
              <w:jc w:val="center"/>
              <w:ind w:right="1480"/>
              <w:spacing w:after="0"/>
              <w:rPr>
                <w:sz w:val="20"/>
                <w:szCs w:val="20"/>
                <w:color w:val="auto"/>
              </w:rPr>
            </w:pPr>
            <w:r>
              <w:rPr>
                <w:rFonts w:ascii="Arial" w:cs="Arial" w:eastAsia="Arial" w:hAnsi="Arial"/>
                <w:sz w:val="14"/>
                <w:szCs w:val="14"/>
                <w:b w:val="1"/>
                <w:bCs w:val="1"/>
                <w:color w:val="auto"/>
                <w:w w:val="88"/>
              </w:rPr>
              <w:t>Edgar Ben-Josef, M.D.</w:t>
            </w:r>
          </w:p>
        </w:tc>
        <w:tc>
          <w:tcPr>
            <w:tcW w:w="2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7"/>
        </w:trPr>
        <w:tc>
          <w:tcPr>
            <w:tcW w:w="1500" w:type="dxa"/>
            <w:vAlign w:val="bottom"/>
          </w:tcPr>
          <w:p>
            <w:pPr>
              <w:ind w:left="1260"/>
              <w:spacing w:after="0"/>
              <w:rPr>
                <w:sz w:val="20"/>
                <w:szCs w:val="20"/>
                <w:color w:val="auto"/>
              </w:rPr>
            </w:pPr>
            <w:r>
              <w:rPr>
                <w:rFonts w:ascii="Arial" w:cs="Arial" w:eastAsia="Arial" w:hAnsi="Arial"/>
                <w:sz w:val="18"/>
                <w:szCs w:val="18"/>
                <w:color w:val="auto"/>
              </w:rPr>
              <w:t>/s/</w:t>
            </w:r>
          </w:p>
        </w:tc>
        <w:tc>
          <w:tcPr>
            <w:tcW w:w="2960" w:type="dxa"/>
            <w:vAlign w:val="bottom"/>
            <w:gridSpan w:val="3"/>
          </w:tcPr>
          <w:p>
            <w:pPr>
              <w:jc w:val="center"/>
              <w:ind w:right="144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TEVEN</w:t>
            </w:r>
            <w:r>
              <w:rPr>
                <w:rFonts w:ascii="Arial" w:cs="Arial" w:eastAsia="Arial" w:hAnsi="Arial"/>
                <w:sz w:val="18"/>
                <w:szCs w:val="18"/>
                <w:color w:val="auto"/>
              </w:rPr>
              <w:t xml:space="preserve"> P</w:t>
            </w:r>
            <w:r>
              <w:rPr>
                <w:rFonts w:ascii="Arial" w:cs="Arial" w:eastAsia="Arial" w:hAnsi="Arial"/>
                <w:sz w:val="14"/>
                <w:szCs w:val="14"/>
                <w:color w:val="auto"/>
              </w:rPr>
              <w:t>RELACK</w:t>
            </w:r>
          </w:p>
        </w:tc>
        <w:tc>
          <w:tcPr>
            <w:tcW w:w="440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2060" w:type="dxa"/>
            <w:vAlign w:val="bottom"/>
            <w:gridSpan w:val="3"/>
          </w:tcPr>
          <w:p>
            <w:pPr>
              <w:jc w:val="center"/>
              <w:ind w:left="592"/>
              <w:spacing w:after="0"/>
              <w:rPr>
                <w:sz w:val="20"/>
                <w:szCs w:val="20"/>
                <w:color w:val="auto"/>
              </w:rPr>
            </w:pPr>
            <w:r>
              <w:rPr>
                <w:rFonts w:ascii="Arial" w:cs="Arial" w:eastAsia="Arial" w:hAnsi="Arial"/>
                <w:sz w:val="18"/>
                <w:szCs w:val="18"/>
                <w:color w:val="auto"/>
                <w:w w:val="87"/>
              </w:rPr>
              <w:t>December 31, 2003</w:t>
            </w:r>
          </w:p>
        </w:tc>
        <w:tc>
          <w:tcPr>
            <w:tcW w:w="0" w:type="dxa"/>
            <w:vAlign w:val="bottom"/>
          </w:tcPr>
          <w:p>
            <w:pPr>
              <w:spacing w:after="0"/>
              <w:rPr>
                <w:sz w:val="1"/>
                <w:szCs w:val="1"/>
                <w:color w:val="auto"/>
              </w:rPr>
            </w:pPr>
          </w:p>
        </w:tc>
      </w:tr>
      <w:tr>
        <w:trPr>
          <w:trHeight w:val="110"/>
        </w:trPr>
        <w:tc>
          <w:tcPr>
            <w:tcW w:w="1500" w:type="dxa"/>
            <w:vAlign w:val="bottom"/>
            <w:tcBorders>
              <w:bottom w:val="single" w:sz="8" w:color="auto"/>
            </w:tcBorders>
          </w:tcPr>
          <w:p>
            <w:pPr>
              <w:spacing w:after="0"/>
              <w:rPr>
                <w:sz w:val="9"/>
                <w:szCs w:val="9"/>
                <w:color w:val="auto"/>
              </w:rPr>
            </w:pPr>
          </w:p>
        </w:tc>
        <w:tc>
          <w:tcPr>
            <w:tcW w:w="2960" w:type="dxa"/>
            <w:vAlign w:val="bottom"/>
            <w:tcBorders>
              <w:bottom w:val="single" w:sz="8" w:color="auto"/>
            </w:tcBorders>
            <w:gridSpan w:val="3"/>
          </w:tcPr>
          <w:p>
            <w:pPr>
              <w:spacing w:after="0"/>
              <w:rPr>
                <w:sz w:val="9"/>
                <w:szCs w:val="9"/>
                <w:color w:val="auto"/>
              </w:rPr>
            </w:pPr>
          </w:p>
        </w:tc>
        <w:tc>
          <w:tcPr>
            <w:tcW w:w="2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500" w:type="dxa"/>
            <w:vAlign w:val="bottom"/>
          </w:tcPr>
          <w:p>
            <w:pPr>
              <w:spacing w:after="0"/>
              <w:rPr>
                <w:sz w:val="22"/>
                <w:szCs w:val="22"/>
                <w:color w:val="auto"/>
              </w:rPr>
            </w:pPr>
          </w:p>
        </w:tc>
        <w:tc>
          <w:tcPr>
            <w:tcW w:w="2960" w:type="dxa"/>
            <w:vAlign w:val="bottom"/>
            <w:gridSpan w:val="3"/>
          </w:tcPr>
          <w:p>
            <w:pPr>
              <w:jc w:val="center"/>
              <w:ind w:right="1500"/>
              <w:spacing w:after="0"/>
              <w:rPr>
                <w:sz w:val="20"/>
                <w:szCs w:val="20"/>
                <w:color w:val="auto"/>
              </w:rPr>
            </w:pPr>
            <w:r>
              <w:rPr>
                <w:rFonts w:ascii="Arial" w:cs="Arial" w:eastAsia="Arial" w:hAnsi="Arial"/>
                <w:sz w:val="14"/>
                <w:szCs w:val="14"/>
                <w:b w:val="1"/>
                <w:bCs w:val="1"/>
                <w:color w:val="auto"/>
                <w:w w:val="86"/>
              </w:rPr>
              <w:t>Steven Prelack</w:t>
            </w:r>
          </w:p>
        </w:tc>
        <w:tc>
          <w:tcPr>
            <w:tcW w:w="2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7"/>
        </w:trPr>
        <w:tc>
          <w:tcPr>
            <w:tcW w:w="4460" w:type="dxa"/>
            <w:vAlign w:val="bottom"/>
            <w:gridSpan w:val="4"/>
          </w:tcPr>
          <w:p>
            <w:pPr>
              <w:jc w:val="center"/>
              <w:ind w:right="28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ILDRED</w:t>
            </w:r>
            <w:r>
              <w:rPr>
                <w:rFonts w:ascii="Arial" w:cs="Arial" w:eastAsia="Arial" w:hAnsi="Arial"/>
                <w:sz w:val="18"/>
                <w:szCs w:val="18"/>
                <w:color w:val="auto"/>
              </w:rPr>
              <w:t xml:space="preserve"> S. C</w:t>
            </w:r>
            <w:r>
              <w:rPr>
                <w:rFonts w:ascii="Arial" w:cs="Arial" w:eastAsia="Arial" w:hAnsi="Arial"/>
                <w:sz w:val="14"/>
                <w:szCs w:val="14"/>
                <w:color w:val="auto"/>
              </w:rPr>
              <w:t>HRISTIAN</w:t>
            </w:r>
          </w:p>
        </w:tc>
        <w:tc>
          <w:tcPr>
            <w:tcW w:w="440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2060" w:type="dxa"/>
            <w:vAlign w:val="bottom"/>
            <w:gridSpan w:val="3"/>
          </w:tcPr>
          <w:p>
            <w:pPr>
              <w:jc w:val="center"/>
              <w:ind w:left="592"/>
              <w:spacing w:after="0"/>
              <w:rPr>
                <w:sz w:val="20"/>
                <w:szCs w:val="20"/>
                <w:color w:val="auto"/>
              </w:rPr>
            </w:pPr>
            <w:r>
              <w:rPr>
                <w:rFonts w:ascii="Arial" w:cs="Arial" w:eastAsia="Arial" w:hAnsi="Arial"/>
                <w:sz w:val="18"/>
                <w:szCs w:val="18"/>
                <w:color w:val="auto"/>
                <w:w w:val="87"/>
              </w:rPr>
              <w:t>December 31, 2003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28301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99" w:lineRule="exact"/>
        <w:rPr>
          <w:sz w:val="20"/>
          <w:szCs w:val="20"/>
          <w:color w:val="auto"/>
        </w:rPr>
      </w:pPr>
    </w:p>
    <w:p>
      <w:pPr>
        <w:ind w:left="1440"/>
        <w:spacing w:after="0"/>
        <w:rPr>
          <w:sz w:val="20"/>
          <w:szCs w:val="20"/>
          <w:color w:val="auto"/>
        </w:rPr>
      </w:pPr>
      <w:r>
        <w:rPr>
          <w:rFonts w:ascii="Arial" w:cs="Arial" w:eastAsia="Arial" w:hAnsi="Arial"/>
          <w:sz w:val="14"/>
          <w:szCs w:val="14"/>
          <w:b w:val="1"/>
          <w:bCs w:val="1"/>
          <w:color w:val="auto"/>
        </w:rPr>
        <w:t>Mildred S. Christian, Ph.D.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0" w:type="dxa"/>
            <w:vAlign w:val="bottom"/>
          </w:tcPr>
          <w:p>
            <w:pPr>
              <w:spacing w:after="0"/>
              <w:rPr>
                <w:sz w:val="19"/>
                <w:szCs w:val="19"/>
                <w:color w:val="auto"/>
              </w:rPr>
            </w:pPr>
          </w:p>
        </w:tc>
        <w:tc>
          <w:tcPr>
            <w:tcW w:w="9960" w:type="dxa"/>
            <w:vAlign w:val="bottom"/>
            <w:gridSpan w:val="3"/>
          </w:tcPr>
          <w:p>
            <w:pPr>
              <w:ind w:left="4440"/>
              <w:spacing w:after="0"/>
              <w:rPr>
                <w:sz w:val="20"/>
                <w:szCs w:val="20"/>
                <w:color w:val="auto"/>
              </w:rPr>
            </w:pPr>
            <w:r>
              <w:rPr>
                <w:rFonts w:ascii="Arial" w:cs="Arial" w:eastAsia="Arial" w:hAnsi="Arial"/>
                <w:sz w:val="18"/>
                <w:szCs w:val="18"/>
                <w:b w:val="1"/>
                <w:bCs w:val="1"/>
                <w:color w:val="auto"/>
              </w:rPr>
              <w:t>EXHIBIT INDEX</w:t>
            </w:r>
          </w:p>
        </w:tc>
      </w:tr>
      <w:tr>
        <w:trPr>
          <w:trHeight w:val="286"/>
        </w:trPr>
        <w:tc>
          <w:tcPr>
            <w:tcW w:w="600" w:type="dxa"/>
            <w:vAlign w:val="bottom"/>
          </w:tcPr>
          <w:p>
            <w:pPr>
              <w:ind w:left="100"/>
              <w:spacing w:after="0"/>
              <w:rPr>
                <w:sz w:val="20"/>
                <w:szCs w:val="20"/>
                <w:color w:val="auto"/>
              </w:rPr>
            </w:pPr>
            <w:r>
              <w:rPr>
                <w:rFonts w:ascii="Arial" w:cs="Arial" w:eastAsia="Arial" w:hAnsi="Arial"/>
                <w:sz w:val="14"/>
                <w:szCs w:val="14"/>
                <w:b w:val="1"/>
                <w:bCs w:val="1"/>
                <w:color w:val="auto"/>
              </w:rPr>
              <w:t>Exhibit</w:t>
            </w:r>
          </w:p>
        </w:tc>
        <w:tc>
          <w:tcPr>
            <w:tcW w:w="49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174"/>
        </w:trPr>
        <w:tc>
          <w:tcPr>
            <w:tcW w:w="600" w:type="dxa"/>
            <w:vAlign w:val="bottom"/>
          </w:tcPr>
          <w:p>
            <w:pPr>
              <w:ind w:left="60"/>
              <w:spacing w:after="0"/>
              <w:rPr>
                <w:sz w:val="20"/>
                <w:szCs w:val="20"/>
                <w:color w:val="auto"/>
              </w:rPr>
            </w:pPr>
            <w:r>
              <w:rPr>
                <w:rFonts w:ascii="Arial" w:cs="Arial" w:eastAsia="Arial" w:hAnsi="Arial"/>
                <w:sz w:val="14"/>
                <w:szCs w:val="14"/>
                <w:b w:val="1"/>
                <w:bCs w:val="1"/>
                <w:color w:val="auto"/>
                <w:w w:val="98"/>
              </w:rPr>
              <w:t>Number</w:t>
            </w:r>
          </w:p>
        </w:tc>
        <w:tc>
          <w:tcPr>
            <w:tcW w:w="4940" w:type="dxa"/>
            <w:vAlign w:val="bottom"/>
          </w:tcPr>
          <w:p>
            <w:pPr>
              <w:spacing w:after="0"/>
              <w:rPr>
                <w:sz w:val="15"/>
                <w:szCs w:val="15"/>
                <w:color w:val="auto"/>
              </w:rPr>
            </w:pPr>
          </w:p>
        </w:tc>
        <w:tc>
          <w:tcPr>
            <w:tcW w:w="5020" w:type="dxa"/>
            <w:vAlign w:val="bottom"/>
            <w:gridSpan w:val="2"/>
          </w:tcPr>
          <w:p>
            <w:pPr>
              <w:ind w:left="180"/>
              <w:spacing w:after="0"/>
              <w:rPr>
                <w:sz w:val="20"/>
                <w:szCs w:val="20"/>
                <w:color w:val="auto"/>
              </w:rPr>
            </w:pPr>
            <w:r>
              <w:rPr>
                <w:rFonts w:ascii="Arial" w:cs="Arial" w:eastAsia="Arial" w:hAnsi="Arial"/>
                <w:sz w:val="14"/>
                <w:szCs w:val="14"/>
                <w:b w:val="1"/>
                <w:bCs w:val="1"/>
                <w:color w:val="auto"/>
              </w:rPr>
              <w:t>Description of Document</w:t>
            </w:r>
          </w:p>
        </w:tc>
      </w:tr>
      <w:tr>
        <w:trPr>
          <w:trHeight w:val="95"/>
        </w:trPr>
        <w:tc>
          <w:tcPr>
            <w:tcW w:w="600" w:type="dxa"/>
            <w:vAlign w:val="bottom"/>
            <w:tcBorders>
              <w:bottom w:val="single" w:sz="8" w:color="auto"/>
            </w:tcBorders>
          </w:tcPr>
          <w:p>
            <w:pPr>
              <w:spacing w:after="0"/>
              <w:rPr>
                <w:sz w:val="8"/>
                <w:szCs w:val="8"/>
                <w:color w:val="auto"/>
              </w:rPr>
            </w:pPr>
          </w:p>
        </w:tc>
        <w:tc>
          <w:tcPr>
            <w:tcW w:w="4940" w:type="dxa"/>
            <w:vAlign w:val="bottom"/>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3200" w:type="dxa"/>
            <w:vAlign w:val="bottom"/>
          </w:tcPr>
          <w:p>
            <w:pPr>
              <w:spacing w:after="0"/>
              <w:rPr>
                <w:sz w:val="8"/>
                <w:szCs w:val="8"/>
                <w:color w:val="auto"/>
              </w:rPr>
            </w:pPr>
          </w:p>
        </w:tc>
      </w:tr>
      <w:tr>
        <w:trPr>
          <w:trHeight w:val="316"/>
        </w:trPr>
        <w:tc>
          <w:tcPr>
            <w:tcW w:w="600" w:type="dxa"/>
            <w:vAlign w:val="bottom"/>
          </w:tcPr>
          <w:p>
            <w:pPr>
              <w:spacing w:after="0"/>
              <w:rPr>
                <w:sz w:val="20"/>
                <w:szCs w:val="20"/>
                <w:color w:val="auto"/>
              </w:rPr>
            </w:pPr>
            <w:r>
              <w:rPr>
                <w:rFonts w:ascii="Arial" w:cs="Arial" w:eastAsia="Arial" w:hAnsi="Arial"/>
                <w:sz w:val="18"/>
                <w:szCs w:val="18"/>
                <w:color w:val="auto"/>
              </w:rPr>
              <w:t>5</w:t>
            </w:r>
          </w:p>
        </w:tc>
        <w:tc>
          <w:tcPr>
            <w:tcW w:w="9960" w:type="dxa"/>
            <w:vAlign w:val="bottom"/>
            <w:gridSpan w:val="3"/>
          </w:tcPr>
          <w:p>
            <w:pPr>
              <w:ind w:left="880"/>
              <w:spacing w:after="0"/>
              <w:rPr>
                <w:sz w:val="20"/>
                <w:szCs w:val="20"/>
                <w:color w:val="auto"/>
              </w:rPr>
            </w:pPr>
            <w:r>
              <w:rPr>
                <w:rFonts w:ascii="Arial" w:cs="Arial" w:eastAsia="Arial" w:hAnsi="Arial"/>
                <w:sz w:val="18"/>
                <w:szCs w:val="18"/>
                <w:color w:val="auto"/>
                <w:w w:val="89"/>
              </w:rPr>
              <w:t>Opinion of Perkins Smith &amp; Cohen LLP (including the consent of such firm) regarding the legality of the securities being offered</w:t>
            </w: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23.1</w:t>
            </w:r>
          </w:p>
        </w:tc>
        <w:tc>
          <w:tcPr>
            <w:tcW w:w="9960" w:type="dxa"/>
            <w:vAlign w:val="bottom"/>
            <w:gridSpan w:val="3"/>
          </w:tcPr>
          <w:p>
            <w:pPr>
              <w:ind w:left="880"/>
              <w:spacing w:after="0"/>
              <w:rPr>
                <w:sz w:val="20"/>
                <w:szCs w:val="20"/>
                <w:color w:val="auto"/>
              </w:rPr>
            </w:pPr>
            <w:r>
              <w:rPr>
                <w:rFonts w:ascii="Arial" w:cs="Arial" w:eastAsia="Arial" w:hAnsi="Arial"/>
                <w:sz w:val="18"/>
                <w:szCs w:val="18"/>
                <w:color w:val="auto"/>
              </w:rPr>
              <w:t>Consent of Perkins Smith &amp; Cohen LLP (included as part of Exhibit 5 hereto)</w:t>
            </w: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23.2</w:t>
            </w:r>
          </w:p>
        </w:tc>
        <w:tc>
          <w:tcPr>
            <w:tcW w:w="9960" w:type="dxa"/>
            <w:vAlign w:val="bottom"/>
            <w:gridSpan w:val="3"/>
          </w:tcPr>
          <w:p>
            <w:pPr>
              <w:ind w:left="880"/>
              <w:spacing w:after="0"/>
              <w:rPr>
                <w:sz w:val="20"/>
                <w:szCs w:val="20"/>
                <w:color w:val="auto"/>
              </w:rPr>
            </w:pPr>
            <w:r>
              <w:rPr>
                <w:rFonts w:ascii="Arial" w:cs="Arial" w:eastAsia="Arial" w:hAnsi="Arial"/>
                <w:sz w:val="18"/>
                <w:szCs w:val="18"/>
                <w:color w:val="auto"/>
              </w:rPr>
              <w:t>Consent of Deloitte &amp; Touche LLP, independent auditors</w:t>
            </w: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23.3</w:t>
            </w:r>
          </w:p>
        </w:tc>
        <w:tc>
          <w:tcPr>
            <w:tcW w:w="9960" w:type="dxa"/>
            <w:vAlign w:val="bottom"/>
            <w:gridSpan w:val="3"/>
          </w:tcPr>
          <w:p>
            <w:pPr>
              <w:ind w:left="880"/>
              <w:spacing w:after="0"/>
              <w:rPr>
                <w:sz w:val="20"/>
                <w:szCs w:val="20"/>
                <w:color w:val="auto"/>
              </w:rPr>
            </w:pPr>
            <w:r>
              <w:rPr>
                <w:rFonts w:ascii="Arial" w:cs="Arial" w:eastAsia="Arial" w:hAnsi="Arial"/>
                <w:sz w:val="18"/>
                <w:szCs w:val="18"/>
                <w:color w:val="auto"/>
              </w:rPr>
              <w:t>Consent of Scillia Dowling &amp; Natarelli LLC, independent auditors</w:t>
            </w: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24</w:t>
            </w:r>
          </w:p>
        </w:tc>
        <w:tc>
          <w:tcPr>
            <w:tcW w:w="9960" w:type="dxa"/>
            <w:vAlign w:val="bottom"/>
            <w:gridSpan w:val="3"/>
          </w:tcPr>
          <w:p>
            <w:pPr>
              <w:ind w:left="880"/>
              <w:spacing w:after="0"/>
              <w:rPr>
                <w:sz w:val="20"/>
                <w:szCs w:val="20"/>
                <w:color w:val="auto"/>
              </w:rPr>
            </w:pPr>
            <w:r>
              <w:rPr>
                <w:rFonts w:ascii="Arial" w:cs="Arial" w:eastAsia="Arial" w:hAnsi="Arial"/>
                <w:sz w:val="18"/>
                <w:szCs w:val="18"/>
                <w:color w:val="auto"/>
              </w:rPr>
              <w:t>Powers of Attorney (included on signature page)</w:t>
            </w:r>
          </w:p>
        </w:tc>
      </w:tr>
    </w:tbl>
    <w:p>
      <w:pPr>
        <w:sectPr>
          <w:pgSz w:w="11900" w:h="16838" w:orient="portrait"/>
          <w:cols w:equalWidth="0" w:num="1">
            <w:col w:w="10560"/>
          </w:cols>
          <w:pgMar w:left="240" w:top="459" w:right="109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5</w:t>
      </w:r>
    </w:p>
    <w:p>
      <w:pPr>
        <w:spacing w:after="0" w:line="16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December 31, 2003</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Pro-Pharmaceuticals, Inc.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189 Wells Avenue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Newton, Massachusetts 02459</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158"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We have acted as counsel for Pro-Pharmaceuticals, Inc., a Nevada corporation (the “Company”), in connection with the preparation and filing with the Securities and Exchange Commission (the “Commission”), under the Securities Act of 1933, as amended (the “Securities Act”), of a registration statement on Form S-3 (the “Registration Statement”), including a prospectus to be filed with the Commission pursuant to Rule 424(b) of Regulation C promulgated under the Securities Act (the “Prospectus”), in connection with the registration, on behalf of the selling stockholders named in the Registration Statement, of up to 7,310,573 shares of the Company’s common stock, par value $.001 per share (the “Common Stock”) comprised of (i) 7,200,960 shares that are currently issued and outstanding (the “Issued Shares”) and (ii) 109,613 shares that are issuable upon the exercise of certain outstanding Common Stock purchase warrants (the “Warrant Shares”). The Registration Statement amends, pursuant to Rule 429 under the Securities Act, the registration statement on Form SB-2 (file no. 333-107112) which previously registered shares of Common Stock on behalf of the selling stockholders named therein.</w:t>
      </w:r>
    </w:p>
    <w:p>
      <w:pPr>
        <w:spacing w:after="0" w:line="105"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As counsel to the Company, in connection with this opinion, we have examined and relied upon such records, documents, certificates and other instruments as in our judgment are necessary or appropriate to form the basis for the opinions set forth herein. In our examinations, we have assumed the genuineness of all signatures, the legal capacity of natural persons signing or delivering any instrument, the authenticity of all documents submitted to us as originals, the conformity to original documents of all documents submitted to us as certified or photostatic copies and the authenticity of the originals of such latter documents.</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upon the foregoing, we are of the opinion that:</w:t>
      </w:r>
    </w:p>
    <w:p>
      <w:pPr>
        <w:spacing w:after="0" w:line="77" w:lineRule="exact"/>
        <w:rPr>
          <w:sz w:val="20"/>
          <w:szCs w:val="20"/>
          <w:color w:val="auto"/>
        </w:rPr>
      </w:pPr>
    </w:p>
    <w:p>
      <w:pPr>
        <w:ind w:left="640" w:hanging="17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Issued Shares have been duly authorized and validly issued and are fully paid and non-assessable.</w:t>
      </w:r>
    </w:p>
    <w:p>
      <w:pPr>
        <w:spacing w:after="0" w:line="76" w:lineRule="exact"/>
        <w:rPr>
          <w:rFonts w:ascii="Arial" w:cs="Arial" w:eastAsia="Arial" w:hAnsi="Arial"/>
          <w:sz w:val="18"/>
          <w:szCs w:val="18"/>
          <w:color w:val="auto"/>
        </w:rPr>
      </w:pPr>
    </w:p>
    <w:p>
      <w:pPr>
        <w:ind w:right="40" w:firstLine="464"/>
        <w:spacing w:after="0" w:line="268" w:lineRule="auto"/>
        <w:tabs>
          <w:tab w:leader="none" w:pos="63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Warrant Shares to be issued upon the exercise of the applicable Common Stock purchase warrants have been duly authorized and, when issued upon such exercise in accordance with the terms of such warrants, will be validly issued, fully paid and non-assessable.</w:t>
      </w:r>
    </w:p>
    <w:p>
      <w:pPr>
        <w:sectPr>
          <w:pgSz w:w="11900" w:h="16838" w:orient="portrait"/>
          <w:cols w:equalWidth="0" w:num="1">
            <w:col w:w="11420"/>
          </w:cols>
          <w:pgMar w:left="240" w:top="125" w:right="239" w:bottom="1440" w:gutter="0" w:footer="0" w:header="0"/>
        </w:sectPr>
      </w:pPr>
    </w:p>
    <w:bookmarkStart w:id="29" w:name="page30"/>
    <w:bookmarkEnd w:id="29"/>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Pro-Pharmaceuticals, Inc.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December 31, 2003</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reference to this firm appearing under the heading “Legal Matters” in the Prospectus. In giving such consent, we do not thereby admit that we are in the category of persons whose consent is required under Section 7 of the Securities Act or the General Rules and Regulations of the Commission thereunder.</w:t>
      </w:r>
    </w:p>
    <w:p>
      <w:pPr>
        <w:spacing w:after="0" w:line="12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Perkins Smith &amp; Cohen LLP</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Perkins Smith &amp; Cohen LLP</w:t>
      </w:r>
    </w:p>
    <w:p>
      <w:pPr>
        <w:sectPr>
          <w:pgSz w:w="11900" w:h="16838" w:orient="portrait"/>
          <w:cols w:equalWidth="0" w:num="1">
            <w:col w:w="11400"/>
          </w:cols>
          <w:pgMar w:left="240" w:top="280" w:right="25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23.2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AUDITORS’ CONSENT</w:t>
      </w:r>
    </w:p>
    <w:p>
      <w:pPr>
        <w:spacing w:after="0" w:line="164"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consent to the incorporation by reference in this Registration Statement of Pro-Pharmaceuticals, Inc. (the “Company”) on Form S-3 of our report dated March 24, 2003 (which expresses an unqualified opinion and includes an explanatory paragraph referring to the Company’s ability to continue as a going concern), appearing in the Annual Report on Form 10-KSB of Pro-Pharmaceuticals for the year ended December 31, 2002, and to the reference to us under the heading “Experts” in the Prospectus, which is part of this Registration Statement.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ELOITTE</w:t>
      </w:r>
      <w:r>
        <w:rPr>
          <w:rFonts w:ascii="Arial" w:cs="Arial" w:eastAsia="Arial" w:hAnsi="Arial"/>
          <w:sz w:val="18"/>
          <w:szCs w:val="18"/>
          <w:color w:val="auto"/>
        </w:rPr>
        <w:t xml:space="preserve"> &amp; T</w:t>
      </w:r>
      <w:r>
        <w:rPr>
          <w:rFonts w:ascii="Arial" w:cs="Arial" w:eastAsia="Arial" w:hAnsi="Arial"/>
          <w:sz w:val="14"/>
          <w:szCs w:val="14"/>
          <w:color w:val="auto"/>
        </w:rPr>
        <w:t>OUCHE</w:t>
      </w:r>
      <w:r>
        <w:rPr>
          <w:rFonts w:ascii="Arial" w:cs="Arial" w:eastAsia="Arial" w:hAnsi="Arial"/>
          <w:sz w:val="18"/>
          <w:szCs w:val="18"/>
          <w:color w:val="auto"/>
        </w:rPr>
        <w:t xml:space="preserve"> LLP</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Deloitte &amp; Touche LLP</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Boston, Massachusetts</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December 30, 2003</w:t>
      </w:r>
    </w:p>
    <w:p>
      <w:pPr>
        <w:sectPr>
          <w:pgSz w:w="11900" w:h="16838" w:orient="portrait"/>
          <w:cols w:equalWidth="0" w:num="1">
            <w:col w:w="11420"/>
          </w:cols>
          <w:pgMar w:left="240" w:top="125"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23.3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AUDITORS’ CONSENT</w:t>
      </w:r>
    </w:p>
    <w:p>
      <w:pPr>
        <w:spacing w:after="0" w:line="164"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consent to the incorporation by reference in this Registration Statement of Pro-Pharmaceuticals, Inc. (the “Company”) on Form S-3 of our report (which expresses an unqualified opinion) dated April 10, 2002 with respect to the financial statements of the Company, which appears in the Company’s Annual Report on Form 10-KSB for the year ended December 31, 2002 and to the reference to us under the heading “Experts” in the Prospectus, which is part of this Registration Statement.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CILLIA</w:t>
      </w:r>
      <w:r>
        <w:rPr>
          <w:rFonts w:ascii="Arial" w:cs="Arial" w:eastAsia="Arial" w:hAnsi="Arial"/>
          <w:sz w:val="18"/>
          <w:szCs w:val="18"/>
          <w:color w:val="auto"/>
        </w:rPr>
        <w:t xml:space="preserve"> D</w:t>
      </w:r>
      <w:r>
        <w:rPr>
          <w:rFonts w:ascii="Arial" w:cs="Arial" w:eastAsia="Arial" w:hAnsi="Arial"/>
          <w:sz w:val="14"/>
          <w:szCs w:val="14"/>
          <w:color w:val="auto"/>
        </w:rPr>
        <w:t>OWLING</w:t>
      </w:r>
      <w:r>
        <w:rPr>
          <w:rFonts w:ascii="Arial" w:cs="Arial" w:eastAsia="Arial" w:hAnsi="Arial"/>
          <w:sz w:val="18"/>
          <w:szCs w:val="18"/>
          <w:color w:val="auto"/>
        </w:rPr>
        <w:t xml:space="preserve"> &amp; N</w:t>
      </w:r>
      <w:r>
        <w:rPr>
          <w:rFonts w:ascii="Arial" w:cs="Arial" w:eastAsia="Arial" w:hAnsi="Arial"/>
          <w:sz w:val="14"/>
          <w:szCs w:val="14"/>
          <w:color w:val="auto"/>
        </w:rPr>
        <w:t>ATARELLI</w:t>
      </w:r>
      <w:r>
        <w:rPr>
          <w:rFonts w:ascii="Arial" w:cs="Arial" w:eastAsia="Arial" w:hAnsi="Arial"/>
          <w:sz w:val="18"/>
          <w:szCs w:val="18"/>
          <w:color w:val="auto"/>
        </w:rPr>
        <w:t xml:space="preserve"> LLC</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Scillia Dowling &amp; Natarelli LLC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Hartford, CT</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December 30, 2003</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4"/>
    </w:lvl>
    <w:lvl w:ilvl="1">
      <w:lvlJc w:val="left"/>
      <w:lvlText w:val="(%2)"/>
      <w:numFmt w:val="decimal"/>
      <w:start w:val="617"/>
    </w:lvl>
  </w:abstractNum>
  <w:abstractNum w:abstractNumId="7">
    <w:nsid w:val="3352255A"/>
    <w:multiLevelType w:val="hybridMultilevel"/>
    <w:lvl w:ilvl="0">
      <w:lvlJc w:val="left"/>
      <w:lvlText w:val="(%1)"/>
      <w:numFmt w:val="lowerLetter"/>
      <w:start w:val="1"/>
    </w:lvl>
  </w:abstractNum>
  <w:abstractNum w:abstractNumId="8">
    <w:nsid w:val="109CF92E"/>
    <w:multiLevelType w:val="hybridMultilevel"/>
    <w:lvl w:ilvl="0">
      <w:lvlJc w:val="left"/>
      <w:lvlText w:val="%1."/>
      <w:numFmt w:val="decimal"/>
      <w:start w:val="2"/>
    </w:lvl>
  </w:abstractNum>
  <w:abstractNum w:abstractNumId="9">
    <w:nsid w:val="DED7263"/>
    <w:multiLevelType w:val="hybridMultilevel"/>
    <w:lvl w:ilvl="0">
      <w:lvlJc w:val="left"/>
      <w:lvlText w:val="(%1)"/>
      <w:numFmt w:val="lowerLetter"/>
      <w:start w:val="1"/>
    </w:lvl>
  </w:abstractNum>
  <w:abstractNum w:abstractNumId="10">
    <w:nsid w:val="7FDCC233"/>
    <w:multiLevelType w:val="hybridMultilevel"/>
    <w:lvl w:ilvl="0">
      <w:lvlJc w:val="left"/>
      <w:lvlText w:val="%1."/>
      <w:numFmt w:val="decimal"/>
      <w:start w:val="3"/>
    </w:lvl>
  </w:abstractNum>
  <w:abstractNum w:abstractNumId="11">
    <w:nsid w:val="1BEFD79F"/>
    <w:multiLevelType w:val="hybridMultilevel"/>
    <w:lvl w:ilvl="0">
      <w:lvlJc w:val="left"/>
      <w:lvlText w:val="%1"/>
      <w:numFmt w:val="decimal"/>
      <w:start w:val="1"/>
    </w:lvl>
    <w:lvl w:ilvl="1">
      <w:lvlJc w:val="left"/>
      <w:lvlText w:val="(%2)"/>
      <w:numFmt w:val="lowerLetter"/>
      <w:start w:val="1"/>
    </w:lvl>
  </w:abstractNum>
  <w:abstractNum w:abstractNumId="12">
    <w:nsid w:val="41A7C4C9"/>
    <w:multiLevelType w:val="hybridMultilevel"/>
    <w:lvl w:ilvl="0">
      <w:lvlJc w:val="left"/>
      <w:lvlText w:val="%1."/>
      <w:numFmt w:val="decimal"/>
      <w:start w:val="2"/>
    </w:lvl>
    <w:lvl w:ilvl="1">
      <w:lvlJc w:val="left"/>
      <w:lvlText w:val="%2"/>
      <w:numFmt w:val="lowerLetter"/>
      <w:start w:val="1"/>
    </w:lvl>
  </w:abstractNum>
  <w:abstractNum w:abstractNumId="13">
    <w:nsid w:val="6B68079A"/>
    <w:multiLevelType w:val="hybridMultilevel"/>
    <w:lvl w:ilvl="0">
      <w:lvlJc w:val="left"/>
      <w:lvlText w:val="%1."/>
      <w:numFmt w:val="decimal"/>
      <w:start w:val="3"/>
    </w:lvl>
    <w:lvl w:ilvl="1">
      <w:lvlJc w:val="left"/>
      <w:lvlText w:val="(%2)"/>
      <w:numFmt w:val="lowerLetter"/>
      <w:start w:val="1"/>
    </w:lvl>
  </w:abstractNum>
  <w:abstractNum w:abstractNumId="14">
    <w:nsid w:val="4E6AFB66"/>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5">
    <w:nsid w:val="25E45D32"/>
    <w:multiLevelType w:val="hybridMultilevel"/>
    <w:lvl w:ilvl="0">
      <w:lvlJc w:val="left"/>
      <w:lvlText w:val="%1"/>
      <w:numFmt w:val="lowerLetter"/>
      <w:start w:val="1"/>
    </w:lvl>
    <w:lvl w:ilvl="1">
      <w:lvlJc w:val="left"/>
      <w:lvlText w:val="(%2)"/>
      <w:numFmt w:val="decimal"/>
      <w:start w:val="2"/>
    </w:lvl>
  </w:abstractNum>
  <w:abstractNum w:abstractNumId="16">
    <w:nsid w:val="519B500D"/>
    <w:multiLevelType w:val="hybridMultilevel"/>
    <w:lvl w:ilvl="0">
      <w:lvlJc w:val="left"/>
      <w:lvlText w:val="(%1)"/>
      <w:numFmt w:val="lowerLetter"/>
      <w:start w:val="2"/>
    </w:lvl>
    <w:lvl w:ilvl="1">
      <w:lvlJc w:val="left"/>
      <w:lvlText w:val="%2"/>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2019-12-15T02:54:13Z</dcterms:created>
  <dcterms:modified xsi:type="dcterms:W3CDTF">2019-12-15T02:54:13Z</dcterms:modified>
</cp:coreProperties>
</file>