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8"/>
        </w:trPr>
        <w:tc>
          <w:tcPr>
            <w:tcW w:w="594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7" w:lineRule="exact"/>
        <w:rPr>
          <w:sz w:val="24"/>
          <w:szCs w:val="24"/>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41"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left="120"/>
        <w:spacing w:after="0" w:line="207" w:lineRule="exact"/>
        <w:tabs>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3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number of shares outstanding of the registrant’s common stock as of August 6, 2020 was 57,043,661.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07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JUNE 30,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4"/>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and Six Months Ended June 30,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0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Six Months Ended June 30,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948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Redeemable Convertible Preferred Stock and Stockholders’ Equity (Deficit) for</w:t>
              </w:r>
            </w:hyperlink>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Six Months ended June 30, 2020 and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960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jc w:val="center"/>
              <w:ind w:right="20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056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40,768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48,209</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48,467</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super dividend redeemable convertible preferred stock; 1,000 shares authorized, 176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at June 30, 2020 and December 31, 2019, redemption value: $8,599,000, liquidation value: $1,760,000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June 30, 2020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Undesignated stock, $0.01 par value; 20,000,000 shares authorized, 20,000,000 designated at June 30, 2020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December 31, 2019,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720"/>
              <w:spacing w:after="0" w:line="201" w:lineRule="exact"/>
              <w:rPr>
                <w:sz w:val="20"/>
                <w:szCs w:val="20"/>
                <w:color w:val="auto"/>
              </w:rPr>
            </w:pPr>
            <w:r>
              <w:rPr>
                <w:rFonts w:ascii="Arial" w:cs="Arial" w:eastAsia="Arial" w:hAnsi="Arial"/>
                <w:sz w:val="18"/>
                <w:szCs w:val="18"/>
                <w:color w:val="auto"/>
                <w:w w:val="94"/>
              </w:rPr>
              <w:t>Series A 12% convertible preferred stock; 1,742,500 shares authorized, 1,327,500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900"/>
              <w:spacing w:after="0"/>
              <w:rPr>
                <w:sz w:val="20"/>
                <w:szCs w:val="20"/>
                <w:color w:val="auto"/>
              </w:rPr>
            </w:pPr>
            <w:r>
              <w:rPr>
                <w:rFonts w:ascii="Arial" w:cs="Arial" w:eastAsia="Arial" w:hAnsi="Arial"/>
                <w:sz w:val="18"/>
                <w:szCs w:val="18"/>
                <w:color w:val="auto"/>
              </w:rPr>
              <w:t>June 30, 2020 and December 31, 2019, liquidation value $1,327,500 at June 30, 2020</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Common stock, $0.001 par value; 100,000,000 shares authorized at June 30, 2020 and December 31,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57,043,661 and 56,894,642 issued and outstanding at June 30, 2020 and December 31, 2019,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260,820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259,673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(226,125)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(216,394)</w:t>
            </w:r>
          </w:p>
        </w:tc>
        <w:tc>
          <w:tcPr>
            <w:tcW w:w="0" w:type="dxa"/>
            <w:vAlign w:val="bottom"/>
          </w:tcPr>
          <w:p>
            <w:pPr>
              <w:spacing w:after="0"/>
              <w:rPr>
                <w:sz w:val="1"/>
                <w:szCs w:val="1"/>
                <w:color w:val="auto"/>
              </w:rPr>
            </w:pPr>
          </w:p>
        </w:tc>
      </w:tr>
      <w:tr>
        <w:trPr>
          <w:trHeight w:val="230"/>
        </w:trPr>
        <w:tc>
          <w:tcPr>
            <w:tcW w:w="890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35,288</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48,467</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4,681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8"/>
              <w:spacing w:after="0"/>
              <w:rPr>
                <w:sz w:val="20"/>
                <w:szCs w:val="20"/>
                <w:color w:val="auto"/>
              </w:rPr>
            </w:pPr>
            <w:r>
              <w:rPr>
                <w:rFonts w:ascii="Arial" w:cs="Arial" w:eastAsia="Arial" w:hAnsi="Arial"/>
                <w:sz w:val="18"/>
                <w:szCs w:val="18"/>
                <w:color w:val="auto"/>
              </w:rPr>
              <w:t>6,825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2,861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30"/>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(9,686)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(9,730)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 — basic and diluted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56,995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Six Months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1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(9,670)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(5,373)</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Payment of preferred stock dividends</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Amortization of right to use lease asset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95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(6,975)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(5,614)</w:t>
            </w:r>
          </w:p>
        </w:tc>
        <w:tc>
          <w:tcPr>
            <w:tcW w:w="0" w:type="dxa"/>
            <w:vAlign w:val="bottom"/>
          </w:tcPr>
          <w:p>
            <w:pPr>
              <w:spacing w:after="0"/>
              <w:rPr>
                <w:sz w:val="1"/>
                <w:szCs w:val="1"/>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49,404</w:t>
            </w:r>
          </w:p>
        </w:tc>
        <w:tc>
          <w:tcPr>
            <w:tcW w:w="0" w:type="dxa"/>
            <w:vAlign w:val="bottom"/>
          </w:tcPr>
          <w:p>
            <w:pPr>
              <w:spacing w:after="0"/>
              <w:rPr>
                <w:sz w:val="1"/>
                <w:szCs w:val="1"/>
                <w:color w:val="auto"/>
              </w:rPr>
            </w:pPr>
          </w:p>
        </w:tc>
      </w:tr>
      <w:tr>
        <w:trPr>
          <w:trHeight w:val="230"/>
        </w:trPr>
        <w:tc>
          <w:tcPr>
            <w:tcW w:w="9500" w:type="dxa"/>
            <w:vAlign w:val="bottom"/>
          </w:tcPr>
          <w:p>
            <w:pPr>
              <w:ind w:left="720"/>
              <w:spacing w:after="0"/>
              <w:rPr>
                <w:sz w:val="20"/>
                <w:szCs w:val="20"/>
                <w:color w:val="auto"/>
              </w:rPr>
            </w:pPr>
            <w:r>
              <w:rPr>
                <w:rFonts w:ascii="Arial" w:cs="Arial" w:eastAsia="Arial" w:hAnsi="Arial"/>
                <w:sz w:val="18"/>
                <w:szCs w:val="18"/>
                <w:color w:val="auto"/>
              </w:rPr>
              <w:t>Net cash flows from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49,404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(6,712)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43,790</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52,043</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5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6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5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500" w:type="dxa"/>
            <w:vAlign w:val="bottom"/>
            <w:vMerge w:val="restart"/>
          </w:tcPr>
          <w:p>
            <w:pPr>
              <w:jc w:val="right"/>
              <w:ind w:right="37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Series A 12%</w:t>
            </w:r>
          </w:p>
        </w:tc>
        <w:tc>
          <w:tcPr>
            <w:tcW w:w="11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Series B-1 12%</w:t>
            </w:r>
          </w:p>
        </w:tc>
        <w:tc>
          <w:tcPr>
            <w:tcW w:w="100" w:type="dxa"/>
            <w:vAlign w:val="bottom"/>
          </w:tcPr>
          <w:p>
            <w:pPr>
              <w:spacing w:after="0"/>
              <w:rPr>
                <w:sz w:val="14"/>
                <w:szCs w:val="14"/>
                <w:color w:val="auto"/>
              </w:rPr>
            </w:pPr>
          </w:p>
        </w:tc>
        <w:tc>
          <w:tcPr>
            <w:tcW w:w="11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9"/>
              </w:rPr>
              <w:t>Series B-2 12%</w:t>
            </w:r>
          </w:p>
        </w:tc>
        <w:tc>
          <w:tcPr>
            <w:tcW w:w="80" w:type="dxa"/>
            <w:vAlign w:val="bottom"/>
          </w:tcPr>
          <w:p>
            <w:pPr>
              <w:spacing w:after="0"/>
              <w:rPr>
                <w:sz w:val="14"/>
                <w:szCs w:val="14"/>
                <w:color w:val="auto"/>
              </w:rPr>
            </w:pPr>
          </w:p>
        </w:tc>
        <w:tc>
          <w:tcPr>
            <w:tcW w:w="11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Series B-3 8%</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128"/>
              <w:spacing w:after="0" w:line="149"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2"/>
                <w:szCs w:val="12"/>
                <w:color w:val="auto"/>
              </w:rPr>
            </w:pPr>
          </w:p>
        </w:tc>
        <w:tc>
          <w:tcPr>
            <w:tcW w:w="1120" w:type="dxa"/>
            <w:vAlign w:val="bottom"/>
            <w:gridSpan w:val="4"/>
          </w:tcPr>
          <w:p>
            <w:pPr>
              <w:jc w:val="right"/>
              <w:ind w:right="128"/>
              <w:spacing w:after="0" w:line="149" w:lineRule="exact"/>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2"/>
                <w:szCs w:val="12"/>
                <w:color w:val="auto"/>
              </w:rPr>
            </w:pPr>
          </w:p>
        </w:tc>
        <w:tc>
          <w:tcPr>
            <w:tcW w:w="1120" w:type="dxa"/>
            <w:vAlign w:val="bottom"/>
            <w:gridSpan w:val="4"/>
          </w:tcPr>
          <w:p>
            <w:pPr>
              <w:jc w:val="right"/>
              <w:ind w:right="108"/>
              <w:spacing w:after="0" w:line="149"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2"/>
                <w:szCs w:val="12"/>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1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7"/>
              </w:rPr>
              <w:t>Preferred Stock</w:t>
            </w:r>
          </w:p>
        </w:tc>
        <w:tc>
          <w:tcPr>
            <w:tcW w:w="100" w:type="dxa"/>
            <w:vAlign w:val="bottom"/>
          </w:tcPr>
          <w:p>
            <w:pPr>
              <w:spacing w:after="0"/>
              <w:rPr>
                <w:sz w:val="14"/>
                <w:szCs w:val="14"/>
                <w:color w:val="auto"/>
              </w:rPr>
            </w:pPr>
          </w:p>
        </w:tc>
        <w:tc>
          <w:tcPr>
            <w:tcW w:w="11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7"/>
              </w:rPr>
              <w:t>Preferred Stock</w:t>
            </w:r>
          </w:p>
        </w:tc>
        <w:tc>
          <w:tcPr>
            <w:tcW w:w="8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Preferred Stock</w:t>
            </w:r>
          </w:p>
        </w:tc>
        <w:tc>
          <w:tcPr>
            <w:tcW w:w="10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6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4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4"/>
              </w:rPr>
              <w:t>Retained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2"/>
                <w:szCs w:val="12"/>
                <w:color w:val="auto"/>
              </w:rPr>
            </w:pPr>
          </w:p>
        </w:tc>
        <w:tc>
          <w:tcPr>
            <w:tcW w:w="6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6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9"/>
              </w:rPr>
              <w:t>1,327,500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537</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45,594,411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45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209,845</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(205,308)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tcPr>
          <w:p>
            <w:pPr>
              <w:spacing w:after="0" w:line="130" w:lineRule="exact"/>
              <w:rPr>
                <w:sz w:val="20"/>
                <w:szCs w:val="20"/>
                <w:color w:val="auto"/>
              </w:rPr>
            </w:pPr>
            <w:r>
              <w:rPr>
                <w:rFonts w:ascii="Arial" w:cs="Arial" w:eastAsia="Arial" w:hAnsi="Arial"/>
                <w:sz w:val="14"/>
                <w:szCs w:val="14"/>
                <w:color w:val="auto"/>
                <w:w w:val="98"/>
              </w:rPr>
              <w:t>Series A 12% convertible preferred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Series C super dividend redeemable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10,488,161</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44,879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44,889</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exercise of warrants and options</w:t>
            </w: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508,706</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2,511</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Stock-based compensation expense</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(2,998)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1,327,500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537</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56,591,278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56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257,678</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(208,373</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49,898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at March 31, 2020</w:t>
            </w:r>
          </w:p>
        </w:tc>
        <w:tc>
          <w:tcPr>
            <w:tcW w:w="66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b w:val="1"/>
                <w:bCs w:val="1"/>
                <w:color w:val="auto"/>
                <w:w w:val="96"/>
              </w:rPr>
              <w:t>1,327,500</w:t>
            </w:r>
          </w:p>
        </w:tc>
        <w:tc>
          <w:tcPr>
            <w:tcW w:w="340" w:type="dxa"/>
            <w:vAlign w:val="bottom"/>
            <w:gridSpan w:val="2"/>
            <w:shd w:val="clear" w:color="auto" w:fill="CCEEFF"/>
          </w:tcPr>
          <w:p>
            <w:pPr>
              <w:jc w:val="right"/>
              <w:ind w:right="162"/>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w w:val="85"/>
              </w:rPr>
              <w:t>537</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68"/>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b w:val="1"/>
                <w:bCs w:val="1"/>
                <w:color w:val="auto"/>
              </w:rPr>
              <w:t>$57,029,209</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w w:val="89"/>
              </w:rPr>
              <w:t>56</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rPr>
              <w:t>260,382</w:t>
            </w:r>
          </w:p>
        </w:tc>
        <w:tc>
          <w:tcPr>
            <w:tcW w:w="74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b w:val="1"/>
                <w:bCs w:val="1"/>
                <w:color w:val="auto"/>
                <w:w w:val="86"/>
              </w:rPr>
              <w:t>$ (219,945)</w:t>
            </w:r>
          </w:p>
        </w:tc>
        <w:tc>
          <w:tcPr>
            <w:tcW w:w="1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rPr>
              <w:t>41,030</w:t>
            </w:r>
          </w:p>
        </w:tc>
        <w:tc>
          <w:tcPr>
            <w:tcW w:w="0" w:type="dxa"/>
            <w:vAlign w:val="bottom"/>
          </w:tcPr>
          <w:p>
            <w:pPr>
              <w:spacing w:after="0"/>
              <w:rPr>
                <w:sz w:val="1"/>
                <w:szCs w:val="1"/>
                <w:color w:val="auto"/>
              </w:rPr>
            </w:pPr>
          </w:p>
        </w:tc>
      </w:tr>
      <w:tr>
        <w:trPr>
          <w:trHeight w:val="130"/>
        </w:trPr>
        <w:tc>
          <w:tcPr>
            <w:tcW w:w="2160" w:type="dxa"/>
            <w:vAlign w:val="bottom"/>
          </w:tcPr>
          <w:p>
            <w:pPr>
              <w:spacing w:after="0" w:line="130" w:lineRule="exact"/>
              <w:rPr>
                <w:sz w:val="20"/>
                <w:szCs w:val="20"/>
                <w:color w:val="auto"/>
              </w:rPr>
            </w:pPr>
            <w:r>
              <w:rPr>
                <w:rFonts w:ascii="Arial" w:cs="Arial" w:eastAsia="Arial" w:hAnsi="Arial"/>
                <w:sz w:val="14"/>
                <w:szCs w:val="14"/>
                <w:color w:val="auto"/>
                <w:w w:val="98"/>
              </w:rPr>
              <w:t>Series A 12% convertible preferred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Series C super dividend redeemable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14,452</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Stock-based compensation expense</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(6,114)</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(6,114)</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2020</w:t>
            </w: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9"/>
              </w:rPr>
              <w:t>1,327,500</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537</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57,043,661</w:t>
            </w: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56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260,820</w:t>
            </w: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w w:val="86"/>
              </w:rPr>
              <w:t>$ (226,125)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35,288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Series A 12%</w:t>
            </w: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Series B-1 12%</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Series B-2 12%</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Series B-3 8%</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98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8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7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Retained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vMerge w:val="continue"/>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vMerge w:val="continue"/>
            <w:shd w:val="clear" w:color="auto" w:fill="CCEEFF"/>
          </w:tcPr>
          <w:p>
            <w:pPr>
              <w:spacing w:after="0"/>
              <w:rPr>
                <w:sz w:val="9"/>
                <w:szCs w:val="9"/>
                <w:color w:val="auto"/>
              </w:rPr>
            </w:pPr>
          </w:p>
        </w:tc>
        <w:tc>
          <w:tcPr>
            <w:tcW w:w="6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89"/>
              </w:rPr>
              <w:t>1,327,500</w:t>
            </w:r>
          </w:p>
        </w:tc>
        <w:tc>
          <w:tcPr>
            <w:tcW w:w="80" w:type="dxa"/>
            <w:vAlign w:val="bottom"/>
            <w:vMerge w:val="restart"/>
            <w:shd w:val="clear" w:color="auto" w:fill="CCEEFF"/>
          </w:tcPr>
          <w:p>
            <w:pPr>
              <w:spacing w:after="0"/>
              <w:rPr>
                <w:sz w:val="9"/>
                <w:szCs w:val="9"/>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537</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900,000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1,761</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2,100,000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3,697</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2,508,000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1,224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41,190,905</w:t>
            </w:r>
          </w:p>
        </w:tc>
        <w:tc>
          <w:tcPr>
            <w:tcW w:w="440" w:type="dxa"/>
            <w:vAlign w:val="bottom"/>
            <w:tcBorders>
              <w:left w:val="single" w:sz="8" w:color="CCEEFF"/>
            </w:tcBorders>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41</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194,130</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6"/>
              </w:rPr>
              <w:t>$ (196,215)</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40" w:type="dxa"/>
            <w:vAlign w:val="bottom"/>
            <w:tcBorders>
              <w:left w:val="single" w:sz="8" w:color="CCEEFF"/>
            </w:tcBorders>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Series A 12%</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Series B-2 12%</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w w:val="99"/>
              </w:rPr>
              <w:t>Series C super dividend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10,883,394</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46,744</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46,754</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Conversion of Series B</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to common</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(1,761)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(2,100,000)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(3,697)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(2,508,000)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(1,224)</w:t>
            </w:r>
          </w:p>
        </w:tc>
        <w:tc>
          <w:tcPr>
            <w:tcW w:w="700" w:type="dxa"/>
            <w:vAlign w:val="bottom"/>
          </w:tcPr>
          <w:p>
            <w:pPr>
              <w:jc w:val="right"/>
              <w:spacing w:after="0"/>
              <w:rPr>
                <w:sz w:val="20"/>
                <w:szCs w:val="20"/>
                <w:color w:val="auto"/>
              </w:rPr>
            </w:pPr>
            <w:r>
              <w:rPr>
                <w:rFonts w:ascii="Arial" w:cs="Arial" w:eastAsia="Arial" w:hAnsi="Arial"/>
                <w:sz w:val="14"/>
                <w:szCs w:val="14"/>
                <w:color w:val="auto"/>
              </w:rPr>
              <w:t>3,789,346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6,678</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for exercise of</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and options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727,633</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2,649</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Warrant modification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(Note 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6,622</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(6,622)</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compensation expense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855</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48"/>
        </w:trPr>
        <w:tc>
          <w:tcPr>
            <w:tcW w:w="15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(5,373)</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June 30,</w:t>
            </w:r>
          </w:p>
        </w:tc>
        <w:tc>
          <w:tcPr>
            <w:tcW w:w="6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89"/>
              </w:rPr>
              <w:t>1,327,500</w:t>
            </w:r>
          </w:p>
        </w:tc>
        <w:tc>
          <w:tcPr>
            <w:tcW w:w="8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537</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56,591,278</w:t>
            </w:r>
          </w:p>
        </w:tc>
        <w:tc>
          <w:tcPr>
            <w:tcW w:w="440" w:type="dxa"/>
            <w:vAlign w:val="bottom"/>
            <w:tcBorders>
              <w:left w:val="single" w:sz="8" w:color="CCEEFF"/>
            </w:tcBorders>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257,678</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6"/>
              </w:rPr>
              <w:t>$ (208,373)</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49,898</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6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40" w:type="dxa"/>
            <w:vAlign w:val="bottom"/>
            <w:tcBorders>
              <w:left w:val="single" w:sz="8" w:color="CCEEFF"/>
            </w:tcBorders>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500" w:type="dxa"/>
            <w:vAlign w:val="bottom"/>
            <w:vMerge w:val="continue"/>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1,327,500</w:t>
            </w: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537</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56,894,642</w:t>
            </w: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259,673</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6"/>
              </w:rPr>
              <w:t>$ (216,394)</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43,872</w:t>
            </w:r>
          </w:p>
        </w:tc>
        <w:tc>
          <w:tcPr>
            <w:tcW w:w="0" w:type="dxa"/>
            <w:vAlign w:val="bottom"/>
          </w:tcPr>
          <w:p>
            <w:pPr>
              <w:spacing w:after="0"/>
              <w:rPr>
                <w:sz w:val="1"/>
                <w:szCs w:val="1"/>
                <w:color w:val="auto"/>
              </w:rPr>
            </w:pPr>
          </w:p>
        </w:tc>
      </w:tr>
      <w:tr>
        <w:trPr>
          <w:trHeight w:val="171"/>
        </w:trPr>
        <w:tc>
          <w:tcPr>
            <w:tcW w:w="1500" w:type="dxa"/>
            <w:vAlign w:val="bottom"/>
          </w:tcPr>
          <w:p>
            <w:pPr>
              <w:ind w:left="140"/>
              <w:spacing w:after="0"/>
              <w:rPr>
                <w:sz w:val="20"/>
                <w:szCs w:val="20"/>
                <w:color w:val="auto"/>
              </w:rPr>
            </w:pPr>
            <w:r>
              <w:rPr>
                <w:rFonts w:ascii="Arial" w:cs="Arial" w:eastAsia="Arial" w:hAnsi="Arial"/>
                <w:sz w:val="14"/>
                <w:szCs w:val="14"/>
                <w:b w:val="1"/>
                <w:bCs w:val="1"/>
                <w:color w:val="auto"/>
              </w:rPr>
              <w:t>December 31, 2019</w:t>
            </w:r>
          </w:p>
        </w:tc>
        <w:tc>
          <w:tcPr>
            <w:tcW w:w="7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12%</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13,275</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w w:val="99"/>
              </w:rPr>
              <w:t>Series C super dividend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14,452</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stock for exercise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warrants and options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219</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compensation expense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19,068</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(9,670)</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(9,670)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June 30,</w:t>
            </w:r>
          </w:p>
        </w:tc>
        <w:tc>
          <w:tcPr>
            <w:tcW w:w="6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89"/>
              </w:rPr>
              <w:t>1,327,500</w:t>
            </w:r>
          </w:p>
        </w:tc>
        <w:tc>
          <w:tcPr>
            <w:tcW w:w="8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537</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57,043,661</w:t>
            </w:r>
          </w:p>
        </w:tc>
        <w:tc>
          <w:tcPr>
            <w:tcW w:w="440" w:type="dxa"/>
            <w:vAlign w:val="bottom"/>
            <w:tcBorders>
              <w:left w:val="single" w:sz="8" w:color="CCEEFF"/>
            </w:tcBorders>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56</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260,820</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6"/>
              </w:rPr>
              <w:t>$ (226,125)</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35,288</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6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40" w:type="dxa"/>
            <w:vAlign w:val="bottom"/>
            <w:tcBorders>
              <w:left w:val="single" w:sz="8" w:color="CCEEFF"/>
            </w:tcBorders>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2020 and the results of its operations for the three and six months ended June 30, 2020 and 2019 and its cash flows for the six months ended June 30, 2020 and 2019. All adjustments made to the interim financial statements include all those of a normal and recurring nature. Amounts presented in the condensed consolidated balance sheet as of December 31, 2019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2019.</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June 30, 2020, the Company had $40,768,000 of unrestricted cash and cash equivalents available to fund future operations. The Company believes there is sufficient cash, including availability of the $10 million line of credit (see Note 3),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NASH-RX Phase 2b/3 clinical trial. The costs of the trial along with drug manufacturing and other scientific support activities and general overhead during the first stage of the trial are currently estimated to be approximately $90 million. These costs will require additional funding. However, there can be no assurance that we will be successful in obtaining such new financing or, if available, that such financing will be on terms favorable to us. If we are unsuccessful in raising additional capital to fund operations before September 30, 2021,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8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June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6"/>
              </w:rPr>
              <w:t>2020</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413"/>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Accrued compensation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861</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2,972</w:t>
            </w:r>
          </w:p>
        </w:tc>
        <w:tc>
          <w:tcPr>
            <w:tcW w:w="1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Research and development expenses, including personnel costs, allocated facility costs, lab supplies, outside services, contract laboratory costs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NASH-RX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Originally, borrowings may be made by the Company through December 31, 2018. Borrowings bear interest at the Applicable Federal Rate for short term loans published by the Internal Revenue Service (1.6% in December 2019). All borrowings and interest were originally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six months ended June 30, 2020 and 2019 of $43,000 and $43,000,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r>
      <w:tr>
        <w:trPr>
          <w:trHeight w:val="27"/>
        </w:trPr>
        <w:tc>
          <w:tcPr>
            <w:tcW w:w="6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w:t>
            </w:r>
          </w:p>
        </w:tc>
      </w:tr>
      <w:tr>
        <w:trPr>
          <w:trHeight w:val="20"/>
        </w:trPr>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2019 through June 30, 2020:</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2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3,000,256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360"/>
              <w:spacing w:after="0"/>
              <w:rPr>
                <w:sz w:val="20"/>
                <w:szCs w:val="20"/>
                <w:color w:val="auto"/>
              </w:rPr>
            </w:pPr>
            <w:r>
              <w:rPr>
                <w:rFonts w:ascii="Arial" w:cs="Arial" w:eastAsia="Arial" w:hAnsi="Arial"/>
                <w:sz w:val="18"/>
                <w:szCs w:val="18"/>
                <w:color w:val="auto"/>
              </w:rPr>
              <w:t>Granted</w:t>
            </w:r>
          </w:p>
        </w:tc>
        <w:tc>
          <w:tcPr>
            <w:tcW w:w="4020" w:type="dxa"/>
            <w:vAlign w:val="bottom"/>
            <w:gridSpan w:val="3"/>
          </w:tcPr>
          <w:p>
            <w:pPr>
              <w:jc w:val="right"/>
              <w:ind w:right="560"/>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4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(84,624)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24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26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(23,057)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2020</w:t>
            </w:r>
          </w:p>
        </w:tc>
        <w:tc>
          <w:tcPr>
            <w:tcW w:w="2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3,737,575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80" w:type="dxa"/>
            <w:vAlign w:val="bottom"/>
            <w:vMerge w:val="restart"/>
          </w:tcPr>
          <w:p>
            <w:pPr>
              <w:jc w:val="right"/>
              <w:ind w:right="1550"/>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of June 30, 2020, there was $1,361,000 of unrecognized compensation related to 845,000 unvested options, which is expected to be recognized over a weighted–average period of approximately 2.09 years. The weighted-average grant date fair value for options granted during the six months ended June 30, 2020 was $1.92. The Company granted 845,000 stock options during the six months ended June 30, 2020.</w:t>
      </w:r>
    </w:p>
    <w:p>
      <w:pPr>
        <w:spacing w:after="0" w:line="16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20" w:type="dxa"/>
            <w:vAlign w:val="bottom"/>
            <w:gridSpan w:val="2"/>
          </w:tcPr>
          <w:p>
            <w:pPr>
              <w:jc w:val="center"/>
              <w:ind w:right="840"/>
              <w:spacing w:after="0"/>
              <w:rPr>
                <w:sz w:val="20"/>
                <w:szCs w:val="20"/>
                <w:color w:val="auto"/>
              </w:rPr>
            </w:pPr>
            <w:r>
              <w:rPr>
                <w:rFonts w:ascii="Arial" w:cs="Arial" w:eastAsia="Arial" w:hAnsi="Arial"/>
                <w:sz w:val="14"/>
                <w:szCs w:val="14"/>
                <w:color w:val="auto"/>
                <w:w w:val="95"/>
              </w:rPr>
              <w:t>Six Months Ended</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Six Months Ended</w:t>
            </w:r>
          </w:p>
        </w:tc>
      </w:tr>
      <w:tr>
        <w:trPr>
          <w:trHeight w:val="167"/>
        </w:trPr>
        <w:tc>
          <w:tcPr>
            <w:tcW w:w="5160" w:type="dxa"/>
            <w:vAlign w:val="bottom"/>
          </w:tcPr>
          <w:p>
            <w:pPr>
              <w:spacing w:after="0"/>
              <w:rPr>
                <w:sz w:val="14"/>
                <w:szCs w:val="14"/>
                <w:color w:val="auto"/>
              </w:rPr>
            </w:pPr>
          </w:p>
        </w:tc>
        <w:tc>
          <w:tcPr>
            <w:tcW w:w="1920" w:type="dxa"/>
            <w:vAlign w:val="bottom"/>
            <w:gridSpan w:val="2"/>
          </w:tcPr>
          <w:p>
            <w:pPr>
              <w:jc w:val="center"/>
              <w:ind w:right="840"/>
              <w:spacing w:after="0"/>
              <w:rPr>
                <w:sz w:val="20"/>
                <w:szCs w:val="20"/>
                <w:color w:val="auto"/>
              </w:rPr>
            </w:pPr>
            <w:r>
              <w:rPr>
                <w:rFonts w:ascii="Arial" w:cs="Arial" w:eastAsia="Arial" w:hAnsi="Arial"/>
                <w:sz w:val="14"/>
                <w:szCs w:val="14"/>
                <w:color w:val="auto"/>
                <w:w w:val="89"/>
              </w:rPr>
              <w:t>June 30,</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June 30,</w:t>
            </w:r>
          </w:p>
        </w:tc>
      </w:tr>
      <w:tr>
        <w:trPr>
          <w:trHeight w:val="142"/>
        </w:trPr>
        <w:tc>
          <w:tcPr>
            <w:tcW w:w="51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8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1.55%</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6 years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2019, two directors elected to take restricted stock grants in lieu of cash retainers for 2019. A total of 19,068 shares of restricted stock valued at approximately $90,000 was amortized to expense on a straight-line basis until January 16, 2020 when the stock vested in full.</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$93,500 is being amortized to expense on a straight-line basis until January 9, 2021 when the stock vests in full.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common stock warrant activity from December 31, 2019 through June 30, 2020:</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w w:val="93"/>
              </w:rPr>
              <w:t>Weighted Average</w:t>
            </w:r>
          </w:p>
        </w:tc>
      </w:tr>
      <w:tr>
        <w:trPr>
          <w:trHeight w:val="167"/>
        </w:trPr>
        <w:tc>
          <w:tcPr>
            <w:tcW w:w="582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12,538,204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12,538,204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1"/>
              </w:rPr>
              <w:t>4.22</w:t>
            </w: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expiration of the warrants outstanding as of June 30, 2020 is 3.9 years.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June 30, 2020 or December 31,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 Dilutive shares which could exist pursuant to the exercise of outstanding stock instruments and which were not included in the calculation because their affect would have been anti-dilutive are as follows: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June 30, 2020</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June 30, 2019</w:t>
            </w:r>
          </w:p>
        </w:tc>
      </w:tr>
      <w:tr>
        <w:trPr>
          <w:trHeight w:val="167"/>
        </w:trPr>
        <w:tc>
          <w:tcPr>
            <w:tcW w:w="634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(shares)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12,538,204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12,540,679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3,737,575</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3,062,338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514,602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514,602</w:t>
            </w:r>
          </w:p>
        </w:tc>
      </w:tr>
      <w:tr>
        <w:trPr>
          <w:trHeight w:val="223"/>
        </w:trPr>
        <w:tc>
          <w:tcPr>
            <w:tcW w:w="6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16,790,381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16,117,619</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three months ended June 30, 2020, the Company issued 14,452 shares of its common stock under the 2020 At Market Agreement for net proceeds of approximately $44,000.</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six months ended June 30, 2019, the Company issued 395,233 shares of its common stock under the 2017 At Market Agreement for net proceeds of approximately $1,865,000. There were no issuances of common stock under the 2017 At Market Agreement in 2020, and the 2017 At Market Agreement was terminated in May 2020.</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six months ended June 30, 2020, the Company has issued a total of 30,875 shares of common stock for dividends on Series A and Series C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Preferred Stock Conversion into Common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six-month periods ended June 30, 2020 and 2019 was $22,000 for each period and is included in general and administrative expenses. As of June 30, 2020, the right to use lease asset consisted of $66,000 and is included in other assets. Also, at June 30, 2020, current lease liability of $41,000 is included in accrued expenses and other and noncurrent lease liability of $31,000 is in other liabilities.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Maturity of operating lease as of June 30, 2020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1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1320"/>
              <w:spacing w:after="0"/>
              <w:rPr>
                <w:sz w:val="20"/>
                <w:szCs w:val="20"/>
                <w:color w:val="auto"/>
              </w:rPr>
            </w:pPr>
            <w:r>
              <w:rPr>
                <w:rFonts w:ascii="Arial" w:cs="Arial" w:eastAsia="Arial" w:hAnsi="Arial"/>
                <w:sz w:val="18"/>
                <w:szCs w:val="18"/>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w:t>
      </w:r>
    </w:p>
    <w:p>
      <w:pPr>
        <w:spacing w:after="0" w:line="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$2,260,000, including $309,000 for the six months ended June 30, 2020, for expenses of the LLC. Since the end of 2014, SBH has contributed $158,000 for expenses in the LLC. As of June 30, 2020, the Company’s ownership percentage in the LLC was 82.6%. The Company accounts for the interest in the LLC as a consolidated, less than wholly owned subsidiary. Because the LLC’s equity is immaterial, the value of the non-controlling interest is also deemed to be immaterial.</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2021;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presented by the COVID-19 pandemic,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2019, and our subsequent SEC filings.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consistent with the natural history of the disease and to seek strategic partners when a program becomes advanced and requires significant additional resources.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(NASH-CX). We announced, in December 2017 top line results from our NASH-CX trial and results of an End of Phase 2 meeting with the FDA in May 2018 that provided direction on potentially acceptable end points for a Phase 3 trial. The latter was confirmed in a Type C meeting with FDA in February 2019. Thereafter, the Company with its external NASH consultants designed a Phase 3 study that was sent to various contract research organizations (CROs) for their input on feasibility, timing costs and other important considerations. At the request of the United States Food and Drug Administration (FDA), the trial protocol and answers to questions raised by FDA at the February meeting was submitted as a Type C (Written Response Only) request to FDA on July 17, 2019; this response sought FDA feedback and agreement with regards to the proposed clinical program. Further details on results of the NASH-CX trial were published in the journal Gastroenterology (Gastroenterology 2020;158:1334–1345).</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Comments from FDA were received in late October 2019 and have been incorporated into the final version of the clinical trial protocol by the Company in conjunction with its hepatology consultants and medical and other experts at Covance, its chosen CRO. This modified trial design was discussed with FDA in a meeting on November 14, 2019 at which FDA indicated the design was reasonable (subject to a review of the protocol). The Company together with its advisors and Covance has modified the protocol and associated statistical analysis plans in conformance with the feedback received from FDA. and filed the protocol and various other documents with FDA on April 30, 2020. The study officially consented its first patient in June 2020. In addition, the Company has been working to some additional information requested by FDA which mostly relate to reporting of completed developmental toxicity studies.</w:t>
      </w:r>
    </w:p>
    <w:p>
      <w:pPr>
        <w:spacing w:after="0" w:line="19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began enrolling patients in Q2-2020.</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A study protocol was filed with FDA on April 30, 2020 for a seamless adaptively-designed Phase 2b/3 clinical study, the NASH-RX trial,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this study began enrolling patients in Q2-2020..</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Initial results of the efforts at Galectin Sciences LLC were presented by Dr. E. Zomer at the AFDD meeting in Boston in Fall, 2019. Three series of composition of matter patents covering discoveries at Galectin Sciences have been filed. We are also pursuing a development pathway to clinical enhancement and commercialization for our lead compounds in immuno-oncology for cancer therapy. However, our clinical development efforts are primarily focused on liver fibrosis and NASH. All of our proposed products are presently in development, including pre-clinical and clinical trials.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3100" w:type="dxa"/>
            <w:vAlign w:val="bottom"/>
          </w:tcPr>
          <w:p>
            <w:pPr>
              <w:ind w:left="1940"/>
              <w:spacing w:after="0"/>
              <w:rPr>
                <w:sz w:val="20"/>
                <w:szCs w:val="20"/>
                <w:color w:val="auto"/>
              </w:rPr>
            </w:pPr>
            <w:r>
              <w:rPr>
                <w:rFonts w:ascii="Arial" w:cs="Arial" w:eastAsia="Arial" w:hAnsi="Arial"/>
                <w:sz w:val="14"/>
                <w:szCs w:val="14"/>
                <w:b w:val="1"/>
                <w:bCs w:val="1"/>
                <w:color w:val="auto"/>
              </w:rPr>
              <w:t>Drug</w:t>
            </w:r>
          </w:p>
        </w:tc>
        <w:tc>
          <w:tcPr>
            <w:tcW w:w="162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Arial" w:cs="Arial" w:eastAsia="Arial" w:hAnsi="Arial"/>
                <w:sz w:val="14"/>
                <w:szCs w:val="14"/>
                <w:b w:val="1"/>
                <w:bCs w:val="1"/>
                <w:color w:val="auto"/>
              </w:rPr>
              <w:t>Status</w:t>
            </w:r>
          </w:p>
        </w:tc>
      </w:tr>
      <w:tr>
        <w:trPr>
          <w:trHeight w:val="220"/>
        </w:trPr>
        <w:tc>
          <w:tcPr>
            <w:tcW w:w="352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3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3100" w:type="dxa"/>
            <w:vAlign w:val="bottom"/>
          </w:tcPr>
          <w:p>
            <w:pPr>
              <w:ind w:left="1220"/>
              <w:spacing w:after="0"/>
              <w:rPr>
                <w:sz w:val="20"/>
                <w:szCs w:val="20"/>
                <w:color w:val="auto"/>
              </w:rPr>
            </w:pPr>
            <w:r>
              <w:rPr>
                <w:rFonts w:ascii="Arial" w:cs="Arial" w:eastAsia="Arial" w:hAnsi="Arial"/>
                <w:sz w:val="18"/>
                <w:szCs w:val="18"/>
                <w:color w:val="auto"/>
              </w:rPr>
              <w:t>belapectin</w:t>
            </w:r>
          </w:p>
        </w:tc>
        <w:tc>
          <w:tcPr>
            <w:tcW w:w="4380" w:type="dxa"/>
            <w:vAlign w:val="bottom"/>
            <w:gridSpan w:val="2"/>
          </w:tcPr>
          <w:p>
            <w:pPr>
              <w:spacing w:after="0"/>
              <w:rPr>
                <w:sz w:val="20"/>
                <w:szCs w:val="20"/>
                <w:color w:val="auto"/>
              </w:rPr>
            </w:pPr>
            <w:r>
              <w:rPr>
                <w:rFonts w:ascii="Arial" w:cs="Arial" w:eastAsia="Arial" w:hAnsi="Arial"/>
                <w:sz w:val="18"/>
                <w:szCs w:val="18"/>
                <w:color w:val="auto"/>
                <w:w w:val="99"/>
              </w:rPr>
              <w:t>IND submitted January 2013. Results from the Phase 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NASH-CX trial and</w:t>
            </w: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clinical trial were reported in 2014, with final results</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NASH-FX trial</w:t>
            </w:r>
          </w:p>
        </w:tc>
        <w:tc>
          <w:tcPr>
            <w:tcW w:w="31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reported in January 2015.</w:t>
            </w:r>
          </w:p>
        </w:tc>
      </w:tr>
      <w:tr>
        <w:trPr>
          <w:trHeight w:val="323"/>
        </w:trPr>
        <w:tc>
          <w:tcPr>
            <w:tcW w:w="3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3"/>
              </w:rPr>
              <w:t>The Phase 2 NASH FX trial was designed for patients with</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0"/>
              </w:rPr>
              <w:t>advanced fibrosis but not cirrhosis. Its principal purpose was</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to evaluate various imaging modalities. The NASH FX trial</w:t>
            </w:r>
          </w:p>
        </w:tc>
      </w:tr>
      <w:tr>
        <w:trPr>
          <w:trHeight w:val="230"/>
        </w:trPr>
        <w:tc>
          <w:tcPr>
            <w:tcW w:w="3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top line data was reported in September 2016</w:t>
            </w:r>
          </w:p>
        </w:tc>
      </w:tr>
      <w:tr>
        <w:trPr>
          <w:trHeight w:val="323"/>
        </w:trPr>
        <w:tc>
          <w:tcPr>
            <w:tcW w:w="3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2"/>
              </w:rPr>
              <w:t>The Phase 2 NASH CX trial, was designed for patients with</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9"/>
              </w:rPr>
              <w:t>well compensated cirrhosis. The NASH CX trial top line</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2"/>
              </w:rPr>
              <w:t>data was reported in December 2017 and was published in</w:t>
            </w:r>
          </w:p>
        </w:tc>
      </w:tr>
      <w:tr>
        <w:trPr>
          <w:trHeight w:val="230"/>
        </w:trPr>
        <w:tc>
          <w:tcPr>
            <w:tcW w:w="3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Gastroenterology </w:t>
            </w:r>
            <w:r>
              <w:rPr>
                <w:rFonts w:ascii="Arial" w:cs="Arial" w:eastAsia="Arial" w:hAnsi="Arial"/>
                <w:sz w:val="18"/>
                <w:szCs w:val="18"/>
                <w:color w:val="auto"/>
              </w:rPr>
              <w:t>in 2020.</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NASH – RX</w:t>
            </w:r>
          </w:p>
        </w:tc>
        <w:tc>
          <w:tcPr>
            <w:tcW w:w="3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Based on recent FDA feedback, the NASH-RX trial is</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88"/>
              </w:rPr>
              <w:t>designed as an adaptive Phase 2b/3 trial for the prevention of</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varices in NASH patients with well compensated cirrhosis.</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An interim efficacy analysis will be incorporated to confirm</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0"/>
              </w:rPr>
              <w:t>previous Phase 2 data, confirm an optimal dose and reaffirm</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efficacy, and the end of study endpoints will include</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5"/>
              </w:rPr>
              <w:t>development of varices and a composite clinical endpoint</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including progression to varices requiring treatment (large</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varices or varices with a red wale). See</w:t>
            </w:r>
          </w:p>
        </w:tc>
      </w:tr>
      <w:tr>
        <w:trPr>
          <w:trHeight w:val="190"/>
        </w:trPr>
        <w:tc>
          <w:tcPr>
            <w:tcW w:w="3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380" w:type="dxa"/>
            <w:vAlign w:val="bottom"/>
            <w:gridSpan w:val="2"/>
          </w:tcPr>
          <w:p>
            <w:pPr>
              <w:spacing w:after="0" w:line="190" w:lineRule="exact"/>
              <w:rPr>
                <w:sz w:val="20"/>
                <w:szCs w:val="20"/>
                <w:color w:val="auto"/>
              </w:rPr>
            </w:pPr>
            <w:r>
              <w:rPr>
                <w:rFonts w:ascii="Arial" w:cs="Arial" w:eastAsia="Arial" w:hAnsi="Arial"/>
                <w:sz w:val="18"/>
                <w:szCs w:val="18"/>
                <w:color w:val="auto"/>
                <w:w w:val="97"/>
              </w:rPr>
              <w:t>www.clinicaltrials.gov NCT04365868. Patient enrollment</w:t>
            </w:r>
          </w:p>
        </w:tc>
      </w:tr>
      <w:tr>
        <w:trPr>
          <w:trHeight w:val="20"/>
        </w:trPr>
        <w:tc>
          <w:tcPr>
            <w:tcW w:w="3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37"/>
        </w:trPr>
        <w:tc>
          <w:tcPr>
            <w:tcW w:w="3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commenced in June 2020.</w:t>
            </w:r>
          </w:p>
        </w:tc>
      </w:tr>
      <w:tr>
        <w:trPr>
          <w:trHeight w:val="323"/>
        </w:trPr>
        <w:tc>
          <w:tcPr>
            <w:tcW w:w="3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9"/>
              </w:rPr>
              <w:t>A protocol for a hepatic impairment study was filed with</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6"/>
              </w:rPr>
              <w:t>FDA on March 30, 2020 This study is being conducted in</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9"/>
              </w:rPr>
              <w:t>subjects with normal hepatic function and subjects with</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varying degrees of hepatic impairment (CF:</w:t>
            </w:r>
          </w:p>
        </w:tc>
      </w:tr>
      <w:tr>
        <w:trPr>
          <w:trHeight w:val="216"/>
        </w:trPr>
        <w:tc>
          <w:tcPr>
            <w:tcW w:w="3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www.clinicaltrials.gov NCT04332432) and began enrolling</w:t>
            </w:r>
          </w:p>
        </w:tc>
      </w:tr>
      <w:tr>
        <w:trPr>
          <w:trHeight w:val="230"/>
        </w:trPr>
        <w:tc>
          <w:tcPr>
            <w:tcW w:w="3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patients in the second quarter of 2020.</w:t>
            </w:r>
          </w:p>
        </w:tc>
      </w:tr>
      <w:tr>
        <w:trPr>
          <w:trHeight w:val="338"/>
        </w:trPr>
        <w:tc>
          <w:tcPr>
            <w:tcW w:w="3520" w:type="dxa"/>
            <w:vAlign w:val="bottom"/>
          </w:tcPr>
          <w:p>
            <w:pPr>
              <w:spacing w:after="0"/>
              <w:rPr>
                <w:sz w:val="20"/>
                <w:szCs w:val="20"/>
                <w:color w:val="auto"/>
              </w:rPr>
            </w:pPr>
            <w:r>
              <w:rPr>
                <w:rFonts w:ascii="Arial" w:cs="Arial" w:eastAsia="Arial" w:hAnsi="Arial"/>
                <w:sz w:val="18"/>
                <w:szCs w:val="18"/>
                <w:color w:val="auto"/>
              </w:rPr>
              <w:t>Lung Fibrosis</w:t>
            </w:r>
          </w:p>
        </w:tc>
        <w:tc>
          <w:tcPr>
            <w:tcW w:w="3100" w:type="dxa"/>
            <w:vAlign w:val="bottom"/>
          </w:tcPr>
          <w:p>
            <w:pPr>
              <w:ind w:left="1220"/>
              <w:spacing w:after="0"/>
              <w:rPr>
                <w:sz w:val="20"/>
                <w:szCs w:val="20"/>
                <w:color w:val="auto"/>
              </w:rPr>
            </w:pPr>
            <w:r>
              <w:rPr>
                <w:rFonts w:ascii="Arial" w:cs="Arial" w:eastAsia="Arial" w:hAnsi="Arial"/>
                <w:sz w:val="18"/>
                <w:szCs w:val="18"/>
                <w:color w:val="auto"/>
              </w:rPr>
              <w:t>belapectin</w:t>
            </w:r>
          </w:p>
        </w:tc>
        <w:tc>
          <w:tcPr>
            <w:tcW w:w="4380" w:type="dxa"/>
            <w:vAlign w:val="bottom"/>
            <w:gridSpan w:val="2"/>
          </w:tcPr>
          <w:p>
            <w:pPr>
              <w:spacing w:after="0"/>
              <w:rPr>
                <w:sz w:val="20"/>
                <w:szCs w:val="20"/>
                <w:color w:val="auto"/>
              </w:rPr>
            </w:pPr>
            <w:r>
              <w:rPr>
                <w:rFonts w:ascii="Arial" w:cs="Arial" w:eastAsia="Arial" w:hAnsi="Arial"/>
                <w:sz w:val="18"/>
                <w:szCs w:val="18"/>
                <w:color w:val="auto"/>
              </w:rPr>
              <w:t>In pre-clinical development</w:t>
            </w: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Kidney Fibrosis</w:t>
            </w:r>
          </w:p>
        </w:tc>
        <w:tc>
          <w:tcPr>
            <w:tcW w:w="3100" w:type="dxa"/>
            <w:vAlign w:val="bottom"/>
          </w:tcPr>
          <w:p>
            <w:pPr>
              <w:ind w:left="1220"/>
              <w:spacing w:after="0"/>
              <w:rPr>
                <w:sz w:val="20"/>
                <w:szCs w:val="20"/>
                <w:color w:val="auto"/>
              </w:rPr>
            </w:pPr>
            <w:r>
              <w:rPr>
                <w:rFonts w:ascii="Arial" w:cs="Arial" w:eastAsia="Arial" w:hAnsi="Arial"/>
                <w:sz w:val="18"/>
                <w:szCs w:val="18"/>
                <w:color w:val="auto"/>
              </w:rPr>
              <w:t>belapectin</w:t>
            </w:r>
          </w:p>
        </w:tc>
        <w:tc>
          <w:tcPr>
            <w:tcW w:w="4380" w:type="dxa"/>
            <w:vAlign w:val="bottom"/>
            <w:gridSpan w:val="2"/>
          </w:tcPr>
          <w:p>
            <w:pPr>
              <w:spacing w:after="0"/>
              <w:rPr>
                <w:sz w:val="20"/>
                <w:szCs w:val="20"/>
                <w:color w:val="auto"/>
              </w:rPr>
            </w:pPr>
            <w:r>
              <w:rPr>
                <w:rFonts w:ascii="Arial" w:cs="Arial" w:eastAsia="Arial" w:hAnsi="Arial"/>
                <w:sz w:val="18"/>
                <w:szCs w:val="18"/>
                <w:color w:val="auto"/>
              </w:rPr>
              <w:t>In pre-clinical development</w:t>
            </w:r>
          </w:p>
        </w:tc>
      </w:tr>
      <w:tr>
        <w:trPr>
          <w:trHeight w:val="364"/>
        </w:trPr>
        <w:tc>
          <w:tcPr>
            <w:tcW w:w="3520" w:type="dxa"/>
            <w:vAlign w:val="bottom"/>
          </w:tcPr>
          <w:p>
            <w:pPr>
              <w:spacing w:after="0"/>
              <w:rPr>
                <w:sz w:val="24"/>
                <w:szCs w:val="24"/>
                <w:color w:val="auto"/>
              </w:rPr>
            </w:pPr>
          </w:p>
        </w:tc>
        <w:tc>
          <w:tcPr>
            <w:tcW w:w="3100" w:type="dxa"/>
            <w:vAlign w:val="bottom"/>
          </w:tcPr>
          <w:p>
            <w:pPr>
              <w:ind w:left="1900"/>
              <w:spacing w:after="0"/>
              <w:rPr>
                <w:sz w:val="20"/>
                <w:szCs w:val="20"/>
                <w:color w:val="auto"/>
              </w:rPr>
            </w:pPr>
            <w:r>
              <w:rPr>
                <w:rFonts w:ascii="Arial" w:cs="Arial" w:eastAsia="Arial" w:hAnsi="Arial"/>
                <w:sz w:val="18"/>
                <w:szCs w:val="18"/>
                <w:color w:val="auto"/>
              </w:rPr>
              <w:t>16</w:t>
            </w:r>
          </w:p>
        </w:tc>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400" w:type="dxa"/>
            <w:vAlign w:val="bottom"/>
          </w:tcPr>
          <w:p>
            <w:pPr>
              <w:ind w:left="1660"/>
              <w:spacing w:after="0"/>
              <w:rPr>
                <w:sz w:val="20"/>
                <w:szCs w:val="20"/>
                <w:color w:val="auto"/>
              </w:rPr>
            </w:pPr>
            <w:r>
              <w:rPr>
                <w:rFonts w:ascii="Arial" w:cs="Arial" w:eastAsia="Arial" w:hAnsi="Arial"/>
                <w:sz w:val="14"/>
                <w:szCs w:val="14"/>
                <w:b w:val="1"/>
                <w:bCs w:val="1"/>
                <w:color w:val="auto"/>
              </w:rPr>
              <w:t>Drug</w:t>
            </w:r>
          </w:p>
        </w:tc>
        <w:tc>
          <w:tcPr>
            <w:tcW w:w="4760" w:type="dxa"/>
            <w:vAlign w:val="bottom"/>
          </w:tcPr>
          <w:p>
            <w:pPr>
              <w:ind w:left="2420"/>
              <w:spacing w:after="0"/>
              <w:rPr>
                <w:sz w:val="20"/>
                <w:szCs w:val="20"/>
                <w:color w:val="auto"/>
              </w:rPr>
            </w:pPr>
            <w:r>
              <w:rPr>
                <w:rFonts w:ascii="Arial" w:cs="Arial" w:eastAsia="Arial" w:hAnsi="Arial"/>
                <w:sz w:val="14"/>
                <w:szCs w:val="14"/>
                <w:b w:val="1"/>
                <w:bCs w:val="1"/>
                <w:color w:val="auto"/>
              </w:rPr>
              <w:t>Status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400" w:type="dxa"/>
            <w:vAlign w:val="bottom"/>
          </w:tcPr>
          <w:p>
            <w:pPr>
              <w:ind w:left="940"/>
              <w:spacing w:after="0"/>
              <w:rPr>
                <w:sz w:val="20"/>
                <w:szCs w:val="20"/>
                <w:color w:val="auto"/>
              </w:rPr>
            </w:pPr>
            <w:r>
              <w:rPr>
                <w:rFonts w:ascii="Arial" w:cs="Arial" w:eastAsia="Arial" w:hAnsi="Arial"/>
                <w:sz w:val="18"/>
                <w:szCs w:val="18"/>
                <w:color w:val="auto"/>
              </w:rPr>
              <w:t>belapectin and</w:t>
            </w:r>
          </w:p>
        </w:tc>
        <w:tc>
          <w:tcPr>
            <w:tcW w:w="476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800" w:type="dxa"/>
            <w:vAlign w:val="bottom"/>
          </w:tcPr>
          <w:p>
            <w:pPr>
              <w:spacing w:after="0"/>
              <w:rPr>
                <w:sz w:val="20"/>
                <w:szCs w:val="20"/>
                <w:color w:val="auto"/>
              </w:rPr>
            </w:pPr>
          </w:p>
        </w:tc>
        <w:tc>
          <w:tcPr>
            <w:tcW w:w="2400" w:type="dxa"/>
            <w:vAlign w:val="bottom"/>
          </w:tcPr>
          <w:p>
            <w:pPr>
              <w:ind w:left="940"/>
              <w:spacing w:after="0"/>
              <w:rPr>
                <w:sz w:val="20"/>
                <w:szCs w:val="20"/>
                <w:color w:val="auto"/>
              </w:rPr>
            </w:pPr>
            <w:r>
              <w:rPr>
                <w:rFonts w:ascii="Arial" w:cs="Arial" w:eastAsia="Arial" w:hAnsi="Arial"/>
                <w:sz w:val="18"/>
                <w:szCs w:val="18"/>
                <w:color w:val="auto"/>
              </w:rPr>
              <w:t>GM-CT-01</w:t>
            </w:r>
          </w:p>
        </w:tc>
        <w:tc>
          <w:tcPr>
            <w:tcW w:w="4760" w:type="dxa"/>
            <w:vAlign w:val="bottom"/>
          </w:tcPr>
          <w:p>
            <w:pPr>
              <w:spacing w:after="0"/>
              <w:rPr>
                <w:sz w:val="20"/>
                <w:szCs w:val="20"/>
                <w:color w:val="auto"/>
              </w:rPr>
            </w:pP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24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Melanoma, Head, Neck Squamous Cell</w:t>
            </w:r>
          </w:p>
        </w:tc>
        <w:tc>
          <w:tcPr>
            <w:tcW w:w="2400" w:type="dxa"/>
            <w:vAlign w:val="bottom"/>
          </w:tcPr>
          <w:p>
            <w:pPr>
              <w:ind w:left="940"/>
              <w:spacing w:after="0"/>
              <w:rPr>
                <w:sz w:val="20"/>
                <w:szCs w:val="20"/>
                <w:color w:val="auto"/>
              </w:rPr>
            </w:pPr>
            <w:r>
              <w:rPr>
                <w:rFonts w:ascii="Arial" w:cs="Arial" w:eastAsia="Arial" w:hAnsi="Arial"/>
                <w:sz w:val="18"/>
                <w:szCs w:val="18"/>
                <w:color w:val="auto"/>
              </w:rPr>
              <w:t>belapectin</w:t>
            </w:r>
          </w:p>
        </w:tc>
        <w:tc>
          <w:tcPr>
            <w:tcW w:w="4760" w:type="dxa"/>
            <w:vAlign w:val="bottom"/>
          </w:tcPr>
          <w:p>
            <w:pPr>
              <w:ind w:left="420"/>
              <w:spacing w:after="0"/>
              <w:rPr>
                <w:sz w:val="20"/>
                <w:szCs w:val="20"/>
                <w:color w:val="auto"/>
              </w:rPr>
            </w:pPr>
            <w:r>
              <w:rPr>
                <w:rFonts w:ascii="Arial" w:cs="Arial" w:eastAsia="Arial" w:hAnsi="Arial"/>
                <w:sz w:val="18"/>
                <w:szCs w:val="18"/>
                <w:color w:val="auto"/>
                <w:w w:val="95"/>
              </w:rPr>
              <w:t>Investigator IND submitted in December 2013. Phase 1B</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Carcinoma (HNSCC)</w:t>
            </w: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4"/>
              </w:rPr>
              <w:t>study in process. A second Phase 1B study began in Q-1</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2016. Investigator IND for that study submitted in</w:t>
            </w:r>
          </w:p>
        </w:tc>
      </w:tr>
      <w:tr>
        <w:trPr>
          <w:trHeight w:val="230"/>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September 2015. Early data was reported in</w:t>
            </w:r>
          </w:p>
        </w:tc>
      </w:tr>
      <w:tr>
        <w:trPr>
          <w:trHeight w:val="310"/>
        </w:trPr>
        <w:tc>
          <w:tcPr>
            <w:tcW w:w="3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89"/>
              </w:rPr>
              <w:t>February 2017 and studies with the 3</w:t>
            </w:r>
            <w:r>
              <w:rPr>
                <w:rFonts w:ascii="Arial" w:cs="Arial" w:eastAsia="Arial" w:hAnsi="Arial"/>
                <w:sz w:val="26"/>
                <w:szCs w:val="26"/>
                <w:color w:val="auto"/>
                <w:w w:val="89"/>
                <w:vertAlign w:val="superscript"/>
              </w:rPr>
              <w:t>rd</w:t>
            </w:r>
            <w:r>
              <w:rPr>
                <w:rFonts w:ascii="Arial" w:cs="Arial" w:eastAsia="Arial" w:hAnsi="Arial"/>
                <w:sz w:val="18"/>
                <w:szCs w:val="18"/>
                <w:color w:val="auto"/>
                <w:w w:val="89"/>
              </w:rPr>
              <w:t xml:space="preserve"> cohort were reported</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 September 2018. Continuation of trial is ongoing to</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89"/>
              </w:rPr>
              <w:t>expand the dataset of melanoma and HNSCC patients at the</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8"/>
              </w:rPr>
              <w:t>4 mg/Kg dose to determine if a possible Phase 2 trial is</w:t>
            </w:r>
          </w:p>
        </w:tc>
      </w:tr>
      <w:tr>
        <w:trPr>
          <w:trHeight w:val="230"/>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warranted.</w:t>
            </w:r>
          </w:p>
        </w:tc>
      </w:tr>
      <w:tr>
        <w:trPr>
          <w:trHeight w:val="324"/>
        </w:trPr>
        <w:tc>
          <w:tcPr>
            <w:tcW w:w="3800" w:type="dxa"/>
            <w:vAlign w:val="bottom"/>
          </w:tcPr>
          <w:p>
            <w:pPr>
              <w:spacing w:after="0"/>
              <w:rPr>
                <w:sz w:val="20"/>
                <w:szCs w:val="20"/>
                <w:color w:val="auto"/>
              </w:rPr>
            </w:pPr>
            <w:r>
              <w:rPr>
                <w:rFonts w:ascii="Arial" w:cs="Arial" w:eastAsia="Arial" w:hAnsi="Arial"/>
                <w:sz w:val="18"/>
                <w:szCs w:val="18"/>
                <w:color w:val="auto"/>
              </w:rPr>
              <w:t>Psoriasis</w:t>
            </w:r>
          </w:p>
        </w:tc>
        <w:tc>
          <w:tcPr>
            <w:tcW w:w="24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2400" w:type="dxa"/>
            <w:vAlign w:val="bottom"/>
          </w:tcPr>
          <w:p>
            <w:pPr>
              <w:ind w:left="940"/>
              <w:spacing w:after="0"/>
              <w:rPr>
                <w:sz w:val="20"/>
                <w:szCs w:val="20"/>
                <w:color w:val="auto"/>
              </w:rPr>
            </w:pPr>
            <w:r>
              <w:rPr>
                <w:rFonts w:ascii="Arial" w:cs="Arial" w:eastAsia="Arial" w:hAnsi="Arial"/>
                <w:sz w:val="18"/>
                <w:szCs w:val="18"/>
                <w:color w:val="auto"/>
              </w:rPr>
              <w:t>belapectin</w:t>
            </w:r>
          </w:p>
        </w:tc>
        <w:tc>
          <w:tcPr>
            <w:tcW w:w="4760" w:type="dxa"/>
            <w:vAlign w:val="bottom"/>
          </w:tcPr>
          <w:p>
            <w:pPr>
              <w:ind w:left="420"/>
              <w:spacing w:after="0"/>
              <w:rPr>
                <w:sz w:val="20"/>
                <w:szCs w:val="20"/>
                <w:color w:val="auto"/>
              </w:rPr>
            </w:pPr>
            <w:r>
              <w:rPr>
                <w:rFonts w:ascii="Arial" w:cs="Arial" w:eastAsia="Arial" w:hAnsi="Arial"/>
                <w:sz w:val="18"/>
                <w:szCs w:val="18"/>
                <w:color w:val="auto"/>
                <w:w w:val="92"/>
              </w:rPr>
              <w:t>IND submitted March 2015. A phase 2a trial in moderate to</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5"/>
              </w:rPr>
              <w:t>severe plaque psoriasis patients began in January 2016.</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0"/>
              </w:rPr>
              <w:t>Interim data on the first four patients were positive and were</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1"/>
              </w:rPr>
              <w:t>reported in May 2016. Further positive data was reported in</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6"/>
              </w:rPr>
              <w:t>September 2016. Investigator initiated IND submitted for</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6"/>
              </w:rPr>
              <w:t>treatment of three patients with severe atopic dermatitis,</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3"/>
              </w:rPr>
              <w:t>with positive preliminary data presented in February 2017.</w:t>
            </w: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0"/>
              </w:rPr>
              <w:t>Further studies are dependent on finding a suitable strategic</w:t>
            </w:r>
          </w:p>
        </w:tc>
      </w:tr>
      <w:tr>
        <w:trPr>
          <w:trHeight w:val="230"/>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partner.</w:t>
            </w:r>
          </w:p>
        </w:tc>
      </w:tr>
    </w:tbl>
    <w:p>
      <w:pPr>
        <w:spacing w:after="0" w:line="2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Belapectin is our lead product candidate for treatment of fibrotic disease. Our preclinical data show that belapectin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belapectin has been shown to reduce liver fat, inflammation,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is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for patients with NASH and advanced fibrosis, explored use of three non-invasive</w:t>
      </w:r>
      <w:r>
        <w:rPr>
          <w:rFonts w:ascii="Arial" w:cs="Arial" w:eastAsia="Arial" w:hAnsi="Arial"/>
          <w:sz w:val="16"/>
          <w:szCs w:val="16"/>
          <w:b w:val="1"/>
          <w:bCs w:val="1"/>
          <w:color w:val="auto"/>
        </w:rPr>
        <w:t xml:space="preserve"> </w:t>
      </w:r>
      <w:r>
        <w:rPr>
          <w:rFonts w:ascii="Arial" w:cs="Arial" w:eastAsia="Arial" w:hAnsi="Arial"/>
          <w:sz w:val="16"/>
          <w:szCs w:val="16"/>
          <w:color w:val="auto"/>
        </w:rPr>
        <w:t>imaging technologies, was completed.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3"/>
          <w:szCs w:val="23"/>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189"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3"/>
          <w:szCs w:val="23"/>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3"/>
          <w:szCs w:val="23"/>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pacing w:after="0" w:line="182"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that can be fatal, we believe the prevention of esophageal varices may represent a clinically relevant measure of clinical efficacy in patients with NASH cirrhosis.</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major conclusions from the NASH-CX trial results are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Building on the experience of the NASH-CX trial, the NASH-RX Trial is a seamless adaptively-designed Phase 2b/3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We believe that these adaptations taken together are innovative and optimize conduct of the NASH-RX trial with a relevant primary outcome giving belapectin the best opportunity to show a positive therapeutic effect to address an unmet medical need. If the results of the NASH-RX trial are compelling, there could be the potential for accelerated FDA approval and/or partnership opportunity with a pharmaceutical company.</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expect enrollment in the Phase 2(b) portion of the trial to be require 12-14 months and enrollment began in June 2020. This remains subject to potential site delays due to the impact of the global COVID-19 pandemic.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CRO has identified more than 125 clinical trial sites in 11 countries interested in the trial.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NASH-RX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The Company also has commenced a Hepatic Impairment Study, which will run in parallel with the phase 2b/3 trial as part of the Phase 3 development program. The Hepatic Impairment Study will be conducted at up to four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and safety. Based on the results from this hepatic impairment study, the Company may consider including patients with more advanced cirrhosis in the Phase 3 portion of its NASH-RX trial. Until dosing and safety profile is further informed in CTP Class B and/or Class C patients, the NASH-RX trial will enroll only CTP Class A patients. Further details on this hepatic impairment study can be found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study NCT04332432.</w:t>
      </w:r>
    </w:p>
    <w:p>
      <w:pPr>
        <w:sectPr>
          <w:pgSz w:w="11900" w:h="16838" w:orient="portrait"/>
          <w:cols w:equalWidth="0" w:num="1">
            <w:col w:w="11120"/>
          </w:cols>
          <w:pgMar w:left="320" w:top="486"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86"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7" w:lineRule="exact"/>
        <w:rPr>
          <w:sz w:val="20"/>
          <w:szCs w:val="20"/>
          <w:color w:val="auto"/>
        </w:rPr>
      </w:pPr>
    </w:p>
    <w:p>
      <w:pPr>
        <w:ind w:left="120" w:right="140" w:firstLine="440"/>
        <w:spacing w:after="0" w:line="251" w:lineRule="auto"/>
        <w:rPr>
          <w:sz w:val="20"/>
          <w:szCs w:val="20"/>
          <w:color w:val="auto"/>
        </w:rPr>
      </w:pPr>
      <w:r>
        <w:rPr>
          <w:rFonts w:ascii="Arial" w:cs="Arial" w:eastAsia="Arial" w:hAnsi="Arial"/>
          <w:sz w:val="17"/>
          <w:szCs w:val="17"/>
          <w:color w:val="auto"/>
        </w:rPr>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belapectin with different types of immune modulators, providing a case for progressing studies into human patients with cancer. Seven patients were treated in the belapectin trial in combination with ipilimumab (Yervoy</w:t>
      </w:r>
      <w:r>
        <w:rPr>
          <w:rFonts w:ascii="Arial" w:cs="Arial" w:eastAsia="Arial" w:hAnsi="Arial"/>
          <w:sz w:val="25"/>
          <w:szCs w:val="25"/>
          <w:color w:val="auto"/>
          <w:vertAlign w:val="superscript"/>
        </w:rPr>
        <w:t>®</w:t>
      </w:r>
      <w:r>
        <w:rPr>
          <w:rFonts w:ascii="Arial" w:cs="Arial" w:eastAsia="Arial" w:hAnsi="Arial"/>
          <w:sz w:val="17"/>
          <w:szCs w:val="17"/>
          <w:color w:val="auto"/>
        </w:rPr>
        <w:t>), with no safety concerns in these low dose cohorts. Due to changes in the standard of care for metastatic melanoma (i.e., approval of anti-PD-1), recruitment has been slowed significantly in this trial.</w:t>
      </w:r>
    </w:p>
    <w:p>
      <w:pPr>
        <w:spacing w:after="0" w:line="169" w:lineRule="exact"/>
        <w:rPr>
          <w:sz w:val="20"/>
          <w:szCs w:val="20"/>
          <w:color w:val="auto"/>
        </w:rPr>
      </w:pPr>
    </w:p>
    <w:p>
      <w:pPr>
        <w:ind w:left="120" w:firstLine="440"/>
        <w:spacing w:after="0" w:line="279" w:lineRule="auto"/>
        <w:rPr>
          <w:sz w:val="20"/>
          <w:szCs w:val="20"/>
          <w:color w:val="auto"/>
        </w:rPr>
      </w:pPr>
      <w:r>
        <w:rPr>
          <w:rFonts w:ascii="Arial" w:cs="Arial" w:eastAsia="Arial" w:hAnsi="Arial"/>
          <w:sz w:val="16"/>
          <w:szCs w:val="16"/>
          <w:color w:val="auto"/>
        </w:rPr>
        <w:t>Promising results were reported in the Phase 1b trial combining belapectin with pembrolizumab (KEYTRUDA</w:t>
      </w:r>
      <w:r>
        <w:rPr>
          <w:rFonts w:ascii="Arial" w:cs="Arial" w:eastAsia="Arial" w:hAnsi="Arial"/>
          <w:sz w:val="23"/>
          <w:szCs w:val="23"/>
          <w:color w:val="auto"/>
          <w:vertAlign w:val="superscript"/>
        </w:rPr>
        <w:t>®</w:t>
      </w:r>
      <w:r>
        <w:rPr>
          <w:rFonts w:ascii="Arial" w:cs="Arial" w:eastAsia="Arial" w:hAnsi="Arial"/>
          <w:sz w:val="16"/>
          <w:szCs w:val="16"/>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belapectin dosing as long as pembrolizumab is administered. Currently more than 40% of the patients in the expansion cohort have been enrolled and further information will be reported as it becomes available. Assuming these additional data are positive, the next logical step could be a Phase II trial.</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belapectin, a clinical effect on plaque psoriasis was observed in a NASH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This serendipitous finding, combined with galectin-3 protein being markedly upregulated in the capillary epithelia (small blood vessels) of the psoriatic dermis (plaque lesions), led to a phase 2a trial in patients with moderate to severe plaque psoriasis. Belapectin inhibition of galectin-3 may attenuate capillary changes in the psoriatic dermis and inflammatory cell recruitment, perhaps explaining the improvements observed in the NASH fibrosis trial patient. In this open-label, unblinded trial (no placebo, all patients knowingly receive active drug), 5 patients with moderate to severe plaque psoriasis were administered belapectin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belapectin, the next steps would entail a controlled, does-ranging clinical trial which we do not expect to conduct absent a strategic partnership.</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believe the mechanism of action for belapectin is based upon interaction with, and inhibition of, galectin proteins, particularly galectin-3, which are expressed at high levels in certain pathological states including inflammation, fibrosis and cancer. While belapectin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86"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Six Months Ended June 30, 2020 Compared to Three and Six Months Ended June 30,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Six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color w:val="auto"/>
                <w:w w:val="96"/>
              </w:rPr>
              <w:t>2020 as Compared to 2019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color w:val="auto"/>
              </w:rPr>
              <w:t>Six Months</w:t>
            </w:r>
          </w:p>
        </w:tc>
        <w:tc>
          <w:tcPr>
            <w:tcW w:w="22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2020</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2020</w:t>
            </w:r>
          </w:p>
        </w:tc>
        <w:tc>
          <w:tcPr>
            <w:tcW w:w="6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88"/>
              </w:rPr>
              <w:t>% Change</w:t>
            </w:r>
          </w:p>
        </w:tc>
        <w:tc>
          <w:tcPr>
            <w:tcW w:w="22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4"/>
          </w:tcPr>
          <w:p>
            <w:pPr>
              <w:ind w:left="200"/>
              <w:spacing w:after="0" w:line="142" w:lineRule="exact"/>
              <w:rPr>
                <w:sz w:val="20"/>
                <w:szCs w:val="20"/>
                <w:color w:val="auto"/>
              </w:rPr>
            </w:pPr>
            <w:r>
              <w:rPr>
                <w:rFonts w:ascii="Arial" w:cs="Arial" w:eastAsia="Arial" w:hAnsi="Arial"/>
                <w:sz w:val="14"/>
                <w:szCs w:val="14"/>
                <w:color w:val="auto"/>
                <w:w w:val="94"/>
              </w:rPr>
              <w:t>(In thousands, except %)</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$ 4,681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$ 1,522</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$ 6,825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$ 2,168</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$ 3,159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$ 4,657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bl>
    <w:p>
      <w:pPr>
        <w:spacing w:after="0" w:line="20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color w:val="auto"/>
              </w:rPr>
              <w:t>Six Months Ended</w:t>
            </w:r>
          </w:p>
        </w:tc>
      </w:tr>
      <w:tr>
        <w:trPr>
          <w:trHeight w:val="167"/>
        </w:trPr>
        <w:tc>
          <w:tcPr>
            <w:tcW w:w="5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96"/>
              </w:rPr>
              <w:t>2019</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9"/>
              </w:rPr>
              <w:t>2019</w:t>
            </w:r>
          </w:p>
        </w:tc>
        <w:tc>
          <w:tcPr>
            <w:tcW w:w="4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right"/>
              <w:ind w:right="68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660" w:type="dxa"/>
            <w:vAlign w:val="bottom"/>
            <w:gridSpan w:val="3"/>
          </w:tcPr>
          <w:p>
            <w:pPr>
              <w:jc w:val="right"/>
              <w:ind w:right="340"/>
              <w:spacing w:after="0"/>
              <w:rPr>
                <w:sz w:val="20"/>
                <w:szCs w:val="20"/>
                <w:color w:val="auto"/>
              </w:rPr>
            </w:pPr>
            <w:r>
              <w:rPr>
                <w:rFonts w:ascii="Arial" w:cs="Arial" w:eastAsia="Arial" w:hAnsi="Arial"/>
                <w:sz w:val="18"/>
                <w:szCs w:val="18"/>
                <w:color w:val="auto"/>
              </w:rPr>
              <w:t>$ 3,779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944</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$ 4,798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1,137</w:t>
            </w:r>
          </w:p>
        </w:tc>
      </w:tr>
      <w:tr>
        <w:trPr>
          <w:trHeight w:val="27"/>
        </w:trPr>
        <w:tc>
          <w:tcPr>
            <w:tcW w:w="5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1,522</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$ 6,825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2,168</w:t>
            </w:r>
          </w:p>
        </w:tc>
      </w:tr>
      <w:tr>
        <w:trPr>
          <w:trHeight w:val="20"/>
        </w:trPr>
        <w:tc>
          <w:tcPr>
            <w:tcW w:w="5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Clinical programs expenses increased primarily due to costs related to our NASH-RX trial during the three and six month periods ended June 30,</w:t>
      </w:r>
    </w:p>
    <w:p>
      <w:pPr>
        <w:spacing w:after="0" w:line="46" w:lineRule="exact"/>
        <w:rPr>
          <w:sz w:val="20"/>
          <w:szCs w:val="20"/>
          <w:color w:val="auto"/>
        </w:rPr>
      </w:pPr>
    </w:p>
    <w:p>
      <w:pPr>
        <w:jc w:val="both"/>
        <w:ind w:left="120" w:right="500"/>
        <w:spacing w:after="0" w:line="260" w:lineRule="auto"/>
        <w:rPr>
          <w:sz w:val="20"/>
          <w:szCs w:val="20"/>
          <w:color w:val="auto"/>
        </w:rPr>
      </w:pPr>
      <w:r>
        <w:rPr>
          <w:rFonts w:ascii="Arial" w:cs="Arial" w:eastAsia="Arial" w:hAnsi="Arial"/>
          <w:sz w:val="18"/>
          <w:szCs w:val="18"/>
          <w:color w:val="auto"/>
        </w:rPr>
        <w:t>2020 as compared to the same periods ended June 30, 2019. Other research and development expense increased primarily due to increased payroll related to the hiring of Dr. Pol Boudes as Chief Medical Officer in March 2020.</w:t>
      </w:r>
    </w:p>
    <w:p>
      <w:pPr>
        <w:spacing w:after="0" w:line="18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15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4"/>
              </w:rPr>
              <w:t>Three Months</w:t>
            </w:r>
          </w:p>
        </w:tc>
        <w:tc>
          <w:tcPr>
            <w:tcW w:w="158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8"/>
              </w:rPr>
              <w:t>Six Months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rPr>
              <w:t>2020 as Compared to 2019</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Ended June 30,</w:t>
            </w: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Ended June 30,</w:t>
            </w:r>
          </w:p>
        </w:tc>
        <w:tc>
          <w:tcPr>
            <w:tcW w:w="100" w:type="dxa"/>
            <w:vAlign w:val="bottom"/>
          </w:tcPr>
          <w:p>
            <w:pPr>
              <w:spacing w:after="0"/>
              <w:rPr>
                <w:sz w:val="14"/>
                <w:szCs w:val="14"/>
                <w:color w:val="auto"/>
              </w:rPr>
            </w:pPr>
          </w:p>
        </w:tc>
        <w:tc>
          <w:tcPr>
            <w:tcW w:w="1860" w:type="dxa"/>
            <w:vAlign w:val="bottom"/>
            <w:gridSpan w:val="3"/>
          </w:tcPr>
          <w:p>
            <w:pPr>
              <w:jc w:val="right"/>
              <w:ind w:right="72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ind w:left="44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2020</w:t>
            </w: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2020</w:t>
            </w:r>
          </w:p>
        </w:tc>
        <w:tc>
          <w:tcPr>
            <w:tcW w:w="6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center"/>
              <w:ind w:right="442"/>
              <w:spacing w:after="0" w:line="142" w:lineRule="exact"/>
              <w:rPr>
                <w:sz w:val="20"/>
                <w:szCs w:val="20"/>
                <w:color w:val="auto"/>
              </w:rPr>
            </w:pPr>
            <w:r>
              <w:rPr>
                <w:rFonts w:ascii="Arial" w:cs="Arial" w:eastAsia="Arial" w:hAnsi="Arial"/>
                <w:sz w:val="14"/>
                <w:szCs w:val="14"/>
                <w:color w:val="auto"/>
                <w:w w:val="89"/>
              </w:rPr>
              <w:t>Change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 Change</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4"/>
          </w:tcPr>
          <w:p>
            <w:pPr>
              <w:jc w:val="center"/>
              <w:ind w:left="442"/>
              <w:spacing w:after="0" w:line="142" w:lineRule="exact"/>
              <w:rPr>
                <w:sz w:val="20"/>
                <w:szCs w:val="20"/>
                <w:color w:val="auto"/>
              </w:rPr>
            </w:pPr>
            <w:r>
              <w:rPr>
                <w:rFonts w:ascii="Arial" w:cs="Arial" w:eastAsia="Arial" w:hAnsi="Arial"/>
                <w:sz w:val="14"/>
                <w:szCs w:val="14"/>
                <w:color w:val="auto"/>
                <w:w w:val="92"/>
              </w:rPr>
              <w:t>(In thousands, except %)</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9"/>
              </w:rPr>
              <w:t>$ 1,421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$ 1,498</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9"/>
              </w:rPr>
              <w:t>$ 2,861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$ 3,219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(77)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June 30, 2020 as compared to the same period in 2019 is due to a decrease in non-cash stock compensation expense of approximately $48,000. The primary reasons for the decrease in general and administrative expenses for the six-months ended June 30, 2020 as compared to the same period in 2019 is due to a decrease in non-cash stock compensation expense of approximately $101,000 and a decrease in legal expenses of $264,000 partially offset by an increase in insurance expense of $138,000.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June 30, 2020, we raised a net total of $197.4 million from these offerings. We have operated at a loss since our inception and have had no significant revenues. We anticipate that losses will continue for the foreseeable future. At June 30, 2020, the Company had $40.8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The costs of the trial along with drug manufacturing and scientific support activities and general overhead during the first stage of the Phase 3 trial are currently estimated to be approximately $90 million. We will require additional funding in order to complete the trial. However, there can be no assurance that we will be successful in obtaining such new financing or, if available, that such financing will be on terms favorable to us.</w:t>
      </w:r>
    </w:p>
    <w:p>
      <w:pPr>
        <w:spacing w:after="0" w:line="18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Net cash used in operations increased by $1,361,000 to $6,975,000 for the six months ended June 30, 2020, as compared to $5,614,000 for the six months ended June 30, 2019. Cash operating expenses increased principally due to our NASH-RX clinical trial with belapectin.</w:t>
      </w:r>
    </w:p>
    <w:p>
      <w:pPr>
        <w:spacing w:after="0" w:line="14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Net cash provided by financing activities for the six months ended June 30, 2020, of $263,000 represents proceeds of $219,000 from the exercise of common stock options and $44,000 in net proceeds from issuance of common shares under our ATM. Net cash provided by financing activities for the six months ended June 30, 2019, of $49,404,000 represents proceeds from the issuance of common stock from the stockholder rights offering of $44,889,000, from the ATM of $1,865,000 and $2,650,000 from the exercise of common stock options and warrants.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120" w:right="220" w:firstLine="440"/>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2019 Annual Report on Form 10-K.</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2020, our disclosure controls and procedures were effective.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During the quarter ended June 30, 2020, no change in our internal control over financial reporting has materially affected, or is reasonably likely to materially affect, our internal control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2019, which could materially impact our business, financial condition or future results.</w:t>
      </w:r>
    </w:p>
    <w:p>
      <w:pPr>
        <w:spacing w:after="0" w:line="23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outbreak of the novel strain of coronavirus, SARS-CoV-2, which causes COVID-19, could adversely impact our business, including our preclinical studies and clinical trials.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Public health crises such as pandemics or similar outbreaks could adversely impact our business. In December 2019, a novel strain of coronavirus, SARS-CoV-2, which causes coronavirus disease 2019 (“COVID-19”), surfaced in Wuhan, China. Since then, COVID-19 has spread to multiple countries, including the United States. In response to the spread of COVID-19, we have closed our executive offices with our administrative employees continuing their work outside of our offices, restricted on-site staff to only those required to execute their job responsibilities and limited the number of staff in any given research and development laboratory.</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a result of the COVID-19 outbreak, or similar pandemics, we have and may in the future experience disruptions that could severely impact our business and our anticipated rollout and/or continuation of our Phase 2b/3 NASH-RX trial, including:</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disruptions in non-clinical experiments due to unforeseen circumstances at contract research organizations and vendors along their supply chain;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not accepting in office or home health visits;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sites for our NASH-RX trials and hospital staff supporting the conduct of such trials;</w:t>
      </w:r>
    </w:p>
    <w:p>
      <w:pPr>
        <w:spacing w:after="0" w:line="75" w:lineRule="exact"/>
        <w:rPr>
          <w:rFonts w:ascii="Arial" w:cs="Arial" w:eastAsia="Arial" w:hAnsi="Arial"/>
          <w:sz w:val="18"/>
          <w:szCs w:val="18"/>
          <w:color w:val="auto"/>
        </w:rPr>
      </w:pPr>
    </w:p>
    <w:p>
      <w:pPr>
        <w:jc w:val="both"/>
        <w:ind w:left="1080" w:right="10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which may impact review and approval timelines;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5" w:name="page26"/>
    <w:bookmarkEnd w:id="25"/>
    <w:p>
      <w:pPr>
        <w:spacing w:after="0" w:line="209" w:lineRule="auto"/>
        <w:framePr w:w="1300" w:h="160" w:wrap="auto" w:vAnchor="page" w:hAnchor="page" w:x="400" w:y="4475"/>
        <w:rPr>
          <w:rFonts w:ascii="Arial" w:cs="Arial" w:eastAsia="Arial" w:hAnsi="Arial"/>
          <w:sz w:val="16"/>
          <w:szCs w:val="16"/>
          <w:b w:val="1"/>
          <w:bCs w:val="1"/>
          <w:color w:val="auto"/>
        </w:rPr>
      </w:pPr>
      <w:r>
        <w:rPr>
          <w:rFonts w:ascii="Arial" w:cs="Arial" w:eastAsia="Arial" w:hAnsi="Arial"/>
          <w:sz w:val="16"/>
          <w:szCs w:val="16"/>
          <w:b w:val="1"/>
          <w:bCs w:val="1"/>
          <w:color w:val="auto"/>
        </w:rPr>
        <w:t>Item 6. Exhibits</w:t>
      </w:r>
    </w:p>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rFonts w:ascii="Arial" w:cs="Arial" w:eastAsia="Arial" w:hAnsi="Arial"/>
          <w:sz w:val="16"/>
          <w:szCs w:val="16"/>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rFonts w:ascii="Arial" w:cs="Arial" w:eastAsia="Arial" w:hAnsi="Arial"/>
          <w:sz w:val="16"/>
          <w:szCs w:val="16"/>
          <w:b w:val="1"/>
          <w:bCs w:val="1"/>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rFonts w:ascii="Arial" w:cs="Arial" w:eastAsia="Arial" w:hAnsi="Arial"/>
          <w:sz w:val="16"/>
          <w:szCs w:val="16"/>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rFonts w:ascii="Arial" w:cs="Arial" w:eastAsia="Arial" w:hAnsi="Arial"/>
          <w:sz w:val="16"/>
          <w:szCs w:val="16"/>
          <w:b w:val="1"/>
          <w:bCs w:val="1"/>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rFonts w:ascii="Arial" w:cs="Arial" w:eastAsia="Arial" w:hAnsi="Arial"/>
          <w:sz w:val="16"/>
          <w:szCs w:val="16"/>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rFonts w:ascii="Arial" w:cs="Arial" w:eastAsia="Arial" w:hAnsi="Arial"/>
          <w:sz w:val="16"/>
          <w:szCs w:val="16"/>
          <w:b w:val="1"/>
          <w:bCs w:val="1"/>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6"/>
          <w:szCs w:val="16"/>
          <w:b w:val="1"/>
          <w:bCs w:val="1"/>
          <w:color w:val="auto"/>
        </w:rPr>
      </w:pPr>
    </w:p>
    <w:p>
      <w:pPr>
        <w:jc w:val="center"/>
        <w:ind w:right="888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rFonts w:ascii="Arial" w:cs="Arial" w:eastAsia="Arial" w:hAnsi="Arial"/>
          <w:sz w:val="16"/>
          <w:szCs w:val="16"/>
          <w:b w:val="1"/>
          <w:bCs w:val="1"/>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71" w:lineRule="exact"/>
        <w:rPr>
          <w:rFonts w:ascii="Arial" w:cs="Arial" w:eastAsia="Arial" w:hAnsi="Arial"/>
          <w:sz w:val="16"/>
          <w:szCs w:val="16"/>
          <w:b w:val="1"/>
          <w:bCs w:val="1"/>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80" w:type="dxa"/>
            <w:vAlign w:val="bottom"/>
            <w:gridSpan w:val="2"/>
            <w:vMerge w:val="restart"/>
          </w:tcPr>
          <w:p>
            <w:pPr>
              <w:ind w:left="3780"/>
              <w:spacing w:after="0"/>
              <w:rPr>
                <w:sz w:val="20"/>
                <w:szCs w:val="20"/>
                <w:color w:val="auto"/>
              </w:rPr>
            </w:pPr>
            <w:r>
              <w:rPr>
                <w:rFonts w:ascii="Arial" w:cs="Arial" w:eastAsia="Arial" w:hAnsi="Arial"/>
                <w:sz w:val="14"/>
                <w:szCs w:val="14"/>
                <w:b w:val="1"/>
                <w:bCs w:val="1"/>
                <w:color w:val="auto"/>
              </w:rPr>
              <w:t>Description of Document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9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8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17"/>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9060" w:type="dxa"/>
            <w:vAlign w:val="bottom"/>
            <w:tcBorders>
              <w:top w:val="single" w:sz="8" w:color="auto"/>
            </w:tcBorders>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Pursuant to Rule 13a-14(a) of the Securities Exchange Act of 1934</w:t>
              </w:r>
            </w:hyperlink>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Pursuant to Rule 13a-14(a) of the Securities Exchange Act of 1934</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u w:val="single" w:color="auto"/>
                <w:color w:val="0000EE"/>
                <w:w w:val="96"/>
              </w:rPr>
            </w:pPr>
            <w:hyperlink w:anchor="page30">
              <w:r>
                <w:rPr>
                  <w:rFonts w:ascii="Arial" w:cs="Arial" w:eastAsia="Arial" w:hAnsi="Arial"/>
                  <w:sz w:val="18"/>
                  <w:szCs w:val="18"/>
                  <w:u w:val="single" w:color="auto"/>
                  <w:color w:val="0000EE"/>
                  <w:w w:val="96"/>
                </w:rPr>
                <w:t>Certification Pursuant to 18 U.S.C. Section 1350, as Adopted Pursuant to Section 906 of the Sarbanes-Oxley Act of 2002</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7"/>
              </w:rPr>
              <w:t>32.2**</w:t>
            </w:r>
          </w:p>
        </w:tc>
        <w:tc>
          <w:tcPr>
            <w:tcW w:w="46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18"/>
                <w:szCs w:val="18"/>
                <w:u w:val="single" w:color="auto"/>
                <w:color w:val="0000EE"/>
                <w:w w:val="96"/>
              </w:rPr>
            </w:pPr>
            <w:hyperlink w:anchor="page31">
              <w:r>
                <w:rPr>
                  <w:rFonts w:ascii="Arial" w:cs="Arial" w:eastAsia="Arial" w:hAnsi="Arial"/>
                  <w:sz w:val="18"/>
                  <w:szCs w:val="18"/>
                  <w:u w:val="single" w:color="auto"/>
                  <w:color w:val="0000EE"/>
                  <w:w w:val="96"/>
                </w:rPr>
                <w:t>Certification Pursuant to 18 U.S.C. Section 1350, as Adopted Pursuant to Section 906 of the Sarbanes-Oxley Act of 2002</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280" w:type="dxa"/>
            <w:vAlign w:val="bottom"/>
            <w:gridSpan w:val="2"/>
          </w:tcPr>
          <w:p>
            <w:pPr>
              <w:spacing w:after="0"/>
              <w:rPr>
                <w:sz w:val="20"/>
                <w:szCs w:val="20"/>
                <w:color w:val="auto"/>
              </w:rPr>
            </w:pPr>
            <w:r>
              <w:rPr>
                <w:rFonts w:ascii="Arial" w:cs="Arial" w:eastAsia="Arial" w:hAnsi="Arial"/>
                <w:sz w:val="18"/>
                <w:szCs w:val="18"/>
                <w:color w:val="auto"/>
                <w:w w:val="96"/>
              </w:rPr>
              <w:t>XBRL Instance Document the instance document does not appear in the Interactive Data File because its XBRL tags are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28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6"/>
              </w:rPr>
              <w:t>Cover Page Interactive Data File (the cover page XBRL tags are embedded in the Inline XBRL document and included in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40" w:right="2280" w:hanging="5424"/>
        <w:spacing w:after="0" w:line="433"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26</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10,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Harold H. Shlevin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Harold H. Shlevin, Ph.D.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320" w:top="486" w:right="7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10,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 Shlevin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Harold H. Shlevin, Ph.D.</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10,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2020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10,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 Shlevin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Harold H. Shlevin, Ph.D.</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2020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10,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2020-08-10T06:53:24Z</dcterms:created>
  <dcterms:modified xsi:type="dcterms:W3CDTF">2020-08-10T06:53:24Z</dcterms:modified>
</cp:coreProperties>
</file>