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9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15"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8" w:right="5160" w:firstLine="8"/>
        <w:spacing w:after="0" w:line="270"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3"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Rules 14a-6(i)(1) and 0-11.</w:t>
      </w:r>
    </w:p>
    <w:p>
      <w:pPr>
        <w:spacing w:after="0" w:line="90"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52" w:right="620" w:hanging="452"/>
        <w:spacing w:after="0" w:line="332"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-3418840</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-3075305</wp:posOffset>
            </wp:positionV>
            <wp:extent cx="6817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-2595245</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-2252345</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-1909445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-923290</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-579755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-236855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105410</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17, 2005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 invite you to the 2006 Annual Meeting of Stockholders of Pro-Pharmaceuticals, Inc. The meeting will be held at 10:00 a.m. on Thursday, May 25, 2006, at the Sheraton Needham Hotel, 100 Cabot Street, Needham, Massachusetts.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our 2006 Annual Meeting of Stockholders, and the Proxy Statement, which describes the matters to be considered at the Annual Meeting. We have also enclosed your proxy card and our Annual Report on Form 10-K for the year ended December 31, 2005.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Meeting is an excellent opportunity to learn more about Pro-Pharmaceuticals’ business and operations, and we hope you will be able to attend.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P</w:t>
      </w:r>
      <w:r>
        <w:rPr>
          <w:rFonts w:ascii="Arial" w:cs="Arial" w:eastAsia="Arial" w:hAnsi="Arial"/>
          <w:sz w:val="13"/>
          <w:szCs w:val="13"/>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60"/>
          </w:cols>
          <w:pgMar w:left="240" w:top="26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2006 ANNUAL MEETING OF STOCKHOLDERS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25, 2006 at 10:00 a.m., local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780" w:right="16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act upon a proposal, presented to our stockholders in accordance with American Stock Exchange rules, to approve our issuing shares of common stock underlying our 7% Convertible Debentures and related common stock purchase warrants sold on February 14, 2006 that equal or exceed 20% of the number of shares of our common stock outstanding as of such date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elect eight members of the Board of Directors to one-year terms</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 proposal to ratify the appointment of Deloitte &amp; Touche LLP as our independent registered public accounting firm to audit the financial statements for our 2006 fiscal year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17, 2006</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April 17, 2005</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2006 ANNUAL MEETING OF STOCKHOLDERS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25, 2006, 10 a.m. local time,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2006 Annual Meeting of Stockholders. The Annual Meeting will be held at 10:00 a.m. on Thursday, May 25, 2006 at the Sheraton Needham Hotel, 100 Cabot Street, Needham, Massachusetts 02494, for the purposes set forth in the accompanying Notice of Annual Meeting. We intend to mail this Proxy Statement and the accompanying Notice of Annual Meeting on or about April 19, 2006, to all stockholders entitled to vote at the Annual Meeting.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At the Annual Meeting the stockholders will consider and act upon a proposal for (1) approval, which is presented to you in accordance with American Stock Exchange rules, of our issuing shares of common stock underlying our 7% Convertible Debentures and related common stock purchase warrants sold on February 14, 2006 that equal or exceed 20% of the number of shares of our common stock outstanding as of such date; (2) the election of eight directors to one-year terms; and (3) the ratification of the appointment of Deloitte &amp; Touche LLP as our independent registered public accounting firm to audit our financial statements for our 2006 fiscal year. The Board of Directors knows of no other business to be presented for consideration at the Annual Meeting. Each proposal is described in more detail in this Proxy Statement.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urge you to sign the enclosed proxy card and return it promptly in the return envelope by following the instructions on the proxy card (both enclosed with these materials). Proxies will be voted as directed. Any proxy card returned without directions given will be voted “FOR” each of the proposals contained in this Proxy Statement and, as to any other business that may come before the Annual Meeting, in accordance with the judgment of the person or persons named in the proxy. You may revoke your proxy at any time before the Annual Meeting by sending a notice of revocation to Pro-Pharmaceuticals, Inc. at 189 Wells Avenue, Newton, Massachusetts 02459, Attention: Vice President, Investor Relations. You may also revoke it by submitting a more recently dated proxy to us before the Annual Meeting, or by attending the meeting and voting in person.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Entitled to Vote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Only holders of record of our common stock at the close of business on April 12, 2006 will be entitled to notice of the Annual Meeting and to vote at the meeting. At the close of business on March 15, 2006, 27,315,411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1" w:right="279" w:bottom="1440" w:gutter="0" w:footer="0" w:header="0"/>
        </w:sectPr>
      </w:pPr>
    </w:p>
    <w:bookmarkStart w:id="4" w:name="page5"/>
    <w:bookmarkEnd w:id="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our common stock were outstanding and entitled to vote. Each holder of record of common stock on April 12, 2006 is entitled to one vote for each share held on all matters to be voted on at the Annual Meeting. There is no cumulative voting for the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Holders of at least one third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such shares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 majority of the shares of stockholders present in person or by proxy and voted in favor is required for each of the other matters to be considered at the Annual Meeting. Neither abstentions nor broker non-votes will have any effect on the outcome of the votes on these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beneficial ownership of our common stock, as of March 15, 2006, by (1) each stockholder known to us to be the beneficial owner of more than 5% of our outstanding shares of common stock, (2) each of the executive officers whose names appear in the summary compensation table as well as (3) each current director and (4) our executive officers and directors as a group.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2"/>
                <w:szCs w:val="22"/>
                <w:b w:val="1"/>
                <w:bCs w:val="1"/>
                <w:color w:val="auto"/>
                <w:vertAlign w:val="superscript"/>
              </w:rPr>
              <w:t>(1)</w:t>
            </w:r>
          </w:p>
        </w:tc>
        <w:tc>
          <w:tcPr>
            <w:tcW w:w="10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3"/>
              </w:rPr>
              <w:t>Shares of Common Stock</w:t>
            </w: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vMerge w:val="continue"/>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Borders>
              <w:bottom w:val="single" w:sz="8" w:color="auto"/>
            </w:tcBorders>
          </w:tcPr>
          <w:p>
            <w:pPr>
              <w:jc w:val="right"/>
              <w:ind w:right="27"/>
              <w:spacing w:after="0" w:line="176" w:lineRule="exact"/>
              <w:rPr>
                <w:sz w:val="20"/>
                <w:szCs w:val="20"/>
                <w:color w:val="auto"/>
              </w:rPr>
            </w:pPr>
            <w:r>
              <w:rPr>
                <w:rFonts w:ascii="Arial" w:cs="Arial" w:eastAsia="Arial" w:hAnsi="Arial"/>
                <w:sz w:val="13"/>
                <w:szCs w:val="13"/>
                <w:b w:val="1"/>
                <w:bCs w:val="1"/>
                <w:color w:val="auto"/>
                <w:w w:val="96"/>
              </w:rPr>
              <w:t xml:space="preserve">Beneficially Owned </w:t>
            </w:r>
            <w:r>
              <w:rPr>
                <w:rFonts w:ascii="Arial" w:cs="Arial" w:eastAsia="Arial" w:hAnsi="Arial"/>
                <w:sz w:val="20"/>
                <w:szCs w:val="20"/>
                <w:b w:val="1"/>
                <w:bCs w:val="1"/>
                <w:color w:val="auto"/>
                <w:w w:val="96"/>
                <w:vertAlign w:val="superscript"/>
              </w:rPr>
              <w:t>(2)</w:t>
            </w:r>
          </w:p>
        </w:tc>
        <w:tc>
          <w:tcPr>
            <w:tcW w:w="1000" w:type="dxa"/>
            <w:vAlign w:val="bottom"/>
          </w:tcPr>
          <w:p>
            <w:pPr>
              <w:spacing w:after="0"/>
              <w:rPr>
                <w:sz w:val="17"/>
                <w:szCs w:val="17"/>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w w:val="99"/>
              </w:rPr>
              <w:t>of Class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140" w:type="dxa"/>
            <w:vAlign w:val="bottom"/>
          </w:tcPr>
          <w:p>
            <w:pPr>
              <w:spacing w:after="0" w:line="194"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102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4,539,247</w:t>
            </w:r>
          </w:p>
        </w:tc>
        <w:tc>
          <w:tcPr>
            <w:tcW w:w="1000" w:type="dxa"/>
            <w:vAlign w:val="bottom"/>
          </w:tcPr>
          <w:p>
            <w:pPr>
              <w:spacing w:after="0"/>
              <w:rPr>
                <w:sz w:val="16"/>
                <w:szCs w:val="16"/>
                <w:color w:val="auto"/>
              </w:rPr>
            </w:pPr>
          </w:p>
        </w:tc>
        <w:tc>
          <w:tcPr>
            <w:tcW w:w="8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4,738,668</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128,708</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39,346</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Burton C. Firtel </w:t>
            </w:r>
            <w:r>
              <w:rPr>
                <w:rFonts w:ascii="Arial" w:cs="Arial" w:eastAsia="Arial" w:hAnsi="Arial"/>
                <w:sz w:val="22"/>
                <w:szCs w:val="22"/>
                <w:color w:val="auto"/>
                <w:vertAlign w:val="superscript"/>
              </w:rPr>
              <w:t>(7)</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402,000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(9)</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175,344</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David H. Smith </w:t>
            </w:r>
            <w:r>
              <w:rPr>
                <w:rFonts w:ascii="Arial" w:cs="Arial" w:eastAsia="Arial" w:hAnsi="Arial"/>
                <w:sz w:val="22"/>
                <w:szCs w:val="22"/>
                <w:color w:val="auto"/>
                <w:vertAlign w:val="superscript"/>
              </w:rPr>
              <w:t>(10)</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287,000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Maureen E. Foley </w:t>
            </w:r>
            <w:r>
              <w:rPr>
                <w:rFonts w:ascii="Arial" w:cs="Arial" w:eastAsia="Arial" w:hAnsi="Arial"/>
                <w:sz w:val="22"/>
                <w:szCs w:val="22"/>
                <w:color w:val="auto"/>
                <w:vertAlign w:val="superscript"/>
              </w:rPr>
              <w:t>(11)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Carl L. Lueders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line="217" w:lineRule="exact"/>
              <w:rPr>
                <w:sz w:val="20"/>
                <w:szCs w:val="20"/>
                <w:color w:val="auto"/>
              </w:rPr>
            </w:pPr>
            <w:r>
              <w:rPr>
                <w:rFonts w:ascii="Arial" w:cs="Arial" w:eastAsia="Arial" w:hAnsi="Arial"/>
                <w:sz w:val="18"/>
                <w:szCs w:val="18"/>
                <w:color w:val="auto"/>
              </w:rPr>
              <w:t xml:space="preserve">Eliezer Zomer </w:t>
            </w:r>
            <w:r>
              <w:rPr>
                <w:rFonts w:ascii="Arial" w:cs="Arial" w:eastAsia="Arial" w:hAnsi="Arial"/>
                <w:sz w:val="22"/>
                <w:szCs w:val="22"/>
                <w:color w:val="auto"/>
                <w:vertAlign w:val="superscript"/>
              </w:rPr>
              <w:t>(8)</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570,000</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All executive officers and directors as a group (10 persons)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7,012,645</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189 Wells Avenue, Newton, MA 02459.</w:t>
      </w:r>
    </w:p>
    <w:p>
      <w:pPr>
        <w:spacing w:after="0" w:line="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March 15, 2006, are deemed outstanding. Such shares, however, are not deemed outstanding for the purposes of computing the percentage ownership of any other person. This table has been prepared based on 27,315,411 shares of common stock outstanding as of March 15, 2006.</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7,379 shares owned by Dr. Platt’s wife as to which Dr. Platt disclaims beneficial ownership.</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36,400 shares owned by children of Mr. Czirr as to which Mr. Czirr disclaims beneficial ownership.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75,854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26,500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273,000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16,000 shares issuable upon the exercise of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123,500 shares issuable upon the exercise of stock options. Also includes 100,000 shares owned by a limited liability company of which</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Smith is a member and the manager. Mr. Smith disclaims beneficial ownership of such securities except to the extent of his pecuniary interest therein.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795,000 shares issuable upon the exercise of stock options.</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are not aware of any arrangements which may result in “changes in control” as that term is used in Item 403(c) of Regulation S-K.</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TO APPROVE OUR ISSUING SHARES OF COMMON STOCK UNDERLYING THE 7% CONVERTIBLE DEBENTURES AND COMMON STOCK PURCHASE WARRANTS WE SOLD ON FEBRUARY 14, 2006 THAT EQUAL OR EXCEED 20% OF THE NUMBER OF OUTSTANDING SHARES ON SUCH DATE</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February 14, 2006, we issued and sold an aggregate $10 million original principal amount of 7% Convertible Debentures due February 14, 2008 (the “Debentures”) and warrants exercisable to purchase approximately 1.5 million shares of our common stock (the “Warrants”). The holders of the Debentures and Warrants contractually require us to submit to our stockholders a proposal to approve issuances of shares of our common stock, whether on conversion or redemption of, or payable as interest on, the Debentures, or on exercise of the Warrants (all of such shares referred to as the “Underlying Shares”), that would exceed of 19.99% of the number of our shares (the “Issuable Maximum”) that were outstanding on February 14, 2006 (such approval to issue shares in excess of the Issuable Maximum referred to as “Shareholder Approval”). We have written agreements of holders of at least 40% of our outstanding shares of common stock to vote in favor of this proposal.</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basis for such holders’ requirement that we seek Shareholder Approval derives from a rule of the American Stock Exchange (the exchange on which our common stock is listed for trading) that, in general, requires that shareholder approval be obtained as a prerequisite to the exchange’s approval of an application to list additional shares to be issued in connection with a transaction in which the number of shares of common stock that are or may be sold at a price less than the greater of book or market value would equal or exceed 20% or more of the shares outstanding as of a certain date. We have submitted an additional listing application with the American Stock Exchange to list the Underlying Shares.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price per share, and, accordingly, the number of Underlying Shares that we issue in connection with a conversion or redemption, or as interest on, the Debentures, or upon exercise of the Warrants, will depend on the future prices of our common stock on the American Stock Exchange, which may fluctuate. Redemptions and interest paid in shares must be paid at a price equal to the lesser of the then conversion price or 90% of the average of the 5 lowest VWAPs (volume weighted average price) for the 20 consecutive trading days prior to the redemption payment. Moreover, the conversion price of the Debentures and the exercise price of the Warrants are each subject to “full ratchet” reduction if we issue and sell common stock or common stock equivalents at a price lower than the then market price (known as a dilutive issuance). Although the American Stock Exchange rules permit us to issue an amount of shares up to the Issuable Maximum without Shareholder Approval, we cannot be certain at this time that the number of Underlying Shares that we ultimately issue to meet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under the Debentures and Warrants will not exceed the Issuable Maximum. Without Shareholder Approval, redemptions of and interest payments on the Debentures must be paid in cash after the Issuable Maximum is reached. We desire to retain the discretion, in order to conserve cash to support our business operations, to meet our obligations under the Debentures with payments in stock rather than cash.</w:t>
      </w:r>
    </w:p>
    <w:p>
      <w:pPr>
        <w:spacing w:after="0" w:line="13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approval of the issuance of shares of common stock underlying the Debentures and Warrants in excess of the Issuable Maximum.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Nominating and Corporate Governance Committee of our Board of Directors has nominated seven members of our Board of Directors to be re-elected, and one new member (Henry J. Esber, Ph.D.) to be elected, at the Annual Meeting to serve one-year terms until the 2007 annual meeting of stockholders and until their respective successors are elected and shall qualify. Each nominee has agreed to serve if elected. Votes that are withheld will be counted in determining the presence of a quorum, but will have no effect on the vote. Dr. Esber has consented to be named in this Proxy Statement and to serve on the Board of Directors if elected.</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15, 2006, including their ages, positions with Pro-Pharmaceuticals, recent employment and other directorships.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of the following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Age as of 3/15/06</w:t>
            </w:r>
          </w:p>
        </w:tc>
        <w:tc>
          <w:tcPr>
            <w:tcW w:w="740" w:type="dxa"/>
            <w:vAlign w:val="bottom"/>
          </w:tcPr>
          <w:p>
            <w:pPr>
              <w:spacing w:after="0"/>
              <w:rPr>
                <w:sz w:val="15"/>
                <w:szCs w:val="15"/>
                <w:color w:val="auto"/>
              </w:rPr>
            </w:pPr>
          </w:p>
        </w:tc>
        <w:tc>
          <w:tcPr>
            <w:tcW w:w="48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rPr>
              <w:t>David Platt, Ph.D.</w:t>
            </w:r>
          </w:p>
        </w:tc>
        <w:tc>
          <w:tcPr>
            <w:tcW w:w="7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5540" w:type="dxa"/>
            <w:vAlign w:val="bottom"/>
            <w:gridSpan w:val="2"/>
          </w:tcPr>
          <w:p>
            <w:pPr>
              <w:ind w:left="740"/>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Mildred S. Christian, Ph.D.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Dale H. Conaway, D.V.M.</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Henry J. Esber, Ph.D.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Burton C. Firtel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Steven Prelack</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Jerald K. Rome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David H. Smith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54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Dr. Platt has served as Chairman, President, Chief Executive Officer and a director since May 2001. From 1992 to 2000, he was Chairman and Chief Executive Officer of SafeScience, Inc. (now known as GlycoGenesys, Inc.; formerly Nasdaq SmallCap: GLGS), a biotechnology company then engaged in research and development of products for treating cancer and immune system diseases. From 1991 to 1992, Dr. Platt was a research scientist with the Department of Internal Medicine at the University of Michigan, Ann Arbor, and from 1988 to 1990 was a research fellow at Wayne State University and the Michigan Cancer Foundation in Detroit (re-named Barbara Ann Karmanos Cancer Institute). Previously, he was a research fellow in the Weizmann Institute of Science, Rehovot, Israel. Dr. Platt received a Ph.D. in chemistry from Hebrew University in Jerusalem and earned an M.S. and a B.S. degree from Hebrew University. He also earned a Bachelor of Engineering degree from Technion in Haifa, Israel. Dr. Platt has published peer review articles and holds many patents, primarily in the field of carbohydrate chemistry.</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Dr. Christian has served as a director since October 2002. She is President of Argus International, Inc., a provider of consulting services in regulatory affairs, and Chairman and Chief Executive Officer of Argus Health Products, LLC, which develops and internationally distributes preventive and maintenance health care products for health care professionals and the over-the-counter market. Until 2002, she was Executive Director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Research of Argus and Redfield Laboratories, both divisions of Charles River Laboratories.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 including current service as Councilor of the European Teratology Society and Secretary/Treasurer of the Academy of Toxicological Sciences, and was past president of the Teratology Society, the American College of Toxicology, and the Academy of Toxicological Sciences. She is an honorary member of the Society of Quality Assurance and founding editor of the </w:t>
      </w:r>
      <w:r>
        <w:rPr>
          <w:rFonts w:ascii="Arial" w:cs="Arial" w:eastAsia="Arial" w:hAnsi="Arial"/>
          <w:sz w:val="16"/>
          <w:szCs w:val="16"/>
          <w:i w:val="1"/>
          <w:iCs w:val="1"/>
          <w:color w:val="auto"/>
        </w:rPr>
        <w:t>Journal of Toxicological Sciences</w:t>
      </w:r>
      <w:r>
        <w:rPr>
          <w:rFonts w:ascii="Arial" w:cs="Arial" w:eastAsia="Arial" w:hAnsi="Arial"/>
          <w:sz w:val="16"/>
          <w:szCs w:val="16"/>
          <w:color w:val="auto"/>
        </w:rPr>
        <w:t>. She has edited or contributed to several major textbooks and is the author of over 120 papers and abstracts published in U.S. and international journals. Dr. Christian earned her Ph.D. from Thomas Jefferson University in developmental anatomy and pharmacology, and her B.S. and M.S. degrees in zoology from Pennsylvania State University.</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Dr. Conaway has served as a director since May 2001. He is the Deputy Regional Director (Southern Region) and Chief Veterinary Medical Officer for the Office of Research Oversight, an office within the Veterans Health Administration under the U.S. Department of Veterans Affairs. From 1998 to 2001, he served as Manager of the Equine Drug Testing and Animal Disease Surveillance Laboratories for the Michigan Department of Agriculture. From 1994 to 1998 he was Regulatory Affairs Manager for the Michigan Department of Public Health Vaccine Production Division. Dr. Conaway received B.S. and D.V.M. degrees from Tuskegee Institute and an M.S. degree in pathology from the College of Veterinary Medicine at Michigan State University.</w:t>
      </w:r>
    </w:p>
    <w:p>
      <w:pPr>
        <w:spacing w:after="0" w:line="1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Dr. Esber is the principal at Esber D &amp; D Consulting. From 2001 to 2004 he served as Executive Director and then Senior Consultant Business Development at Charles River Laboratories Discovery and Development Services. He is the co-founder of BioSignature Diagnostics, Inc. and Advanced Drug Delivery, Inc. He also serves on the Scientific Advisory Boards of several biotechnology companies and is the author of more than 130 technical publications. Dr. Esber has more than 25 years of experience in the areas of oncology/tumor immunology and immunotherapy as well as strong knowledge in the field of toxicology and regulatory affairs. Dr. Esber received a B.S. degree in biology from the College of William and Mary, an M.S. degree in public health and parasitology from the University of North Carolina, and a Ph.D. in immunology/microbiology from West Virginia University Medical Center.</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Firtel has served as a director since May 2001. He is President of Adco Medical Supplies Inc,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Mr. Prelack has served as a director since April 2003. Since 2001 he has served as Senior Vice President, Chief Financial Officer and Treasurer of VelQuest Corporation, a provider of automated compliance management solutions for the pharmaceutical industry. In this capacity, he oversees business development, financial, administrative and other functions, and has been responsible for VelQuest’s transition from a development-stage company to an operating company. From 1996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Strategic Financial Adviser to Codeco Corporation, a designer and manufacturer of custom resisters and switches, and to OPCAT, Inc., which specializes in OPM, a systems design and architecture platform. Mr. Prelack, a certified public accountant, received a B.B.A. degree from the University of Massachusetts (Amherst) with dual majors in finance and accounting.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Rome has served as a director since March 2004. He has been a private investor from 1996 to the present. Previously, he founded Amberline Pharmaceutical Care Corp., a marketer of non-prescription pharmaceuticals, in 1993 and served as its President from 1993 to 1996. From 1980 to 1990, he served as Chairman, President and Chief Executive Officer of Moore Medical Corp.(formerly AMEX: MMD),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Mr. Smith has served as a director since January 2002. Since 1996, he has been a Founder and Managing Director of venture capital funds, as follows: Interim Advantage Fund, LLC (founded in 1996), Contra V.C., LLC (founded in 1998), Tailwind V.C., LLC (founded in 2000), and Fivex, LLC (founded in 2004). He has had significant business experience in the clinical laboratory industry. He was a co-founder, Vice President and Director of Packard Bioscience, a large publicly-traded manufacturer of analytical instruments that sold to Perkin Elmer in 2002, and Founder and CEO of Canberra Clinical Laboratories, which was sold in 1986 to MetPath, Inc., a subsidiary of Corning, Inc. Mr. Smith received a B.A. degree in political science from Hampden-Sydney College.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and Other Significant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has served as our President and Chief Executive Officer since May 2001. His biography is set forth above.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Carl Lueders has served as our Chief Financial Officer and Treasurer since February 2005. From 2003 to 2005, he served as Chief Financial Officer of R.F. Morse &amp; Son, Inc., an agri-based company. From 2002 to 2003, he was Chief Executive Officer of Brine, Inc., a developer, manufacturer and marketer of sporting goods equipment. From 1979 to 2001, Mr. Lueders held several finance and planning positions at Polaroid Corporation, including Vice President and Controller, Treasurer and Acting Chief Financial Officer. Mr. Lueders, a certified public accountant, received an M.B.A. from Babson College and a B.A. in economics from the University of Massachusetts.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Maureen Foley has served as our Chief Operating Officer since October 2001 and, previously as our Manager of Operations. She also holds the office of Secretary. She has been involved in the start-up of several high tech companies, beginning with Organogenesis, an MIT spin-off developing living tissue for skin graft and organ repair applications. In 1996, Ms. Foley joined Thermo Electron’s Thermo Fibergen division, a paper waste processing developer. In 1999 she joined ArsDigita, a developer of business software and programs, and in 2000 she joined eHealthDirect, a developer of medical records processing software. In these positions she has been responsible for the establishment and administration of business operations including human resources and benefits, accounting, finance and payroll, marketing, product development, facilities management and operations, and project management. She is a Director and Chairman of Tax/Eze, Inc., a tax preparation and financial services company. Ms. Foley is a graduate of The Wyndham School, Boston, Massachusetts, with a major in mechanical engineering. She has completed advanced management courses in project management, budget and planning, tax preparation and human resources.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Eliezer Zomer has served as our Executive Vice President of Manufacturing and Product Development since April 2005 and previously as our Vice President of Manufacturing and Product Development. Prior to joining the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Anatole Klyosov has served as Chief Scientist as a full time employee since January 2006 and previously on a consulting basis. From 1996 to 2005</w:t>
      </w:r>
    </w:p>
    <w:p>
      <w:pPr>
        <w:spacing w:after="0" w:line="38"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Dr. Klyosov was vice president, research and development for Kadant Composites, Inc., a subsidiary of Kadant, Inc., where he directed a laboratory performing work in biochemistry, microbiology, polymer engineering, and other fields in the development of composite polymer-based products. From 1990 to 1998,</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Dr. Klyosov was visiting professor of biochemistry, Center for Biochemical and Biophysical Sciences, Harvard Medical School, and from 1981 to 1990 he was professor and head of the Carbohydrates Research Laboratory at the A.N. Bach Institute of Biochemistry, USSR National Academy of Sciences. Dr. Klyosov was elected as a member of the World Academy of Art and Sciences and is the recipient of several distinguished awards including the USSR National Award in Science and Technology. He has published more than 200 peer-reviewed articles in scientific journals, authored books on enzymes, carbohydrates, and biotechnology, and holds more than 20 patents. Dr. Klyosov has consulted for numerous organizations, including the World Bank and the United Nations Industrial Development Organization, and serves on the editorial boards of scientific journals in the field of biochemistry and biotechnology. Dr. Klyosov earned his Ph.D. and D.Sc. degrees in physical chemistry, and an M.S. degree in enzyme kinetics, from Moscow State University.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or executive officers specified above share any familial relationship.</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year ended December 31, 2005, our Board of Directors held nine meetings. During 2005, the Board had three standing committees: the Compensation Committee, the Audit Committee and the Nominating and Corporate Governance Committee. All of the directors on each committee are “independent” within the meaning of American Stock Exchange listing standards. As required by the stock exchange rules, we held one meeting of the Board attended only by the independent (non-management) directors. During 2005, Dr. Conaway attended fewer than 75% of the combined total number of meetings of the Board and committee(s) on which he serves.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whose members are Mildred Christian (chair) and David Smith, met four times during 2005. The Committee is responsible for reviewing and recommending compensation policies and programs,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 Additional information about the Compensation Committee is provided below under the caption “Report of the Compensation Committee.”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Audit Committee, whose members are Steven Prelack (chair), Dale Conaway and Jerald Rome, met six times during 2005. Its chair met informally from time to time with our management and representatives of our independent registered public accounting firm. The charter of the Audit Committee was filed as an exhibit to our proxy statement for the 2004 annual meeting, and is posted on our website at www.pro-pharmaceuticals.com. The Audit Committee is responsible for oversight of the quality and integrity of the accounting, auditing and reporting practices of Pro-Pharmaceuticals. More specifically, it assists the Board of Directors in fulfilling its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w:t>
      </w:r>
    </w:p>
    <w:p>
      <w:pPr>
        <w:spacing w:after="0" w:line="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Mr. Prelack is an “audit committee financial expert” within the meaning of SEC rules adopted pursuant to the Sarbanes-Oxley Act of 2002. Additional information about the Audit Committee is provided below under the caption “Report of the Audit Committee.”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two times during fiscal 2005. The Committee’s charter is available on our website at www.pro-pharmaceuticals.com.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Securities and Exchange Commission.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Vice President, Investor Relations, Pro-Pharmaceuticals, Inc., 189 Wells Avenue, Newton, Massachusetts 02459. The Committee will evaluate stockholder-recommended candidates in the same manner as candidates recommended by other persons. Further information about stockholder nominations will be provided on our website as it becomes available.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Stockholders may send communications to the Board, the Chairman, or one or more non-management directors by using the contact information provided on our website. Stockholders also may send communications by letter addressed to the Vice President, Investor Relations, Pro-Pharmaceuticals, Inc., 189 Wells Avenue, Newton, Massachusetts 02459, at (617) 559-0033. All communications will be received and reviewed by our Vice President, Investor Relations.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Stockholder concerns about our accounting, internal controls, auditing matters or business practices will be reported to the Audit Committee. All other concerns will be reported to the appropriate committee(s) of the Board.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Four members of the Board attended our 2005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our Chief Executive Officer and each of our four most highly compensated executive officers for the fiscal year ended December 31, 2005 (the “Named Executive Officers”). For the 2005 fiscal year, our Named Executive Officers were David Platt, Carl Lueders, Maureen Foley and Eliezer Zomer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ind w:left="340"/>
              <w:spacing w:after="0"/>
              <w:rPr>
                <w:sz w:val="20"/>
                <w:szCs w:val="20"/>
                <w:color w:val="auto"/>
              </w:rPr>
            </w:pPr>
            <w:r>
              <w:rPr>
                <w:rFonts w:ascii="Arial" w:cs="Arial" w:eastAsia="Arial" w:hAnsi="Arial"/>
                <w:sz w:val="14"/>
                <w:szCs w:val="14"/>
                <w:b w:val="1"/>
                <w:bCs w:val="1"/>
                <w:color w:val="auto"/>
              </w:rPr>
              <w:t>Long-Term Compensation</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440" w:type="dxa"/>
            <w:vAlign w:val="bottom"/>
            <w:tcBorders>
              <w:top w:val="single" w:sz="8" w:color="auto"/>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401K</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Company</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Compen-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Lying</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LTIP</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220" w:type="dxa"/>
            <w:vAlign w:val="bottom"/>
          </w:tcPr>
          <w:p>
            <w:pPr>
              <w:spacing w:after="0"/>
              <w:rPr>
                <w:sz w:val="12"/>
                <w:szCs w:val="12"/>
                <w:color w:val="auto"/>
              </w:rPr>
            </w:pPr>
          </w:p>
        </w:tc>
        <w:tc>
          <w:tcPr>
            <w:tcW w:w="60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auto"/>
              </w:rPr>
              <w:t>Match</w:t>
            </w:r>
          </w:p>
        </w:tc>
        <w:tc>
          <w:tcPr>
            <w:tcW w:w="20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16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SARs (#)</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Platt, President and Chief Executive Officer</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260,000</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220,000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180,000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rPr>
              <w:t>Carl Lueders, Chief Financial</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Officer (2)</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179,675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120,000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18"/>
                <w:szCs w:val="18"/>
                <w:color w:val="auto"/>
                <w:w w:val="89"/>
              </w:rPr>
              <w:t>Eliezer Zomer, Executive Vice President of Manufacturing and</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180,000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220" w:type="dxa"/>
            <w:vAlign w:val="bottom"/>
          </w:tcPr>
          <w:p>
            <w:pPr>
              <w:spacing w:after="0"/>
              <w:rPr>
                <w:sz w:val="23"/>
                <w:szCs w:val="23"/>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Product Development (3)</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150,000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9"/>
              </w:rPr>
              <w:t>2003</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130,000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425,000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34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annual compensation includes health insurance and certain perquisites and other benefits received by the Named Executive Officers. Unless otherwise indicated, the total value of other annual compensation does not exceed the lesser of $50,000 or 10 percent of the Named Executive Officer’s total salary, 401K Company Match and bonus reported in this table.</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Lueders became our Chief Financial Officer in February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Zomer acquired this title in April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 in Last Fiscal Year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all grants of options to acquire shares of Pro-Pharmaceuticals common stock granted to the Named Executive Officers listed in the Summary Compensation Table for the fiscal year ended December 31,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4"/>
                <w:szCs w:val="14"/>
                <w:b w:val="1"/>
                <w:bCs w:val="1"/>
                <w:color w:val="auto"/>
                <w:w w:val="90"/>
              </w:rPr>
              <w:t>Individual Grants</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 of Total</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4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3"/>
              </w:rPr>
              <w:t>Securities</w:t>
            </w:r>
          </w:p>
        </w:tc>
        <w:tc>
          <w:tcPr>
            <w:tcW w:w="15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to Pro-</w:t>
            </w:r>
          </w:p>
        </w:tc>
        <w:tc>
          <w:tcPr>
            <w:tcW w:w="9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Pharmaceuticals</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6"/>
              </w:rPr>
              <w:t>Options</w:t>
            </w:r>
          </w:p>
        </w:tc>
        <w:tc>
          <w:tcPr>
            <w:tcW w:w="15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3"/>
              </w:rPr>
              <w:t>Employees</w:t>
            </w:r>
          </w:p>
        </w:tc>
        <w:tc>
          <w:tcPr>
            <w:tcW w:w="5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9"/>
                <w:szCs w:val="9"/>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Expiration</w:t>
            </w:r>
          </w:p>
        </w:tc>
        <w:tc>
          <w:tcPr>
            <w:tcW w:w="2000" w:type="dxa"/>
            <w:vAlign w:val="bottom"/>
            <w:tcBorders>
              <w:bottom w:val="single" w:sz="8" w:color="auto"/>
            </w:tcBorders>
            <w:gridSpan w:val="3"/>
          </w:tcPr>
          <w:p>
            <w:pPr>
              <w:jc w:val="center"/>
              <w:spacing w:after="0" w:line="88" w:lineRule="exact"/>
              <w:rPr>
                <w:sz w:val="20"/>
                <w:szCs w:val="20"/>
                <w:color w:val="auto"/>
              </w:rPr>
            </w:pPr>
            <w:r>
              <w:rPr>
                <w:rFonts w:ascii="Arial" w:cs="Arial" w:eastAsia="Arial" w:hAnsi="Arial"/>
                <w:sz w:val="10"/>
                <w:szCs w:val="10"/>
                <w:b w:val="1"/>
                <w:bCs w:val="1"/>
                <w:color w:val="auto"/>
              </w:rPr>
              <w:t>Option Term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80" w:type="dxa"/>
            <w:vAlign w:val="bottom"/>
            <w:vMerge w:val="restart"/>
          </w:tcPr>
          <w:p>
            <w:pPr>
              <w:jc w:val="center"/>
              <w:ind w:right="135"/>
              <w:spacing w:after="0" w:line="197" w:lineRule="exact"/>
              <w:rPr>
                <w:sz w:val="20"/>
                <w:szCs w:val="20"/>
                <w:color w:val="auto"/>
              </w:rPr>
            </w:pPr>
            <w:r>
              <w:rPr>
                <w:rFonts w:ascii="Arial" w:cs="Arial" w:eastAsia="Arial" w:hAnsi="Arial"/>
                <w:sz w:val="22"/>
                <w:szCs w:val="22"/>
                <w:b w:val="1"/>
                <w:bCs w:val="1"/>
                <w:color w:val="auto"/>
                <w:vertAlign w:val="subscript"/>
              </w:rPr>
              <w:t>5%</w:t>
            </w:r>
            <w:r>
              <w:rPr>
                <w:rFonts w:ascii="Arial" w:cs="Arial" w:eastAsia="Arial" w:hAnsi="Arial"/>
                <w:sz w:val="10"/>
                <w:szCs w:val="10"/>
                <w:b w:val="1"/>
                <w:bCs w:val="1"/>
                <w:color w:val="auto"/>
              </w:rPr>
              <w:t>(3)</w:t>
            </w:r>
          </w:p>
        </w:tc>
        <w:tc>
          <w:tcPr>
            <w:tcW w:w="1220" w:type="dxa"/>
            <w:vAlign w:val="bottom"/>
            <w:gridSpan w:val="2"/>
            <w:vMerge w:val="restart"/>
          </w:tcPr>
          <w:p>
            <w:pPr>
              <w:jc w:val="center"/>
              <w:ind w:right="180"/>
              <w:spacing w:after="0" w:line="197" w:lineRule="exact"/>
              <w:rPr>
                <w:sz w:val="20"/>
                <w:szCs w:val="20"/>
                <w:color w:val="auto"/>
              </w:rPr>
            </w:pPr>
            <w:r>
              <w:rPr>
                <w:rFonts w:ascii="Arial" w:cs="Arial" w:eastAsia="Arial" w:hAnsi="Arial"/>
                <w:sz w:val="22"/>
                <w:szCs w:val="22"/>
                <w:b w:val="1"/>
                <w:bCs w:val="1"/>
                <w:color w:val="auto"/>
                <w:vertAlign w:val="subscript"/>
              </w:rPr>
              <w:t>10%</w:t>
            </w:r>
            <w:r>
              <w:rPr>
                <w:rFonts w:ascii="Arial" w:cs="Arial" w:eastAsia="Arial" w:hAnsi="Arial"/>
                <w:sz w:val="10"/>
                <w:szCs w:val="10"/>
                <w:b w:val="1"/>
                <w:bCs w:val="1"/>
                <w:color w:val="auto"/>
              </w:rPr>
              <w:t>(3)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Granted</w:t>
            </w: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in Fiscal Year</w:t>
            </w:r>
          </w:p>
        </w:tc>
        <w:tc>
          <w:tcPr>
            <w:tcW w:w="92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9"/>
              </w:rPr>
              <w:t>Share)</w:t>
            </w:r>
            <w:r>
              <w:rPr>
                <w:rFonts w:ascii="Arial" w:cs="Arial" w:eastAsia="Arial" w:hAnsi="Arial"/>
                <w:sz w:val="18"/>
                <w:szCs w:val="18"/>
                <w:b w:val="1"/>
                <w:bCs w:val="1"/>
                <w:color w:val="auto"/>
                <w:w w:val="99"/>
                <w:vertAlign w:val="superscript"/>
              </w:rPr>
              <w:t>(2)</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78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Lueders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150,000</w:t>
            </w:r>
            <w:r>
              <w:rPr>
                <w:rFonts w:ascii="Arial" w:cs="Arial" w:eastAsia="Arial" w:hAnsi="Arial"/>
                <w:sz w:val="11"/>
                <w:szCs w:val="11"/>
                <w:color w:val="auto"/>
                <w:w w:val="99"/>
              </w:rPr>
              <w:t>(1)</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  2.82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266,022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674,153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options vest at the rate of 50,000 shares on February 9, 2006, 2007 and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equals the closing price of our common stock on the grant date, February 11, 2005.</w:t>
      </w:r>
    </w:p>
    <w:p>
      <w:pPr>
        <w:spacing w:after="0" w:line="9"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realizable value assumes that the common stock appreciates at the rate shown (compounded annually) from the grant date until the option expiration date. The assumed rate of appreciation is derived from an SEC regulation and is provided for illustrative purposes. It does not represent our estimate of the rate of price appreciation for our stock, nor the present value of the stock options.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aggregate exercises of options to purchase Pro-Pharmaceuticals’ common stock in the fiscal year ended December 31, 2005 by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8"/>
              </w:rPr>
              <w:t>Acquired</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tcPr>
          <w:p>
            <w:pPr>
              <w:jc w:val="center"/>
              <w:ind w:right="440"/>
              <w:spacing w:after="0" w:line="108" w:lineRule="exact"/>
              <w:rPr>
                <w:sz w:val="20"/>
                <w:szCs w:val="20"/>
                <w:color w:val="auto"/>
              </w:rPr>
            </w:pPr>
            <w:r>
              <w:rPr>
                <w:rFonts w:ascii="Arial" w:cs="Arial" w:eastAsia="Arial" w:hAnsi="Arial"/>
                <w:sz w:val="12"/>
                <w:szCs w:val="12"/>
                <w:b w:val="1"/>
                <w:bCs w:val="1"/>
                <w:color w:val="auto"/>
                <w:w w:val="95"/>
              </w:rPr>
              <w:t>on</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gridSpan w:val="3"/>
          </w:tcPr>
          <w:p>
            <w:pPr>
              <w:jc w:val="center"/>
              <w:spacing w:after="0" w:line="108" w:lineRule="exact"/>
              <w:rPr>
                <w:sz w:val="20"/>
                <w:szCs w:val="20"/>
                <w:color w:val="auto"/>
              </w:rPr>
            </w:pPr>
            <w:r>
              <w:rPr>
                <w:rFonts w:ascii="Arial" w:cs="Arial" w:eastAsia="Arial" w:hAnsi="Arial"/>
                <w:sz w:val="12"/>
                <w:szCs w:val="12"/>
                <w:b w:val="1"/>
                <w:bCs w:val="1"/>
                <w:color w:val="auto"/>
              </w:rPr>
              <w:t>Underlying Unexercised Options</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5"/>
          </w:tcPr>
          <w:p>
            <w:pPr>
              <w:jc w:val="center"/>
              <w:ind w:right="160"/>
              <w:spacing w:after="0" w:line="108" w:lineRule="exact"/>
              <w:rPr>
                <w:sz w:val="20"/>
                <w:szCs w:val="20"/>
                <w:color w:val="auto"/>
              </w:rPr>
            </w:pPr>
            <w:r>
              <w:rPr>
                <w:rFonts w:ascii="Arial" w:cs="Arial" w:eastAsia="Arial" w:hAnsi="Arial"/>
                <w:sz w:val="12"/>
                <w:szCs w:val="12"/>
                <w:b w:val="1"/>
                <w:bCs w:val="1"/>
                <w:color w:val="auto"/>
              </w:rPr>
              <w:t>In-The-Money Options 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jc w:val="right"/>
              <w:ind w:right="26"/>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6"/>
                <w:szCs w:val="16"/>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at Fiscal Year-End</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52"/>
              <w:spacing w:after="0" w:line="169" w:lineRule="exact"/>
              <w:rPr>
                <w:sz w:val="20"/>
                <w:szCs w:val="20"/>
                <w:color w:val="auto"/>
              </w:rPr>
            </w:pPr>
            <w:r>
              <w:rPr>
                <w:rFonts w:ascii="Arial" w:cs="Arial" w:eastAsia="Arial" w:hAnsi="Arial"/>
                <w:sz w:val="12"/>
                <w:szCs w:val="12"/>
                <w:b w:val="1"/>
                <w:bCs w:val="1"/>
                <w:color w:val="auto"/>
              </w:rPr>
              <w:t>Fiscal Year-End ($)</w:t>
            </w:r>
            <w:r>
              <w:rPr>
                <w:rFonts w:ascii="Arial" w:cs="Arial" w:eastAsia="Arial" w:hAnsi="Arial"/>
                <w:sz w:val="19"/>
                <w:szCs w:val="19"/>
                <w:b w:val="1"/>
                <w:bCs w:val="1"/>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left="372"/>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Realized</w:t>
            </w:r>
          </w:p>
        </w:tc>
        <w:tc>
          <w:tcPr>
            <w:tcW w:w="420" w:type="dxa"/>
            <w:vAlign w:val="bottom"/>
          </w:tcPr>
          <w:p>
            <w:pPr>
              <w:spacing w:after="0"/>
              <w:rPr>
                <w:sz w:val="14"/>
                <w:szCs w:val="14"/>
                <w:color w:val="auto"/>
              </w:rPr>
            </w:pPr>
          </w:p>
        </w:tc>
        <w:tc>
          <w:tcPr>
            <w:tcW w:w="820" w:type="dxa"/>
            <w:vAlign w:val="bottom"/>
          </w:tcPr>
          <w:p>
            <w:pPr>
              <w:jc w:val="right"/>
              <w:ind w:right="10"/>
              <w:spacing w:after="0" w:line="155" w:lineRule="exact"/>
              <w:rPr>
                <w:sz w:val="20"/>
                <w:szCs w:val="20"/>
                <w:color w:val="auto"/>
              </w:rPr>
            </w:pPr>
            <w:r>
              <w:rPr>
                <w:rFonts w:ascii="Arial" w:cs="Arial" w:eastAsia="Arial" w:hAnsi="Arial"/>
                <w:sz w:val="14"/>
                <w:szCs w:val="14"/>
                <w:b w:val="1"/>
                <w:bCs w:val="1"/>
                <w:color w:val="auto"/>
                <w:w w:val="92"/>
              </w:rPr>
              <w:t>Exercisable</w:t>
            </w:r>
          </w:p>
        </w:tc>
        <w:tc>
          <w:tcPr>
            <w:tcW w:w="440" w:type="dxa"/>
            <w:vAlign w:val="bottom"/>
          </w:tcPr>
          <w:p>
            <w:pPr>
              <w:spacing w:after="0"/>
              <w:rPr>
                <w:sz w:val="14"/>
                <w:szCs w:val="14"/>
                <w:color w:val="auto"/>
              </w:rPr>
            </w:pPr>
          </w:p>
        </w:tc>
        <w:tc>
          <w:tcPr>
            <w:tcW w:w="1000" w:type="dxa"/>
            <w:vAlign w:val="bottom"/>
          </w:tcPr>
          <w:p>
            <w:pPr>
              <w:jc w:val="right"/>
              <w:ind w:right="22"/>
              <w:spacing w:after="0" w:line="155" w:lineRule="exact"/>
              <w:rPr>
                <w:sz w:val="20"/>
                <w:szCs w:val="20"/>
                <w:color w:val="auto"/>
              </w:rPr>
            </w:pPr>
            <w:r>
              <w:rPr>
                <w:rFonts w:ascii="Arial" w:cs="Arial" w:eastAsia="Arial" w:hAnsi="Arial"/>
                <w:sz w:val="14"/>
                <w:szCs w:val="14"/>
                <w:b w:val="1"/>
                <w:bCs w:val="1"/>
                <w:color w:val="auto"/>
                <w:w w:val="92"/>
              </w:rPr>
              <w:t>Unexercisable</w:t>
            </w:r>
          </w:p>
        </w:tc>
        <w:tc>
          <w:tcPr>
            <w:tcW w:w="420" w:type="dxa"/>
            <w:vAlign w:val="bottom"/>
          </w:tcPr>
          <w:p>
            <w:pPr>
              <w:spacing w:after="0"/>
              <w:rPr>
                <w:sz w:val="14"/>
                <w:szCs w:val="14"/>
                <w:color w:val="auto"/>
              </w:rPr>
            </w:pP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4"/>
              </w:rPr>
              <w:t>Exercisable</w:t>
            </w:r>
          </w:p>
        </w:tc>
        <w:tc>
          <w:tcPr>
            <w:tcW w:w="420" w:type="dxa"/>
            <w:vAlign w:val="bottom"/>
          </w:tcPr>
          <w:p>
            <w:pPr>
              <w:spacing w:after="0"/>
              <w:rPr>
                <w:sz w:val="14"/>
                <w:szCs w:val="14"/>
                <w:color w:val="auto"/>
              </w:rPr>
            </w:pPr>
          </w:p>
        </w:tc>
        <w:tc>
          <w:tcPr>
            <w:tcW w:w="8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Carl Lueders</w:t>
            </w: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Maureen Foley</w:t>
            </w:r>
          </w:p>
        </w:tc>
        <w:tc>
          <w:tcPr>
            <w:tcW w:w="42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28,750</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28,750</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unexercised options is based on the difference between the exercise price and the $3.05 closing price on the American Stock Exchange of a share of our common stock on December 31,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compensate each of our non-employee directors with a grant of 500 non-qualified stock options for each meeting of our Board, and each meeting of a standing committee of the Board that such director attended during a year of service under our 2003 Non-employee Directors Stock Incentive Plan. For service in 2005, we granted options on March 9, 2006, which were immediately exercisable at $3.75 per share, to our non-employee directors as follows: Mildred Christian —6,500 options, Dale Conaway—5,500 options, Burton Firtel—4,000 options, Steven Prelack—3,500 options, Jerald Rome 8,500 options and David Smith— 4,500 options.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paid Mr. Prelack, a director and member of our Audit Committee, $60,000 for service in 2005 as chair of this Committee. We paid Dr. Conaway and Messrs. Firtel and Prelack $2,300, $7,200 and $27,600 respectively in 2005 for serving on a special committee of the Board to provide oversight of our litigation matters, particularly as they concern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and Termination of Employment and Change-in-Control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 David Platt</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have employment contracts with Dr. Platt and Mr. Lueders. Dr. Platt’s employment contract, was filed as an exhibit to our Annual Report for the year ended December 31, 2003 on Form 10-K on March 30, 2004. The agreement, which became effective on January 2, 2004, provides that Dr. Platt shall serve as President and Chief Executive Officer at an initial base salary of $220,000 per year (effective in 2004 and increased to $260,000 for 2005), subject to annual review, and shall receive our standard employee life, disability and health insurance benefits. Dr. Platt is also entitled to receive bonus compensation as follows:</w:t>
      </w:r>
    </w:p>
    <w:p>
      <w:pPr>
        <w:spacing w:after="0" w:line="17" w:lineRule="exact"/>
        <w:rPr>
          <w:sz w:val="20"/>
          <w:szCs w:val="20"/>
          <w:color w:val="auto"/>
        </w:rPr>
      </w:pPr>
    </w:p>
    <w:p>
      <w:pPr>
        <w:ind w:left="900" w:right="16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market value to purchase at least 200,000 of our shares of common stock;</w:t>
      </w:r>
    </w:p>
    <w:p>
      <w:pPr>
        <w:spacing w:after="0" w:line="25"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such stock options;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5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during employment and for such period as the company pays severance, contains protective provisions concerning confidential information, non-competition and non-solicitation of employees, and provides for indemnification of Dr. Platt.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Carl Lueders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agreement with Mr. Lueders, which became effective on February 9, 2005, provides that he shall serve as Chief Financial Officer at an initial base salary of $200,000 per year, subject to annual review, and shall receive our standard health insurance benefits. In the event the employment of Mr. Lueders is terminated “without cause” he shall be paid a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members of the Compensation Committee during 2005 were Mildred Christian and David Smith. None of these persons were an officer or employee of Pro-Pharmaceuticals during the fiscal year, formerly an officer of Pro-Pharmaceuticals, or had any relationship otherwise requiring disclosure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of the Compensation Committee on Executive Compensation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Compensation Committee determines the cash and other incentive compensation, if any, to be paid to our executive officers and key employees. Compensation may include both cash (base salary and bonus) and equity-based compensation. Base salary is determined with reference to market norms. Bonus compensation (cash and/or options) is based on a number of factors such as our financial and non-financial performance, including fund raising; operating within budget; enhancing our market value; developing drug candidates, including enhancing our product pipeline; and expanding our intellectual property portfolio.</w:t>
      </w:r>
    </w:p>
    <w:p>
      <w:pPr>
        <w:spacing w:after="0" w:line="9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Equity-based compensation is comprised of stock option grants. We believe that equity-based compensation is useful to align the economic interest of the executive officers of Pro-Pharmaceuticals with the economic interests of our stockholders. The Compensation Committee reviews the outstanding unvested options of the key executives from time to time and may grant additional options to encourage the retention of key executives.</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compensation of Dr. David Platt, our Chief Executive Officer, is generally based on the same policies and criteria as the other executive officers. In developing Dr. Platt’s employment agreement, including bonus compensation in cash and stock options for milestone achievements, the Compensation Committee considered the factors noted above. The Committee believes Dr. Platt’s compensation, including salary, bonus and stock options, fall within the company’s compensation philosophy and is consistent with industry norms for a development-stage pharmaceutical company, and that severance contingencies are appropriate in light of the substantial contribution he has made to our science and intellectual property. We awarded Dr. Platt a cash bonus of $90,000 and incentive stock options for satisfactorily achieving certain objectives in 2005 set by the Committee comprised of factors such as filing patent applications and meeting certain milestones for our Phase I and Phase II human clinical trials.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approved an increase of the salary of Dr. Eliezer Zomer, our Executive Vice President of Manufacturing and Product Development, from $180,000 in 2005 to $220,000 in 2006 in recognition of the expansion of his duties related, among other things, to management of our clinical trials as we prepared for and undertook Phase II.</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awarded cash bonuses of $31,500 to each of Dr. Zomer, Mr. Lueders and Ms. Foley in recognition of services during 2005 and incentive stock options as long-term retention incentives.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reviewed and approved the hiring on a full-time basis, as well as the compensation arrangements for, Dr. Anatole Klyosov, our Chief Scientist. We believe the increase in our research and development activities, combined with expanded needs for management of our intellectual property, merited this appointment.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objective of a formal compensation policy is to enable the Company to attract and retain qualified executives, and reward executives for performance against a number of Company goals agreed upon for the long-term maximization of stockholder value. The Compensation Committee has implemented this policy against which to assess executive compensation.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Mildred Christian, Ph.D.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Smith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graph below shows the cumulative total stockholder return assuming the investment of $100 beginning September 10, 2002 (the date our common stock began trading on the Over-the-Counter Bulletin Board) through December 31, 2005, in each of Pro-Pharmaceuticals common stock, the AMEX Biotechnology Index (BTK) and the Nasdaq Biotechnology Index (NBI). Our common stock has been traded on the American Stock Exchange since September 2003. The other indices may reflect the investment of dividends; however, we have not declared or paid any dividends to date. The price performance of Pro-Pharmaceuticals shown in the following graph is not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78740</wp:posOffset>
            </wp:positionV>
            <wp:extent cx="5171440" cy="2495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1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REGISTERED INDEPENDENT PUBLIC ACCOUNTING FIRM</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the registered independent public accounting firm for Pro-Pharmaceuticals for the fiscal year ending December 31, 2006. Deloitte &amp; Touche has served as in this capacity since February 2002. We do not expect a representative of Deloitte &amp; Touche to be present at the Annual Meeting.</w:t>
      </w:r>
    </w:p>
    <w:p>
      <w:pPr>
        <w:spacing w:after="0" w:line="13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the registered independent public accounting firm for Pro-Pharmaceuticals for the fiscal year ending December 31, 2006.</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during our 2005 and 2004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75"/>
        </w:trPr>
        <w:tc>
          <w:tcPr>
            <w:tcW w:w="118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210"/>
        </w:trPr>
        <w:tc>
          <w:tcPr>
            <w:tcW w:w="948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225,615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57,450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20" w:type="dxa"/>
            <w:vAlign w:val="bottom"/>
          </w:tcPr>
          <w:p>
            <w:pPr>
              <w:spacing w:after="0"/>
              <w:rPr>
                <w:sz w:val="18"/>
                <w:szCs w:val="18"/>
                <w:color w:val="auto"/>
              </w:rPr>
            </w:pPr>
          </w:p>
        </w:tc>
      </w:tr>
      <w:tr>
        <w:trPr>
          <w:trHeight w:val="221"/>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304,890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219,375</w:t>
            </w:r>
          </w:p>
        </w:tc>
      </w:tr>
      <w:tr>
        <w:trPr>
          <w:trHeight w:val="218"/>
        </w:trPr>
        <w:tc>
          <w:tcPr>
            <w:tcW w:w="948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66,800</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304,890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286,175</w:t>
            </w:r>
          </w:p>
        </w:tc>
      </w:tr>
      <w:tr>
        <w:trPr>
          <w:trHeight w:val="20"/>
        </w:trPr>
        <w:tc>
          <w:tcPr>
            <w:tcW w:w="11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36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included in our Annual Report on Form 10-K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quarterly Form 10-Q filings, and services that are normally in connection with statutory and regulatory filings or engagements for such fiscal year.</w:t>
      </w:r>
    </w:p>
    <w:p>
      <w:pPr>
        <w:ind w:left="460" w:right="4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consultation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a policy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is responsible for providing independent, objective oversight of Pro-Pharmaceuticals’ accounting functions and internal control over financial reporting. The Audit Committee acts under a written charter first adopted and approved by the Board of Directors in 2001, as amended in 2004, which is reviewed annually. The Audit Committee is comprised of Steven Prelack, Dale Conaway and Jerald Rome. The Board has determined that Mr. Prelack is an “Audit Committee Financial Expert” within the meaning of the rules of the Securities and Exchange Commission. Each of the members of the Audit Committee qualifies as an “independent” director under applicable American Stock Exchange rules. A copy of the Audit Committee Charter was filed as Appendix C to the Proxy Statement for our 2004 Annual Meeting of Stockholders.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Committees, </w:t>
      </w:r>
      <w:r>
        <w:rPr>
          <w:rFonts w:ascii="Arial" w:cs="Arial" w:eastAsia="Arial" w:hAnsi="Arial"/>
          <w:sz w:val="16"/>
          <w:szCs w:val="16"/>
          <w:color w:val="auto"/>
        </w:rPr>
        <w:t>which includes, among other items, matters related to the conduct of the annual audit of our company’s financial statements.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20"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2005 fiscal year be included in Annual Report filed on Form 10-K for the year ended December 31, 2005.</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Jerald K. Rome</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right"/>
        <w:ind w:right="492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jc w:val="right"/>
        <w:ind w:right="4900"/>
        <w:spacing w:after="0"/>
        <w:rPr>
          <w:sz w:val="20"/>
          <w:szCs w:val="20"/>
          <w:color w:val="auto"/>
        </w:rPr>
      </w:pPr>
      <w:r>
        <w:rPr>
          <w:rFonts w:ascii="Arial" w:cs="Arial" w:eastAsia="Arial" w:hAnsi="Arial"/>
          <w:sz w:val="16"/>
          <w:szCs w:val="16"/>
          <w:color w:val="auto"/>
        </w:rPr>
        <w:t>Management knows of no other matters that may be presented at the Annual Meeting.</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 OF APPRAISAL</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all filing requirements applicable to our officers, directors and holders of more than ten percent of our common stock were complied with during the 2005 fiscal year.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2007 ANNUAL MEETING</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2007 annual meeting of stockholders, the proposal must be received by us, attention: Vice President, Investor Relations, at our principal executive offices by December 29, 2006. Also in accordance with SEC guidelines, if a stockholder notifies us of that stockholder’s intent to present a proposal at our 2007 annual meeting of stockholders after March 13, 2007, we may, acting through the persons named as proxies in the proxy materials for that meeting, exercise discretionary voting authority with respect to the proposal without including information about the proposal in our proxy materials. However, in either case, if the date of the 2007 annual meeting is changed by more than 30 days from the date of the 2006 meeting, then the deadline would be a reasonable time before we begin to print and mail our proxy materials.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2005 fiscal year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17, 2006</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PROXY</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38"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163"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2006 at the 2006 Annual Meeting of Stockholders of Pro-Pharmaceuticals, Inc. to be held on May 25, 2006 or at any adjournment thereof.</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Ú FOLD AND DETACH HERE AND READ THE REVERSE SIDE 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PROXY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WILL BE VOTED AS DIRECTED, OR IF NO DIRECTION IS INDICATED, WILL BE VOTED “FOR” THE PROPOSALS. 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120" w:right="100" w:hanging="66"/>
        <w:spacing w:after="0" w:line="355" w:lineRule="exact"/>
        <w:rPr>
          <w:sz w:val="20"/>
          <w:szCs w:val="20"/>
          <w:color w:val="auto"/>
        </w:rPr>
      </w:pPr>
      <w:r>
        <w:rPr>
          <w:rFonts w:ascii="Arial" w:cs="Arial" w:eastAsia="Arial" w:hAnsi="Arial"/>
          <w:sz w:val="14"/>
          <w:szCs w:val="14"/>
          <w:color w:val="auto"/>
        </w:rPr>
        <w:t>your votes</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like this</w:t>
      </w:r>
    </w:p>
    <w:p>
      <w:pPr>
        <w:spacing w:after="0" w:line="117" w:lineRule="exact"/>
        <w:rPr>
          <w:sz w:val="20"/>
          <w:szCs w:val="20"/>
          <w:color w:val="auto"/>
        </w:rPr>
      </w:pPr>
    </w:p>
    <w:p>
      <w:pPr>
        <w:sectPr>
          <w:pgSz w:w="11900" w:h="16838" w:orient="portrait"/>
          <w:cols w:equalWidth="0" w:num="2">
            <w:col w:w="9220" w:space="640"/>
            <w:col w:w="1520"/>
          </w:cols>
          <w:pgMar w:left="240" w:top="476" w:right="279" w:bottom="1440" w:gutter="0" w:footer="0" w:header="0"/>
          <w:type w:val="continuous"/>
        </w:sectPr>
      </w:pPr>
    </w:p>
    <w:p>
      <w:pPr>
        <w:ind w:left="9400"/>
        <w:spacing w:after="0"/>
        <w:tabs>
          <w:tab w:leader="none" w:pos="9980" w:val="left"/>
          <w:tab w:leader="none" w:pos="107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ectPr>
          <w:pgSz w:w="11900" w:h="16838" w:orient="portrait"/>
          <w:cols w:equalWidth="0" w:num="1">
            <w:col w:w="11380"/>
          </w:cols>
          <w:pgMar w:left="240" w:top="476" w:right="279" w:bottom="1440" w:gutter="0" w:footer="0" w:header="0"/>
          <w:type w:val="continuous"/>
        </w:sectPr>
      </w:pPr>
    </w:p>
    <w:p>
      <w:pPr>
        <w:spacing w:after="0" w:line="85" w:lineRule="exact"/>
        <w:rPr>
          <w:sz w:val="20"/>
          <w:szCs w:val="20"/>
          <w:color w:val="auto"/>
        </w:rPr>
      </w:pPr>
    </w:p>
    <w:p>
      <w:pPr>
        <w:ind w:left="220" w:hanging="212"/>
        <w:spacing w:after="0" w:line="318" w:lineRule="auto"/>
        <w:tabs>
          <w:tab w:leader="none" w:pos="139" w:val="left"/>
        </w:tabs>
        <w:numPr>
          <w:ilvl w:val="0"/>
          <w:numId w:val="13"/>
        </w:numPr>
        <w:rPr>
          <w:rFonts w:ascii="Arial" w:cs="Arial" w:eastAsia="Arial" w:hAnsi="Arial"/>
          <w:sz w:val="12"/>
          <w:szCs w:val="12"/>
          <w:color w:val="auto"/>
        </w:rPr>
      </w:pPr>
      <w:r>
        <w:rPr>
          <w:rFonts w:ascii="Arial" w:cs="Arial" w:eastAsia="Arial" w:hAnsi="Arial"/>
          <w:sz w:val="12"/>
          <w:szCs w:val="12"/>
          <w:color w:val="auto"/>
        </w:rPr>
        <w:t>APPROVAL TO ISSUE SHARES OF COMMON STOCK UNDERLYING THE 7% CONVERTIBLE DEBENTURES AND RELATED COMMON STOCK WARRANTS EQUAL TO OR IN EXCESS OF 20% OF THE NUMBER OF SHARES OUTSTANDING ON FEBRUARY 14, 2006</w:t>
      </w:r>
    </w:p>
    <w:p>
      <w:pPr>
        <w:spacing w:after="0" w:line="20" w:lineRule="exact"/>
        <w:rPr>
          <w:sz w:val="20"/>
          <w:szCs w:val="20"/>
          <w:color w:val="auto"/>
        </w:rPr>
      </w:pPr>
      <w:r>
        <w:rPr>
          <w:sz w:val="20"/>
          <w:szCs w:val="20"/>
          <w:color w:val="auto"/>
        </w:rPr>
        <w:br w:type="column"/>
      </w:r>
    </w:p>
    <w:p>
      <w:pPr>
        <w:spacing w:after="0" w:line="317" w:lineRule="exact"/>
        <w:tabs>
          <w:tab w:leader="none" w:pos="760" w:val="left"/>
          <w:tab w:leader="none" w:pos="154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22" w:lineRule="exact"/>
        <w:rPr>
          <w:sz w:val="20"/>
          <w:szCs w:val="20"/>
          <w:color w:val="auto"/>
        </w:rPr>
      </w:pPr>
    </w:p>
    <w:p>
      <w:pPr>
        <w:sectPr>
          <w:pgSz w:w="11900" w:h="16838" w:orient="portrait"/>
          <w:cols w:equalWidth="0" w:num="2">
            <w:col w:w="8720" w:space="660"/>
            <w:col w:w="2000"/>
          </w:cols>
          <w:pgMar w:left="240" w:top="476" w:right="27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2. ELECTION OF DIRECTORS</w:t>
      </w:r>
    </w:p>
    <w:p>
      <w:pPr>
        <w:spacing w:after="0" w:line="230"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5"/>
              </w:rPr>
              <w:t>VOTE FOR ALL</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WITHHOLD</w:t>
            </w:r>
          </w:p>
        </w:tc>
      </w:tr>
      <w:tr>
        <w:trPr>
          <w:trHeight w:val="132"/>
        </w:trPr>
        <w:tc>
          <w:tcPr>
            <w:tcW w:w="1000" w:type="dxa"/>
            <w:vAlign w:val="bottom"/>
          </w:tcPr>
          <w:p>
            <w:pPr>
              <w:jc w:val="center"/>
              <w:spacing w:after="0" w:line="133" w:lineRule="exact"/>
              <w:rPr>
                <w:sz w:val="20"/>
                <w:szCs w:val="20"/>
                <w:color w:val="auto"/>
              </w:rPr>
            </w:pPr>
            <w:r>
              <w:rPr>
                <w:rFonts w:ascii="Arial" w:cs="Arial" w:eastAsia="Arial" w:hAnsi="Arial"/>
                <w:sz w:val="14"/>
                <w:szCs w:val="14"/>
                <w:color w:val="auto"/>
                <w:w w:val="93"/>
              </w:rPr>
              <w:t>NOMINEES</w:t>
            </w:r>
          </w:p>
        </w:tc>
        <w:tc>
          <w:tcPr>
            <w:tcW w:w="860" w:type="dxa"/>
            <w:vAlign w:val="bottom"/>
          </w:tcPr>
          <w:p>
            <w:pPr>
              <w:jc w:val="center"/>
              <w:spacing w:after="0" w:line="133" w:lineRule="exact"/>
              <w:rPr>
                <w:sz w:val="20"/>
                <w:szCs w:val="20"/>
                <w:color w:val="auto"/>
              </w:rPr>
            </w:pPr>
            <w:r>
              <w:rPr>
                <w:rFonts w:ascii="Arial" w:cs="Arial" w:eastAsia="Arial" w:hAnsi="Arial"/>
                <w:sz w:val="14"/>
                <w:szCs w:val="14"/>
                <w:color w:val="auto"/>
                <w:w w:val="98"/>
              </w:rPr>
              <w:t>AUTHORITY</w:t>
            </w:r>
          </w:p>
        </w:tc>
      </w:tr>
      <w:tr>
        <w:trPr>
          <w:trHeight w:val="511"/>
        </w:trPr>
        <w:tc>
          <w:tcPr>
            <w:tcW w:w="10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6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r>
    </w:tbl>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37" w:hanging="137"/>
        <w:spacing w:after="0"/>
        <w:tabs>
          <w:tab w:leader="none" w:pos="137" w:val="left"/>
        </w:tabs>
        <w:numPr>
          <w:ilvl w:val="0"/>
          <w:numId w:val="14"/>
        </w:numPr>
        <w:rPr>
          <w:rFonts w:ascii="Arial" w:cs="Arial" w:eastAsia="Arial" w:hAnsi="Arial"/>
          <w:sz w:val="12"/>
          <w:szCs w:val="12"/>
          <w:color w:val="auto"/>
        </w:rPr>
      </w:pPr>
      <w:r>
        <w:rPr>
          <w:rFonts w:ascii="Arial" w:cs="Arial" w:eastAsia="Arial" w:hAnsi="Arial"/>
          <w:sz w:val="12"/>
          <w:szCs w:val="12"/>
          <w:color w:val="auto"/>
        </w:rPr>
        <w:t>RATIFICATION OF APPOINTMENT OF DELOITTE</w:t>
      </w:r>
    </w:p>
    <w:p>
      <w:pPr>
        <w:spacing w:after="0" w:line="22" w:lineRule="exact"/>
        <w:rPr>
          <w:rFonts w:ascii="Arial" w:cs="Arial" w:eastAsia="Arial" w:hAnsi="Arial"/>
          <w:sz w:val="12"/>
          <w:szCs w:val="12"/>
          <w:color w:val="auto"/>
        </w:rPr>
      </w:pPr>
    </w:p>
    <w:p>
      <w:pPr>
        <w:ind w:left="217" w:right="180" w:hanging="1"/>
        <w:spacing w:after="0" w:line="265" w:lineRule="auto"/>
        <w:tabs>
          <w:tab w:leader="none" w:pos="355" w:val="left"/>
        </w:tabs>
        <w:numPr>
          <w:ilvl w:val="1"/>
          <w:numId w:val="14"/>
        </w:numPr>
        <w:rPr>
          <w:rFonts w:ascii="Arial" w:cs="Arial" w:eastAsia="Arial" w:hAnsi="Arial"/>
          <w:sz w:val="12"/>
          <w:szCs w:val="12"/>
          <w:color w:val="auto"/>
        </w:rPr>
      </w:pPr>
      <w:r>
        <w:rPr>
          <w:rFonts w:ascii="Arial" w:cs="Arial" w:eastAsia="Arial" w:hAnsi="Arial"/>
          <w:sz w:val="12"/>
          <w:szCs w:val="12"/>
          <w:color w:val="auto"/>
        </w:rPr>
        <w:t>TOUCHE LLP AS THE REGISTERED INDEPENDENT PUBLIC ACCOUNTING FIRM FOR PRO-PHARMACEUTICALS FOR 2006</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0"/>
        <w:spacing w:after="0"/>
        <w:tabs>
          <w:tab w:leader="none" w:pos="600" w:val="left"/>
          <w:tab w:leader="none" w:pos="14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4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28"/>
          <w:szCs w:val="28"/>
          <w:color w:val="auto"/>
        </w:rPr>
        <w:t>☐</w:t>
      </w:r>
    </w:p>
    <w:p>
      <w:pPr>
        <w:spacing w:after="0" w:line="291" w:lineRule="exact"/>
        <w:rPr>
          <w:sz w:val="20"/>
          <w:szCs w:val="20"/>
          <w:color w:val="auto"/>
        </w:rPr>
      </w:pPr>
    </w:p>
    <w:p>
      <w:pPr>
        <w:sectPr>
          <w:pgSz w:w="11900" w:h="16838" w:orient="portrait"/>
          <w:cols w:equalWidth="0" w:num="4">
            <w:col w:w="3780" w:space="180"/>
            <w:col w:w="1860" w:space="103"/>
            <w:col w:w="3137" w:space="320"/>
            <w:col w:w="2000"/>
          </w:cols>
          <w:pgMar w:left="240" w:top="476" w:right="27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1620" w:type="dxa"/>
            <w:vAlign w:val="bottom"/>
            <w:gridSpan w:val="2"/>
          </w:tcPr>
          <w:p>
            <w:pPr>
              <w:spacing w:after="0" w:line="139" w:lineRule="exact"/>
              <w:rPr>
                <w:sz w:val="20"/>
                <w:szCs w:val="20"/>
                <w:color w:val="auto"/>
              </w:rPr>
            </w:pPr>
            <w:r>
              <w:rPr>
                <w:rFonts w:ascii="Arial" w:cs="Arial" w:eastAsia="Arial" w:hAnsi="Arial"/>
                <w:sz w:val="14"/>
                <w:szCs w:val="14"/>
                <w:color w:val="auto"/>
                <w:w w:val="96"/>
              </w:rPr>
              <w:t>Mildred S. Christian, Ph.D.</w:t>
            </w:r>
          </w:p>
        </w:tc>
        <w:tc>
          <w:tcPr>
            <w:tcW w:w="1740" w:type="dxa"/>
            <w:vAlign w:val="bottom"/>
          </w:tcPr>
          <w:p>
            <w:pPr>
              <w:ind w:left="140"/>
              <w:spacing w:after="0" w:line="139" w:lineRule="exact"/>
              <w:rPr>
                <w:sz w:val="20"/>
                <w:szCs w:val="20"/>
                <w:color w:val="auto"/>
              </w:rPr>
            </w:pPr>
            <w:r>
              <w:rPr>
                <w:rFonts w:ascii="Arial" w:cs="Arial" w:eastAsia="Arial" w:hAnsi="Arial"/>
                <w:sz w:val="14"/>
                <w:szCs w:val="14"/>
                <w:color w:val="auto"/>
                <w:w w:val="99"/>
              </w:rPr>
              <w:t>Dale H. Conaway, D.V.M.</w:t>
            </w: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color w:val="auto"/>
                <w:w w:val="97"/>
              </w:rPr>
              <w:t>Henry J. Esber, Ph.D</w:t>
            </w:r>
          </w:p>
        </w:tc>
        <w:tc>
          <w:tcPr>
            <w:tcW w:w="6520" w:type="dxa"/>
            <w:vAlign w:val="bottom"/>
            <w:gridSpan w:val="4"/>
            <w:vMerge w:val="restart"/>
          </w:tcPr>
          <w:p>
            <w:pPr>
              <w:jc w:val="right"/>
              <w:spacing w:after="0"/>
              <w:rPr>
                <w:sz w:val="20"/>
                <w:szCs w:val="20"/>
                <w:color w:val="auto"/>
              </w:rPr>
            </w:pPr>
            <w:r>
              <w:rPr>
                <w:rFonts w:ascii="Arial" w:cs="Arial" w:eastAsia="Arial" w:hAnsi="Arial"/>
                <w:sz w:val="14"/>
                <w:szCs w:val="14"/>
                <w:color w:val="auto"/>
              </w:rPr>
              <w:t>4. In their discretion, the proxies are authorized to vote on such other business as may properly come</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Burton C. Firtel</w:t>
            </w:r>
          </w:p>
        </w:tc>
        <w:tc>
          <w:tcPr>
            <w:tcW w:w="174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David Platt, Ph.D.</w:t>
            </w:r>
          </w:p>
        </w:tc>
        <w:tc>
          <w:tcPr>
            <w:tcW w:w="150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auto"/>
              </w:rPr>
              <w:t>Steven Prelack</w:t>
            </w:r>
          </w:p>
        </w:tc>
        <w:tc>
          <w:tcPr>
            <w:tcW w:w="6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6340" w:type="dxa"/>
            <w:vAlign w:val="bottom"/>
            <w:gridSpan w:val="3"/>
            <w:vMerge w:val="restart"/>
          </w:tcPr>
          <w:p>
            <w:pPr>
              <w:ind w:left="1280"/>
              <w:spacing w:after="0"/>
              <w:rPr>
                <w:sz w:val="20"/>
                <w:szCs w:val="20"/>
                <w:color w:val="auto"/>
              </w:rPr>
            </w:pPr>
            <w:r>
              <w:rPr>
                <w:rFonts w:ascii="Arial" w:cs="Arial" w:eastAsia="Arial" w:hAnsi="Arial"/>
                <w:sz w:val="14"/>
                <w:szCs w:val="14"/>
                <w:color w:val="auto"/>
              </w:rPr>
              <w:t>before the Meeting.</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Jerald K. Rome</w:t>
            </w:r>
          </w:p>
        </w:tc>
        <w:tc>
          <w:tcPr>
            <w:tcW w:w="1740" w:type="dxa"/>
            <w:vAlign w:val="bottom"/>
            <w:vMerge w:val="restart"/>
          </w:tcPr>
          <w:p>
            <w:pPr>
              <w:ind w:left="140"/>
              <w:spacing w:after="0"/>
              <w:rPr>
                <w:sz w:val="20"/>
                <w:szCs w:val="20"/>
                <w:color w:val="auto"/>
              </w:rPr>
            </w:pPr>
            <w:r>
              <w:rPr>
                <w:rFonts w:ascii="Arial" w:cs="Arial" w:eastAsia="Arial" w:hAnsi="Arial"/>
                <w:sz w:val="14"/>
                <w:szCs w:val="14"/>
                <w:color w:val="auto"/>
              </w:rPr>
              <w:t>David H. Smith</w:t>
            </w: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3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80"/>
              <w:spacing w:after="0"/>
              <w:rPr>
                <w:sz w:val="20"/>
                <w:szCs w:val="20"/>
                <w:color w:val="auto"/>
              </w:rPr>
            </w:pPr>
            <w:r>
              <w:rPr>
                <w:rFonts w:ascii="Arial" w:cs="Arial" w:eastAsia="Arial" w:hAnsi="Arial"/>
                <w:sz w:val="18"/>
                <w:szCs w:val="18"/>
                <w:b w:val="1"/>
                <w:bCs w:val="1"/>
                <w:color w:val="auto"/>
                <w:w w:val="99"/>
              </w:rPr>
              <w:t>COMPANY ID: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PROXY NUMBER: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800"/>
              <w:spacing w:after="0"/>
              <w:rPr>
                <w:sz w:val="20"/>
                <w:szCs w:val="20"/>
                <w:color w:val="auto"/>
              </w:rPr>
            </w:pPr>
            <w:r>
              <w:rPr>
                <w:rFonts w:ascii="Arial" w:cs="Arial" w:eastAsia="Arial" w:hAnsi="Arial"/>
                <w:sz w:val="18"/>
                <w:szCs w:val="18"/>
                <w:b w:val="1"/>
                <w:bCs w:val="1"/>
                <w:color w:val="auto"/>
                <w:w w:val="98"/>
              </w:rPr>
              <w:t>ACCOUNT NUMBER: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jc w:val="right"/>
              <w:ind w:right="154"/>
              <w:spacing w:after="0"/>
              <w:rPr>
                <w:sz w:val="20"/>
                <w:szCs w:val="20"/>
                <w:color w:val="auto"/>
              </w:rPr>
            </w:pPr>
            <w:r>
              <w:rPr>
                <w:rFonts w:ascii="Arial" w:cs="Arial" w:eastAsia="Arial" w:hAnsi="Arial"/>
                <w:sz w:val="1"/>
                <w:szCs w:val="1"/>
                <w:b w:val="1"/>
                <w:bCs w:val="1"/>
                <w:color w:val="auto"/>
                <w:w w:val="4294967279"/>
              </w:rPr>
              <w:t>,</w:t>
            </w:r>
          </w:p>
        </w:tc>
        <w:tc>
          <w:tcPr>
            <w:tcW w:w="0" w:type="dxa"/>
            <w:vAlign w:val="bottom"/>
          </w:tcPr>
          <w:p>
            <w:pPr>
              <w:spacing w:after="0"/>
              <w:rPr>
                <w:sz w:val="1"/>
                <w:szCs w:val="1"/>
                <w:color w:val="auto"/>
              </w:rPr>
            </w:pP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2006</w:t>
            </w:r>
          </w:p>
        </w:tc>
        <w:tc>
          <w:tcPr>
            <w:tcW w:w="9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right="16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380"/>
      </w:cols>
      <w:pgMar w:left="240" w:top="476"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lvl w:ilvl="1">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2019-12-15T04:36:02Z</dcterms:created>
  <dcterms:modified xsi:type="dcterms:W3CDTF">2019-12-15T04:36:02Z</dcterms:modified>
</cp:coreProperties>
</file>