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35495"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336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273050</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133350</wp:posOffset>
            </wp:positionV>
            <wp:extent cx="143065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655" cy="16510"/>
                    </a:xfrm>
                    <a:prstGeom prst="rect">
                      <a:avLst/>
                    </a:prstGeom>
                    <a:noFill/>
                  </pic:spPr>
                </pic:pic>
              </a:graphicData>
            </a:graphic>
          </wp:anchor>
        </w:drawing>
      </w:r>
    </w:p>
    <w:p>
      <w:pPr>
        <w:spacing w:after="0" w:line="3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156210</wp:posOffset>
            </wp:positionV>
            <wp:extent cx="143065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655" cy="1651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215" w:lineRule="exact"/>
        <w:rPr>
          <w:sz w:val="24"/>
          <w:szCs w:val="24"/>
          <w:color w:val="auto"/>
        </w:rPr>
      </w:pPr>
    </w:p>
    <w:p>
      <w:pPr>
        <w:ind w:left="460" w:hanging="455"/>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5" w:lineRule="exact"/>
        <w:rPr>
          <w:sz w:val="24"/>
          <w:szCs w:val="24"/>
          <w:color w:val="auto"/>
        </w:rPr>
      </w:pPr>
    </w:p>
    <w:p>
      <w:pPr>
        <w:ind w:left="3480"/>
        <w:spacing w:after="0"/>
        <w:tabs>
          <w:tab w:leader="none" w:pos="6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3646170</wp:posOffset>
            </wp:positionH>
            <wp:positionV relativeFrom="paragraph">
              <wp:posOffset>-8890</wp:posOffset>
            </wp:positionV>
            <wp:extent cx="1291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8255"/>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149225</wp:posOffset>
            </wp:positionV>
            <wp:extent cx="143065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655" cy="1651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168275</wp:posOffset>
            </wp:positionV>
            <wp:extent cx="143065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655"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tbl>
      <w:tblPr>
        <w:tblLayout w:type="fixed"/>
        <w:tblInd w:w="1100" w:type="dxa"/>
        <w:tblCellMar>
          <w:top w:w="0" w:type="dxa"/>
          <w:left w:w="0" w:type="dxa"/>
          <w:bottom w:w="0" w:type="dxa"/>
          <w:right w:w="0" w:type="dxa"/>
        </w:tblCellMar>
      </w:tblPr>
      <w:tr>
        <w:trPr>
          <w:trHeight w:val="211"/>
        </w:trPr>
        <w:tc>
          <w:tcPr>
            <w:tcW w:w="3640" w:type="dxa"/>
            <w:vAlign w:val="bottom"/>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6"/>
              </w:rPr>
              <w:t>Nevada</w:t>
            </w:r>
          </w:p>
        </w:tc>
        <w:tc>
          <w:tcPr>
            <w:tcW w:w="5100" w:type="dxa"/>
            <w:vAlign w:val="bottom"/>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04-3562325</w:t>
            </w:r>
          </w:p>
        </w:tc>
      </w:tr>
      <w:tr>
        <w:trPr>
          <w:trHeight w:val="230"/>
        </w:trPr>
        <w:tc>
          <w:tcPr>
            <w:tcW w:w="3640" w:type="dxa"/>
            <w:vAlign w:val="bottom"/>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7"/>
              </w:rPr>
              <w:t>(State or other jurisdiction of incorporation)</w:t>
            </w:r>
          </w:p>
        </w:tc>
        <w:tc>
          <w:tcPr>
            <w:tcW w:w="5100" w:type="dxa"/>
            <w:vAlign w:val="bottom"/>
          </w:tcPr>
          <w:p>
            <w:pPr>
              <w:jc w:val="center"/>
              <w:ind w:left="2332"/>
              <w:spacing w:after="0"/>
              <w:rPr>
                <w:sz w:val="20"/>
                <w:szCs w:val="20"/>
                <w:color w:val="auto"/>
              </w:rPr>
            </w:pPr>
            <w:r>
              <w:rPr>
                <w:rFonts w:ascii="Times New Roman" w:cs="Times New Roman" w:eastAsia="Times New Roman" w:hAnsi="Times New Roman"/>
                <w:sz w:val="18"/>
                <w:szCs w:val="18"/>
                <w:b w:val="1"/>
                <w:bCs w:val="1"/>
                <w:color w:val="auto"/>
                <w:w w:val="97"/>
              </w:rPr>
              <w:t>(I.R.S. Employer Identification No.)</w:t>
            </w:r>
          </w:p>
        </w:tc>
      </w:tr>
      <w:tr>
        <w:trPr>
          <w:trHeight w:val="402"/>
        </w:trPr>
        <w:tc>
          <w:tcPr>
            <w:tcW w:w="3640" w:type="dxa"/>
            <w:vAlign w:val="bottom"/>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6"/>
              </w:rPr>
              <w:t>4960 Peachtree Industrial Blvd.,</w:t>
            </w:r>
          </w:p>
        </w:tc>
        <w:tc>
          <w:tcPr>
            <w:tcW w:w="5100" w:type="dxa"/>
            <w:vAlign w:val="bottom"/>
          </w:tcPr>
          <w:p>
            <w:pPr>
              <w:spacing w:after="0"/>
              <w:rPr>
                <w:sz w:val="24"/>
                <w:szCs w:val="24"/>
                <w:color w:val="auto"/>
              </w:rPr>
            </w:pPr>
          </w:p>
        </w:tc>
      </w:tr>
      <w:tr>
        <w:trPr>
          <w:trHeight w:val="211"/>
        </w:trPr>
        <w:tc>
          <w:tcPr>
            <w:tcW w:w="3640" w:type="dxa"/>
            <w:vAlign w:val="bottom"/>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7"/>
              </w:rPr>
              <w:t>Suite 240, Norcross, GA</w:t>
            </w:r>
          </w:p>
        </w:tc>
        <w:tc>
          <w:tcPr>
            <w:tcW w:w="5100" w:type="dxa"/>
            <w:vAlign w:val="bottom"/>
          </w:tcPr>
          <w:p>
            <w:pPr>
              <w:jc w:val="right"/>
              <w:ind w:right="1032"/>
              <w:spacing w:after="0"/>
              <w:rPr>
                <w:sz w:val="20"/>
                <w:szCs w:val="20"/>
                <w:color w:val="auto"/>
              </w:rPr>
            </w:pPr>
            <w:r>
              <w:rPr>
                <w:rFonts w:ascii="Times New Roman" w:cs="Times New Roman" w:eastAsia="Times New Roman" w:hAnsi="Times New Roman"/>
                <w:sz w:val="18"/>
                <w:szCs w:val="18"/>
                <w:b w:val="1"/>
                <w:bCs w:val="1"/>
                <w:color w:val="auto"/>
              </w:rPr>
              <w:t>30071</w:t>
            </w:r>
          </w:p>
        </w:tc>
      </w:tr>
      <w:tr>
        <w:trPr>
          <w:trHeight w:val="230"/>
        </w:trPr>
        <w:tc>
          <w:tcPr>
            <w:tcW w:w="3640" w:type="dxa"/>
            <w:vAlign w:val="bottom"/>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7"/>
              </w:rPr>
              <w:t>(Address of Principal Executive Offices)</w:t>
            </w:r>
          </w:p>
        </w:tc>
        <w:tc>
          <w:tcPr>
            <w:tcW w:w="5100" w:type="dxa"/>
            <w:vAlign w:val="bottom"/>
          </w:tcPr>
          <w:p>
            <w:pPr>
              <w:jc w:val="center"/>
              <w:ind w:left="2312"/>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422"/>
        </w:trPr>
        <w:tc>
          <w:tcPr>
            <w:tcW w:w="3640" w:type="dxa"/>
            <w:vAlign w:val="bottom"/>
          </w:tcPr>
          <w:p>
            <w:pPr>
              <w:spacing w:after="0"/>
              <w:rPr>
                <w:sz w:val="24"/>
                <w:szCs w:val="24"/>
                <w:color w:val="auto"/>
              </w:rPr>
            </w:pPr>
          </w:p>
        </w:tc>
        <w:tc>
          <w:tcPr>
            <w:tcW w:w="5100" w:type="dxa"/>
            <w:vAlign w:val="bottom"/>
          </w:tcPr>
          <w:p>
            <w:pPr>
              <w:jc w:val="right"/>
              <w:ind w:right="3552"/>
              <w:spacing w:after="0"/>
              <w:rPr>
                <w:sz w:val="20"/>
                <w:szCs w:val="20"/>
                <w:color w:val="auto"/>
              </w:rPr>
            </w:pPr>
            <w:r>
              <w:rPr>
                <w:rFonts w:ascii="Times New Roman" w:cs="Times New Roman" w:eastAsia="Times New Roman" w:hAnsi="Times New Roman"/>
                <w:sz w:val="18"/>
                <w:szCs w:val="18"/>
                <w:b w:val="1"/>
                <w:bCs w:val="1"/>
                <w:color w:val="auto"/>
              </w:rPr>
              <w:t>(678) 620 -3186</w:t>
            </w:r>
          </w:p>
        </w:tc>
      </w:tr>
    </w:tbl>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136525</wp:posOffset>
            </wp:positionV>
            <wp:extent cx="143065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0655" cy="1651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p>
        </w:tc>
        <w:tc>
          <w:tcPr>
            <w:tcW w:w="8620" w:type="dxa"/>
            <w:vAlign w:val="bottom"/>
            <w:gridSpan w:val="5"/>
          </w:tcPr>
          <w:p>
            <w:pPr>
              <w:jc w:val="center"/>
              <w:ind w:right="2532"/>
              <w:spacing w:after="0"/>
              <w:rPr>
                <w:sz w:val="20"/>
                <w:szCs w:val="20"/>
                <w:color w:val="auto"/>
              </w:rPr>
            </w:pPr>
            <w:r>
              <w:rPr>
                <w:rFonts w:ascii="Times New Roman" w:cs="Times New Roman" w:eastAsia="Times New Roman" w:hAnsi="Times New Roman"/>
                <w:sz w:val="18"/>
                <w:szCs w:val="18"/>
                <w:b w:val="1"/>
                <w:bCs w:val="1"/>
                <w:color w:val="auto"/>
                <w:w w:val="97"/>
              </w:rPr>
              <w:t>Securities registered or to be registered pursuant to Section 12(b) of the Act.</w:t>
            </w:r>
          </w:p>
        </w:tc>
      </w:tr>
      <w:tr>
        <w:trPr>
          <w:trHeight w:val="402"/>
        </w:trPr>
        <w:tc>
          <w:tcPr>
            <w:tcW w:w="2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Name of each exchange</w:t>
            </w:r>
          </w:p>
        </w:tc>
      </w:tr>
      <w:tr>
        <w:trPr>
          <w:trHeight w:val="238"/>
        </w:trPr>
        <w:tc>
          <w:tcPr>
            <w:tcW w:w="2620" w:type="dxa"/>
            <w:vAlign w:val="bottom"/>
          </w:tcPr>
          <w:p>
            <w:pPr>
              <w:jc w:val="center"/>
              <w:ind w:left="892"/>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on which registered</w:t>
            </w:r>
          </w:p>
        </w:tc>
      </w:tr>
      <w:tr>
        <w:trPr>
          <w:trHeight w:val="230"/>
        </w:trPr>
        <w:tc>
          <w:tcPr>
            <w:tcW w:w="2620" w:type="dxa"/>
            <w:vAlign w:val="bottom"/>
            <w:tcBorders>
              <w:top w:val="single" w:sz="8" w:color="auto"/>
            </w:tcBorders>
          </w:tcPr>
          <w:p>
            <w:pPr>
              <w:jc w:val="center"/>
              <w:ind w:left="892"/>
              <w:spacing w:after="0"/>
              <w:rPr>
                <w:sz w:val="20"/>
                <w:szCs w:val="20"/>
                <w:color w:val="auto"/>
              </w:rPr>
            </w:pPr>
            <w:r>
              <w:rPr>
                <w:rFonts w:ascii="Times New Roman" w:cs="Times New Roman" w:eastAsia="Times New Roman" w:hAnsi="Times New Roman"/>
                <w:sz w:val="18"/>
                <w:szCs w:val="18"/>
                <w:b w:val="1"/>
                <w:bCs w:val="1"/>
                <w:color w:val="auto"/>
                <w:w w:val="97"/>
              </w:rPr>
              <w:t>Common Stock</w:t>
            </w:r>
          </w:p>
        </w:tc>
        <w:tc>
          <w:tcPr>
            <w:tcW w:w="9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GALT</w:t>
            </w:r>
          </w:p>
        </w:tc>
        <w:tc>
          <w:tcPr>
            <w:tcW w:w="220" w:type="dxa"/>
            <w:vAlign w:val="bottom"/>
          </w:tcPr>
          <w:p>
            <w:pPr>
              <w:spacing w:after="0"/>
              <w:rPr>
                <w:sz w:val="20"/>
                <w:szCs w:val="20"/>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The Nasdaq Stock Market</w:t>
            </w:r>
          </w:p>
        </w:tc>
      </w:tr>
    </w:tbl>
    <w:p>
      <w:pPr>
        <w:spacing w:after="0" w:line="173" w:lineRule="exact"/>
        <w:rPr>
          <w:sz w:val="24"/>
          <w:szCs w:val="24"/>
          <w:color w:val="auto"/>
        </w:rPr>
      </w:pPr>
    </w:p>
    <w:p>
      <w:pPr>
        <w:jc w:val="both"/>
        <w:ind w:right="20"/>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6" w:lineRule="exact"/>
        <w:rPr>
          <w:sz w:val="24"/>
          <w:szCs w:val="24"/>
          <w:color w:val="auto"/>
        </w:rPr>
      </w:pPr>
    </w:p>
    <w:p>
      <w:pPr>
        <w:ind w:right="60"/>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6" w:lineRule="exact"/>
        <w:rPr>
          <w:sz w:val="24"/>
          <w:szCs w:val="24"/>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22"/>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22"/>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5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173" w:lineRule="exact"/>
        <w:rPr>
          <w:sz w:val="24"/>
          <w:szCs w:val="24"/>
          <w:color w:val="auto"/>
        </w:rPr>
      </w:pPr>
    </w:p>
    <w:p>
      <w:pPr>
        <w:ind w:right="240"/>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7" w:lineRule="exact"/>
        <w:rPr>
          <w:sz w:val="24"/>
          <w:szCs w:val="24"/>
          <w:color w:val="auto"/>
        </w:rPr>
      </w:pPr>
    </w:p>
    <w:p>
      <w:pPr>
        <w:spacing w:after="0" w:line="207" w:lineRule="exact"/>
        <w:tabs>
          <w:tab w:leader="none" w:pos="8140" w:val="left"/>
          <w:tab w:leader="none" w:pos="88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ab/>
        <w:t xml:space="preserve">☒ </w:t>
      </w:r>
      <w:r>
        <w:rPr>
          <w:rFonts w:ascii="Times New Roman" w:cs="Times New Roman" w:eastAsia="Times New Roman" w:hAnsi="Times New Roman"/>
          <w:sz w:val="18"/>
          <w:szCs w:val="18"/>
          <w:color w:val="auto"/>
        </w:rPr>
        <w:t>No</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May 9, 2022 was 59,388,518.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1354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290195</wp:posOffset>
            </wp:positionV>
            <wp:extent cx="7135495" cy="33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336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440690</wp:posOffset>
            </wp:positionV>
            <wp:extent cx="713549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40" w:type="dxa"/>
            <w:vAlign w:val="bottom"/>
            <w:gridSpan w:val="9"/>
            <w:vMerge w:val="restart"/>
          </w:tcPr>
          <w:p>
            <w:pPr>
              <w:jc w:val="center"/>
              <w:ind w:right="3140"/>
              <w:spacing w:after="0"/>
              <w:rPr>
                <w:sz w:val="20"/>
                <w:szCs w:val="20"/>
                <w:color w:val="auto"/>
              </w:rPr>
            </w:pPr>
            <w:r>
              <w:rPr>
                <w:rFonts w:ascii="Times New Roman" w:cs="Times New Roman" w:eastAsia="Times New Roman" w:hAnsi="Times New Roman"/>
                <w:sz w:val="18"/>
                <w:szCs w:val="18"/>
                <w:color w:val="auto"/>
                <w:w w:val="95"/>
              </w:rPr>
              <w:t>PART I — FINANCIAL INFORMATION</w:t>
            </w:r>
          </w:p>
        </w:tc>
        <w:tc>
          <w:tcPr>
            <w:tcW w:w="7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40" w:type="dxa"/>
            <w:vAlign w:val="bottom"/>
            <w:gridSpan w:val="9"/>
            <w:vMerge w:val="continue"/>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6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Unaudited Condensed Consolidated Financial Statements (unaudited)</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80" w:type="dxa"/>
            <w:vAlign w:val="bottom"/>
            <w:shd w:val="clear" w:color="auto" w:fill="CCEEFF"/>
          </w:tcPr>
          <w:p>
            <w:pPr>
              <w:spacing w:after="0"/>
              <w:rPr>
                <w:sz w:val="16"/>
                <w:szCs w:val="16"/>
                <w:color w:val="auto"/>
              </w:rPr>
            </w:pPr>
          </w:p>
        </w:tc>
        <w:tc>
          <w:tcPr>
            <w:tcW w:w="9660" w:type="dxa"/>
            <w:vAlign w:val="bottom"/>
            <w:gridSpan w:val="17"/>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2022 and December 31, 2021</w:t>
            </w:r>
          </w:p>
        </w:tc>
        <w:tc>
          <w:tcPr>
            <w:tcW w:w="700" w:type="dxa"/>
            <w:vAlign w:val="bottom"/>
            <w:tcBorders>
              <w:right w:val="single" w:sz="8" w:color="CCEEFF"/>
            </w:tcBorders>
            <w:gridSpan w:val="2"/>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8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80" w:type="dxa"/>
            <w:vAlign w:val="bottom"/>
            <w:shd w:val="clear" w:color="auto" w:fill="CCEEFF"/>
          </w:tcPr>
          <w:p>
            <w:pPr>
              <w:spacing w:after="0"/>
              <w:rPr>
                <w:sz w:val="16"/>
                <w:szCs w:val="16"/>
                <w:color w:val="auto"/>
              </w:rPr>
            </w:pPr>
          </w:p>
        </w:tc>
        <w:tc>
          <w:tcPr>
            <w:tcW w:w="9660" w:type="dxa"/>
            <w:vAlign w:val="bottom"/>
            <w:gridSpan w:val="17"/>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March 31, 2022 and 2021</w:t>
            </w:r>
          </w:p>
        </w:tc>
        <w:tc>
          <w:tcPr>
            <w:tcW w:w="700" w:type="dxa"/>
            <w:vAlign w:val="bottom"/>
            <w:tcBorders>
              <w:right w:val="single" w:sz="8" w:color="CCEEFF"/>
            </w:tcBorders>
            <w:gridSpan w:val="2"/>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8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80" w:type="dxa"/>
            <w:vAlign w:val="bottom"/>
            <w:shd w:val="clear" w:color="auto" w:fill="CCEEFF"/>
          </w:tcPr>
          <w:p>
            <w:pPr>
              <w:spacing w:after="0"/>
              <w:rPr>
                <w:sz w:val="16"/>
                <w:szCs w:val="16"/>
                <w:color w:val="auto"/>
              </w:rPr>
            </w:pPr>
          </w:p>
        </w:tc>
        <w:tc>
          <w:tcPr>
            <w:tcW w:w="9660" w:type="dxa"/>
            <w:vAlign w:val="bottom"/>
            <w:gridSpan w:val="17"/>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2022 and 2021</w:t>
            </w:r>
          </w:p>
        </w:tc>
        <w:tc>
          <w:tcPr>
            <w:tcW w:w="700" w:type="dxa"/>
            <w:vAlign w:val="bottom"/>
            <w:tcBorders>
              <w:right w:val="single" w:sz="8" w:color="CCEEFF"/>
            </w:tcBorders>
            <w:gridSpan w:val="2"/>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8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880" w:type="dxa"/>
            <w:vAlign w:val="bottom"/>
            <w:shd w:val="clear" w:color="auto" w:fill="CCEEFF"/>
          </w:tcPr>
          <w:p>
            <w:pPr>
              <w:spacing w:after="0"/>
              <w:rPr>
                <w:sz w:val="14"/>
                <w:szCs w:val="14"/>
                <w:color w:val="auto"/>
              </w:rPr>
            </w:pPr>
          </w:p>
        </w:tc>
        <w:tc>
          <w:tcPr>
            <w:tcW w:w="9660" w:type="dxa"/>
            <w:vAlign w:val="bottom"/>
            <w:gridSpan w:val="17"/>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Redeemable Convertible Preferred Stock and Stockholders’ Equity (Deficit) for the</w:t>
            </w:r>
          </w:p>
        </w:tc>
        <w:tc>
          <w:tcPr>
            <w:tcW w:w="16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tcBorders>
              <w:top w:val="single" w:sz="8" w:color="CCEEFF"/>
            </w:tcBorders>
            <w:shd w:val="clear" w:color="auto" w:fill="CCEEFF"/>
          </w:tcPr>
          <w:p>
            <w:pPr>
              <w:spacing w:after="0"/>
              <w:rPr>
                <w:sz w:val="18"/>
                <w:szCs w:val="18"/>
                <w:color w:val="auto"/>
              </w:rPr>
            </w:pPr>
          </w:p>
        </w:tc>
        <w:tc>
          <w:tcPr>
            <w:tcW w:w="9480" w:type="dxa"/>
            <w:vAlign w:val="bottom"/>
            <w:tcBorders>
              <w:top w:val="single" w:sz="8" w:color="0000EE"/>
            </w:tcBorders>
            <w:gridSpan w:val="16"/>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0000EE"/>
              </w:rPr>
              <w:t>three months ended March 31, 2022 and 2021</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right w:val="single" w:sz="8" w:color="CCEEFF"/>
            </w:tcBorders>
            <w:gridSpan w:val="2"/>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8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80" w:type="dxa"/>
            <w:vAlign w:val="bottom"/>
            <w:shd w:val="clear" w:color="auto" w:fill="CCEEFF"/>
          </w:tcPr>
          <w:p>
            <w:pPr>
              <w:spacing w:after="0"/>
              <w:rPr>
                <w:sz w:val="16"/>
                <w:szCs w:val="16"/>
                <w:color w:val="auto"/>
              </w:rPr>
            </w:pPr>
          </w:p>
        </w:tc>
        <w:tc>
          <w:tcPr>
            <w:tcW w:w="9660" w:type="dxa"/>
            <w:vAlign w:val="bottom"/>
            <w:gridSpan w:val="17"/>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700" w:type="dxa"/>
            <w:vAlign w:val="bottom"/>
            <w:tcBorders>
              <w:right w:val="single" w:sz="8" w:color="CCEEFF"/>
            </w:tcBorders>
            <w:gridSpan w:val="2"/>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8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ITEM 2.</w:t>
            </w:r>
          </w:p>
        </w:tc>
        <w:tc>
          <w:tcPr>
            <w:tcW w:w="9660" w:type="dxa"/>
            <w:vAlign w:val="bottom"/>
            <w:gridSpan w:val="17"/>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00" w:type="dxa"/>
            <w:vAlign w:val="bottom"/>
            <w:tcBorders>
              <w:right w:val="single" w:sz="8" w:color="CCEEFF"/>
            </w:tcBorders>
            <w:gridSpan w:val="2"/>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8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ITEM 3.</w:t>
            </w:r>
          </w:p>
        </w:tc>
        <w:tc>
          <w:tcPr>
            <w:tcW w:w="9660" w:type="dxa"/>
            <w:vAlign w:val="bottom"/>
            <w:gridSpan w:val="17"/>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00" w:type="dxa"/>
            <w:vAlign w:val="bottom"/>
            <w:tcBorders>
              <w:right w:val="single" w:sz="8" w:color="CCEEFF"/>
            </w:tcBorders>
            <w:gridSpan w:val="2"/>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8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ITEM 4.</w:t>
            </w:r>
          </w:p>
        </w:tc>
        <w:tc>
          <w:tcPr>
            <w:tcW w:w="9660" w:type="dxa"/>
            <w:vAlign w:val="bottom"/>
            <w:gridSpan w:val="17"/>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0000EE"/>
              </w:rPr>
              <w:t>Controls and Procedures</w:t>
            </w:r>
          </w:p>
        </w:tc>
        <w:tc>
          <w:tcPr>
            <w:tcW w:w="700" w:type="dxa"/>
            <w:vAlign w:val="bottom"/>
            <w:tcBorders>
              <w:right w:val="single" w:sz="8" w:color="CCEEFF"/>
            </w:tcBorders>
            <w:gridSpan w:val="2"/>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8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40" w:type="dxa"/>
            <w:vAlign w:val="bottom"/>
            <w:gridSpan w:val="9"/>
            <w:shd w:val="clear" w:color="auto" w:fill="CCEEFF"/>
          </w:tcPr>
          <w:p>
            <w:pPr>
              <w:jc w:val="center"/>
              <w:ind w:right="3120"/>
              <w:spacing w:after="0"/>
              <w:rPr>
                <w:sz w:val="20"/>
                <w:szCs w:val="20"/>
                <w:color w:val="auto"/>
              </w:rPr>
            </w:pPr>
            <w:r>
              <w:rPr>
                <w:rFonts w:ascii="Times New Roman" w:cs="Times New Roman" w:eastAsia="Times New Roman" w:hAnsi="Times New Roman"/>
                <w:sz w:val="18"/>
                <w:szCs w:val="18"/>
                <w:color w:val="auto"/>
                <w:w w:val="95"/>
              </w:rPr>
              <w:t>PART II — OTHER INFORMATION</w:t>
            </w:r>
          </w:p>
        </w:tc>
        <w:tc>
          <w:tcPr>
            <w:tcW w:w="16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ITEM 1.</w:t>
            </w:r>
          </w:p>
        </w:tc>
        <w:tc>
          <w:tcPr>
            <w:tcW w:w="9660" w:type="dxa"/>
            <w:vAlign w:val="bottom"/>
            <w:gridSpan w:val="17"/>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0000EE"/>
              </w:rPr>
              <w:t>Legal Proceedings</w:t>
            </w:r>
          </w:p>
        </w:tc>
        <w:tc>
          <w:tcPr>
            <w:tcW w:w="700" w:type="dxa"/>
            <w:vAlign w:val="bottom"/>
            <w:tcBorders>
              <w:right w:val="single" w:sz="8" w:color="CCEEFF"/>
            </w:tcBorders>
            <w:gridSpan w:val="2"/>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8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ITEM 1A.</w:t>
            </w:r>
          </w:p>
        </w:tc>
        <w:tc>
          <w:tcPr>
            <w:tcW w:w="9660" w:type="dxa"/>
            <w:vAlign w:val="bottom"/>
            <w:gridSpan w:val="17"/>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0000EE"/>
              </w:rPr>
              <w:t>Risk Factors</w:t>
            </w:r>
          </w:p>
        </w:tc>
        <w:tc>
          <w:tcPr>
            <w:tcW w:w="700" w:type="dxa"/>
            <w:vAlign w:val="bottom"/>
            <w:tcBorders>
              <w:right w:val="single" w:sz="8" w:color="CCEEFF"/>
            </w:tcBorders>
            <w:gridSpan w:val="2"/>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8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ITEM 2.</w:t>
            </w:r>
          </w:p>
        </w:tc>
        <w:tc>
          <w:tcPr>
            <w:tcW w:w="9660" w:type="dxa"/>
            <w:vAlign w:val="bottom"/>
            <w:gridSpan w:val="17"/>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00" w:type="dxa"/>
            <w:vAlign w:val="bottom"/>
            <w:tcBorders>
              <w:right w:val="single" w:sz="8" w:color="CCEEFF"/>
            </w:tcBorders>
            <w:gridSpan w:val="2"/>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8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ITEM 3.</w:t>
            </w:r>
          </w:p>
        </w:tc>
        <w:tc>
          <w:tcPr>
            <w:tcW w:w="9660" w:type="dxa"/>
            <w:vAlign w:val="bottom"/>
            <w:gridSpan w:val="17"/>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700" w:type="dxa"/>
            <w:vAlign w:val="bottom"/>
            <w:tcBorders>
              <w:right w:val="single" w:sz="8" w:color="CCEEFF"/>
            </w:tcBorders>
            <w:gridSpan w:val="2"/>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8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ITEM 4.</w:t>
            </w:r>
          </w:p>
        </w:tc>
        <w:tc>
          <w:tcPr>
            <w:tcW w:w="9660" w:type="dxa"/>
            <w:vAlign w:val="bottom"/>
            <w:gridSpan w:val="17"/>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0000EE"/>
              </w:rPr>
              <w:t>Mine Safety Disclosures</w:t>
            </w:r>
          </w:p>
        </w:tc>
        <w:tc>
          <w:tcPr>
            <w:tcW w:w="700" w:type="dxa"/>
            <w:vAlign w:val="bottom"/>
            <w:tcBorders>
              <w:right w:val="single" w:sz="8" w:color="CCEEFF"/>
            </w:tcBorders>
            <w:gridSpan w:val="2"/>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8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ITEM 5.</w:t>
            </w:r>
          </w:p>
        </w:tc>
        <w:tc>
          <w:tcPr>
            <w:tcW w:w="9660" w:type="dxa"/>
            <w:vAlign w:val="bottom"/>
            <w:gridSpan w:val="17"/>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0000EE"/>
              </w:rPr>
              <w:t>Other Information</w:t>
            </w:r>
          </w:p>
        </w:tc>
        <w:tc>
          <w:tcPr>
            <w:tcW w:w="700" w:type="dxa"/>
            <w:vAlign w:val="bottom"/>
            <w:tcBorders>
              <w:right w:val="single" w:sz="8" w:color="CCEEFF"/>
            </w:tcBorders>
            <w:gridSpan w:val="2"/>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8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ITEM 6.</w:t>
            </w:r>
          </w:p>
        </w:tc>
        <w:tc>
          <w:tcPr>
            <w:tcW w:w="9660" w:type="dxa"/>
            <w:vAlign w:val="bottom"/>
            <w:gridSpan w:val="17"/>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0000EE"/>
              </w:rPr>
              <w:t>Exhibits</w:t>
            </w:r>
          </w:p>
        </w:tc>
        <w:tc>
          <w:tcPr>
            <w:tcW w:w="700" w:type="dxa"/>
            <w:vAlign w:val="bottom"/>
            <w:tcBorders>
              <w:right w:val="single" w:sz="8" w:color="CCEEFF"/>
            </w:tcBorders>
            <w:gridSpan w:val="2"/>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8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0540" w:type="dxa"/>
            <w:vAlign w:val="bottom"/>
            <w:gridSpan w:val="18"/>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0000EE"/>
              </w:rPr>
              <w:t>SIGNATURES</w:t>
            </w:r>
          </w:p>
        </w:tc>
        <w:tc>
          <w:tcPr>
            <w:tcW w:w="700" w:type="dxa"/>
            <w:vAlign w:val="bottom"/>
            <w:tcBorders>
              <w:right w:val="single" w:sz="8" w:color="CCEEFF"/>
            </w:tcBorders>
            <w:gridSpan w:val="2"/>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88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96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146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98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9"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w w:val="96"/>
              </w:rPr>
              <w:t>Index</w:t>
            </w:r>
          </w:p>
        </w:tc>
        <w:tc>
          <w:tcPr>
            <w:tcW w:w="8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2"/>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24"/>
                <w:szCs w:val="24"/>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(in</w:t>
            </w:r>
          </w:p>
        </w:tc>
        <w:tc>
          <w:tcPr>
            <w:tcW w:w="1340" w:type="dxa"/>
            <w:vAlign w:val="bottom"/>
            <w:gridSpan w:val="4"/>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8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31,606</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39,648</w:t>
            </w:r>
          </w:p>
        </w:tc>
        <w:tc>
          <w:tcPr>
            <w:tcW w:w="0" w:type="dxa"/>
            <w:vAlign w:val="bottom"/>
          </w:tcPr>
          <w:p>
            <w:pPr>
              <w:spacing w:after="0"/>
              <w:rPr>
                <w:sz w:val="1"/>
                <w:szCs w:val="1"/>
                <w:color w:val="auto"/>
              </w:rPr>
            </w:pPr>
          </w:p>
        </w:tc>
      </w:tr>
      <w:tr>
        <w:trPr>
          <w:trHeight w:val="21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6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1"/>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8680" w:type="dxa"/>
            <w:vAlign w:val="bottom"/>
            <w:gridSpan w:val="2"/>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EQUITY</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40" w:type="dxa"/>
            <w:vAlign w:val="bottom"/>
          </w:tcPr>
          <w:p>
            <w:pPr>
              <w:spacing w:after="0"/>
              <w:rPr>
                <w:sz w:val="18"/>
                <w:szCs w:val="18"/>
                <w:color w:val="auto"/>
              </w:rPr>
            </w:pP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dividends payable</w:t>
            </w:r>
          </w:p>
        </w:tc>
        <w:tc>
          <w:tcPr>
            <w:tcW w:w="120" w:type="dxa"/>
            <w:vAlign w:val="bottom"/>
          </w:tcPr>
          <w:p>
            <w:pPr>
              <w:spacing w:after="0"/>
              <w:rPr>
                <w:sz w:val="18"/>
                <w:szCs w:val="18"/>
                <w:color w:val="auto"/>
              </w:rPr>
            </w:pPr>
          </w:p>
        </w:tc>
        <w:tc>
          <w:tcPr>
            <w:tcW w:w="114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6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notes payable and accrued interest, net of discounts – related party (Note 3)</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29,048</w:t>
            </w:r>
          </w:p>
        </w:tc>
        <w:tc>
          <w:tcPr>
            <w:tcW w:w="0" w:type="dxa"/>
            <w:vAlign w:val="bottom"/>
          </w:tcPr>
          <w:p>
            <w:pPr>
              <w:spacing w:after="0"/>
              <w:rPr>
                <w:sz w:val="1"/>
                <w:szCs w:val="1"/>
                <w:color w:val="auto"/>
              </w:rPr>
            </w:pPr>
          </w:p>
        </w:tc>
      </w:tr>
      <w:tr>
        <w:trPr>
          <w:trHeight w:val="211"/>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 (Note 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68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Series C super dividend redeemable convertible preferred stock; 1,000 shares authorized, 176 shares issued and</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 at March 31, 2022 and December 31, 2021, redemption value: $8,362,000, liquidation value: $1,760,000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at March 31, 2022</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20" w:type="dxa"/>
            <w:vAlign w:val="bottom"/>
            <w:shd w:val="clear" w:color="auto" w:fill="CCEEFF"/>
          </w:tcPr>
          <w:p>
            <w:pPr>
              <w:spacing w:after="0"/>
              <w:rPr>
                <w:sz w:val="16"/>
                <w:szCs w:val="16"/>
                <w:color w:val="auto"/>
              </w:rPr>
            </w:pPr>
          </w:p>
        </w:tc>
        <w:tc>
          <w:tcPr>
            <w:tcW w:w="83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Undesignated stock, $0.01 par value; 20,000,000 shares authorized, 20,000,000 designated at March 31, 2022 and</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20" w:type="dxa"/>
            <w:vAlign w:val="bottom"/>
            <w:shd w:val="clear" w:color="auto" w:fill="CCEEFF"/>
          </w:tcPr>
          <w:p>
            <w:pPr>
              <w:spacing w:after="0"/>
              <w:rPr>
                <w:sz w:val="19"/>
                <w:szCs w:val="19"/>
                <w:color w:val="auto"/>
              </w:rPr>
            </w:pPr>
          </w:p>
        </w:tc>
        <w:tc>
          <w:tcPr>
            <w:tcW w:w="8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836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Series A 12% convertible preferred stock; 1,742,500 shares authorized, 1,302,500 issued and outstanding at March</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 2022 and December 31, 2021, liquidation value $1,302,500 at March 31, 2022</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193"/>
        </w:trPr>
        <w:tc>
          <w:tcPr>
            <w:tcW w:w="320" w:type="dxa"/>
            <w:vAlign w:val="bottom"/>
            <w:shd w:val="clear" w:color="auto" w:fill="CCEEFF"/>
          </w:tcPr>
          <w:p>
            <w:pPr>
              <w:spacing w:after="0"/>
              <w:rPr>
                <w:sz w:val="16"/>
                <w:szCs w:val="16"/>
                <w:color w:val="auto"/>
              </w:rPr>
            </w:pPr>
          </w:p>
        </w:tc>
        <w:tc>
          <w:tcPr>
            <w:tcW w:w="83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Common stock, $0.001 par value; 150,000,000 shares authorized at March 31, 2022 and December 31, 2021,</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20" w:type="dxa"/>
            <w:vAlign w:val="bottom"/>
            <w:shd w:val="clear" w:color="auto" w:fill="CCEEFF"/>
          </w:tcPr>
          <w:p>
            <w:pPr>
              <w:spacing w:after="0"/>
              <w:rPr>
                <w:sz w:val="19"/>
                <w:szCs w:val="19"/>
                <w:color w:val="auto"/>
              </w:rPr>
            </w:pPr>
          </w:p>
        </w:tc>
        <w:tc>
          <w:tcPr>
            <w:tcW w:w="8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59,388,518 and 59,341,305 issued and outstanding at March 31, 2022 and December 31, 2021, respectively</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deficit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(270,694)</w:t>
            </w:r>
          </w:p>
        </w:tc>
        <w:tc>
          <w:tcPr>
            <w:tcW w:w="0" w:type="dxa"/>
            <w:vAlign w:val="bottom"/>
          </w:tcPr>
          <w:p>
            <w:pPr>
              <w:spacing w:after="0"/>
              <w:rPr>
                <w:sz w:val="1"/>
                <w:szCs w:val="1"/>
                <w:color w:val="auto"/>
              </w:rPr>
            </w:pPr>
          </w:p>
        </w:tc>
      </w:tr>
      <w:tr>
        <w:trPr>
          <w:trHeight w:val="26"/>
        </w:trPr>
        <w:tc>
          <w:tcPr>
            <w:tcW w:w="320" w:type="dxa"/>
            <w:vAlign w:val="bottom"/>
            <w:shd w:val="clear" w:color="auto" w:fill="CCEEFF"/>
          </w:tcPr>
          <w:p>
            <w:pPr>
              <w:spacing w:after="0"/>
              <w:rPr>
                <w:sz w:val="2"/>
                <w:szCs w:val="2"/>
                <w:color w:val="auto"/>
              </w:rPr>
            </w:pPr>
          </w:p>
        </w:tc>
        <w:tc>
          <w:tcPr>
            <w:tcW w:w="83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32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51"/>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equity (deficit)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condensed consolidated financial statements.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w w:val="96"/>
              </w:rPr>
              <w:t>Index</w:t>
            </w:r>
          </w:p>
        </w:tc>
        <w:tc>
          <w:tcPr>
            <w:tcW w:w="8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5"/>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2"/>
        </w:trPr>
        <w:tc>
          <w:tcPr>
            <w:tcW w:w="32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2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w w:val="98"/>
              </w:rPr>
              <w:t>(in thousands, except per share data)</w:t>
            </w:r>
          </w:p>
        </w:tc>
        <w:tc>
          <w:tcPr>
            <w:tcW w:w="0" w:type="dxa"/>
            <w:vAlign w:val="bottom"/>
          </w:tcPr>
          <w:p>
            <w:pPr>
              <w:spacing w:after="0"/>
              <w:rPr>
                <w:sz w:val="1"/>
                <w:szCs w:val="1"/>
                <w:color w:val="auto"/>
              </w:rPr>
            </w:pPr>
          </w:p>
        </w:tc>
      </w:tr>
      <w:tr>
        <w:trPr>
          <w:trHeight w:val="191"/>
        </w:trPr>
        <w:tc>
          <w:tcPr>
            <w:tcW w:w="84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44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0" w:type="dxa"/>
            <w:vAlign w:val="bottom"/>
            <w:tcBorders>
              <w:bottom w:val="single" w:sz="8" w:color="CCEEFF"/>
            </w:tcBorders>
            <w:shd w:val="clear" w:color="auto" w:fill="CCEEFF"/>
          </w:tcPr>
          <w:p>
            <w:pPr>
              <w:spacing w:after="0"/>
              <w:rPr>
                <w:sz w:val="18"/>
                <w:szCs w:val="18"/>
                <w:color w:val="auto"/>
              </w:rPr>
            </w:pPr>
          </w:p>
        </w:tc>
        <w:tc>
          <w:tcPr>
            <w:tcW w:w="812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loss</w:t>
            </w:r>
          </w:p>
        </w:tc>
        <w:tc>
          <w:tcPr>
            <w:tcW w:w="2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(6,317)</w:t>
            </w:r>
          </w:p>
        </w:tc>
        <w:tc>
          <w:tcPr>
            <w:tcW w:w="0" w:type="dxa"/>
            <w:vAlign w:val="bottom"/>
          </w:tcPr>
          <w:p>
            <w:pPr>
              <w:spacing w:after="0"/>
              <w:rPr>
                <w:sz w:val="1"/>
                <w:szCs w:val="1"/>
                <w:color w:val="auto"/>
              </w:rPr>
            </w:pPr>
          </w:p>
        </w:tc>
      </w:tr>
      <w:tr>
        <w:trPr>
          <w:trHeight w:val="211"/>
        </w:trPr>
        <w:tc>
          <w:tcPr>
            <w:tcW w:w="84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1"/>
        </w:trPr>
        <w:tc>
          <w:tcPr>
            <w:tcW w:w="844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 of derivatives</w:t>
            </w:r>
          </w:p>
        </w:tc>
        <w:tc>
          <w:tcPr>
            <w:tcW w:w="2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8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7"/>
        </w:trPr>
        <w:tc>
          <w:tcPr>
            <w:tcW w:w="320" w:type="dxa"/>
            <w:vAlign w:val="bottom"/>
            <w:tcBorders>
              <w:bottom w:val="single" w:sz="8" w:color="CCEEFF"/>
            </w:tcBorders>
            <w:shd w:val="clear" w:color="auto" w:fill="CCEEFF"/>
          </w:tcPr>
          <w:p>
            <w:pPr>
              <w:spacing w:after="0"/>
              <w:rPr>
                <w:sz w:val="18"/>
                <w:szCs w:val="18"/>
                <w:color w:val="auto"/>
              </w:rPr>
            </w:pPr>
          </w:p>
        </w:tc>
        <w:tc>
          <w:tcPr>
            <w:tcW w:w="812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(9,932)</w:t>
            </w:r>
          </w:p>
        </w:tc>
        <w:tc>
          <w:tcPr>
            <w:tcW w:w="46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(6,338)</w:t>
            </w:r>
          </w:p>
        </w:tc>
        <w:tc>
          <w:tcPr>
            <w:tcW w:w="0" w:type="dxa"/>
            <w:vAlign w:val="bottom"/>
          </w:tcPr>
          <w:p>
            <w:pPr>
              <w:spacing w:after="0"/>
              <w:rPr>
                <w:sz w:val="1"/>
                <w:szCs w:val="1"/>
                <w:color w:val="auto"/>
              </w:rPr>
            </w:pPr>
          </w:p>
        </w:tc>
      </w:tr>
      <w:tr>
        <w:trPr>
          <w:trHeight w:val="26"/>
        </w:trPr>
        <w:tc>
          <w:tcPr>
            <w:tcW w:w="3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84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6"/>
        </w:trPr>
        <w:tc>
          <w:tcPr>
            <w:tcW w:w="320" w:type="dxa"/>
            <w:vAlign w:val="bottom"/>
            <w:shd w:val="clear" w:color="auto" w:fill="CCEEFF"/>
          </w:tcPr>
          <w:p>
            <w:pPr>
              <w:spacing w:after="0"/>
              <w:rPr>
                <w:sz w:val="2"/>
                <w:szCs w:val="2"/>
                <w:color w:val="auto"/>
              </w:rPr>
            </w:pPr>
          </w:p>
        </w:tc>
        <w:tc>
          <w:tcPr>
            <w:tcW w:w="81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(9,916)</w:t>
            </w:r>
          </w:p>
        </w:tc>
        <w:tc>
          <w:tcPr>
            <w:tcW w:w="46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(6,340)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40" w:type="dxa"/>
            <w:vAlign w:val="bottom"/>
            <w:tcBorders>
              <w:right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(0.17)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28"/>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59,354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57,132</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w w:val="96"/>
              </w:rPr>
              <w:t>Index</w:t>
            </w:r>
          </w:p>
        </w:tc>
        <w:tc>
          <w:tcPr>
            <w:tcW w:w="8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5"/>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2"/>
        </w:trPr>
        <w:tc>
          <w:tcPr>
            <w:tcW w:w="3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20"/>
                <w:szCs w:val="20"/>
                <w:color w:val="auto"/>
              </w:rPr>
            </w:pP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(in</w:t>
            </w:r>
          </w:p>
        </w:tc>
        <w:tc>
          <w:tcPr>
            <w:tcW w:w="1340" w:type="dxa"/>
            <w:vAlign w:val="bottom"/>
            <w:gridSpan w:val="4"/>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6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(9,932)</w:t>
            </w:r>
          </w:p>
        </w:tc>
        <w:tc>
          <w:tcPr>
            <w:tcW w:w="42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(6,338)</w:t>
            </w:r>
          </w:p>
        </w:tc>
        <w:tc>
          <w:tcPr>
            <w:tcW w:w="0" w:type="dxa"/>
            <w:vAlign w:val="bottom"/>
          </w:tcPr>
          <w:p>
            <w:pPr>
              <w:spacing w:after="0"/>
              <w:rPr>
                <w:sz w:val="1"/>
                <w:szCs w:val="1"/>
                <w:color w:val="auto"/>
              </w:rPr>
            </w:pPr>
          </w:p>
        </w:tc>
      </w:tr>
      <w:tr>
        <w:trPr>
          <w:trHeight w:val="211"/>
        </w:trPr>
        <w:tc>
          <w:tcPr>
            <w:tcW w:w="8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flows from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0" w:type="dxa"/>
            <w:vAlign w:val="bottom"/>
            <w:shd w:val="clear" w:color="auto" w:fill="CCEEFF"/>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right to use lease asset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0" w:type="dxa"/>
            <w:vAlign w:val="bottom"/>
            <w:shd w:val="clear" w:color="auto" w:fill="CCEEFF"/>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interest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20" w:type="dxa"/>
            <w:vAlign w:val="bottom"/>
            <w:shd w:val="clear" w:color="auto" w:fill="CCEEFF"/>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1"/>
        </w:trPr>
        <w:tc>
          <w:tcPr>
            <w:tcW w:w="320" w:type="dxa"/>
            <w:vAlign w:val="bottom"/>
            <w:shd w:val="clear" w:color="auto" w:fill="CCEEFF"/>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17"/>
        </w:trPr>
        <w:tc>
          <w:tcPr>
            <w:tcW w:w="3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interest on convertible debt - related party</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320" w:type="dxa"/>
            <w:vAlign w:val="bottom"/>
            <w:tcBorders>
              <w:bottom w:val="single" w:sz="8" w:color="CCEEFF"/>
            </w:tcBorders>
            <w:shd w:val="clear" w:color="auto" w:fill="CCEEFF"/>
          </w:tcPr>
          <w:p>
            <w:pPr>
              <w:spacing w:after="0"/>
              <w:rPr>
                <w:sz w:val="18"/>
                <w:szCs w:val="18"/>
                <w:color w:val="auto"/>
              </w:rPr>
            </w:pPr>
          </w:p>
        </w:tc>
        <w:tc>
          <w:tcPr>
            <w:tcW w:w="83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6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proceeds from issuance of common stock and warrants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240" w:type="dxa"/>
            <w:vAlign w:val="bottom"/>
          </w:tcPr>
          <w:p>
            <w:pPr>
              <w:spacing w:after="0"/>
              <w:rPr>
                <w:sz w:val="18"/>
                <w:szCs w:val="18"/>
                <w:color w:val="auto"/>
              </w:rPr>
            </w:pPr>
          </w:p>
        </w:tc>
        <w:tc>
          <w:tcPr>
            <w:tcW w:w="10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27,142</w:t>
            </w:r>
          </w:p>
        </w:tc>
        <w:tc>
          <w:tcPr>
            <w:tcW w:w="0" w:type="dxa"/>
            <w:vAlign w:val="bottom"/>
          </w:tcPr>
          <w:p>
            <w:pPr>
              <w:spacing w:after="0"/>
              <w:rPr>
                <w:sz w:val="1"/>
                <w:szCs w:val="1"/>
                <w:color w:val="auto"/>
              </w:rPr>
            </w:pPr>
          </w:p>
        </w:tc>
      </w:tr>
      <w:tr>
        <w:trPr>
          <w:trHeight w:val="251"/>
        </w:trPr>
        <w:tc>
          <w:tcPr>
            <w:tcW w:w="8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6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NONCASH FINANCING ACTIVITIES: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 of preferred stock dividends in common stock</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Reclassification of accrued bonus to additional paid in capital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Noncash right to use lease asset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CONVERTIBLE PREFERRED STOCK AND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EQUITY (DEFICIT) (UNAUDITED)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680" w:type="dxa"/>
            <w:vAlign w:val="bottom"/>
          </w:tcPr>
          <w:p>
            <w:pPr>
              <w:spacing w:after="0"/>
              <w:rPr>
                <w:sz w:val="18"/>
                <w:szCs w:val="18"/>
                <w:color w:val="auto"/>
              </w:rPr>
            </w:pPr>
          </w:p>
        </w:tc>
        <w:tc>
          <w:tcPr>
            <w:tcW w:w="24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Series C Super</w:t>
            </w:r>
          </w:p>
        </w:tc>
        <w:tc>
          <w:tcPr>
            <w:tcW w:w="100" w:type="dxa"/>
            <w:vAlign w:val="bottom"/>
          </w:tcPr>
          <w:p>
            <w:pPr>
              <w:spacing w:after="0"/>
              <w:rPr>
                <w:sz w:val="18"/>
                <w:szCs w:val="18"/>
                <w:color w:val="auto"/>
              </w:rPr>
            </w:pPr>
          </w:p>
        </w:tc>
      </w:tr>
      <w:tr>
        <w:trPr>
          <w:trHeight w:val="211"/>
        </w:trPr>
        <w:tc>
          <w:tcPr>
            <w:tcW w:w="8680" w:type="dxa"/>
            <w:vAlign w:val="bottom"/>
          </w:tcPr>
          <w:p>
            <w:pPr>
              <w:spacing w:after="0"/>
              <w:rPr>
                <w:sz w:val="18"/>
                <w:szCs w:val="18"/>
                <w:color w:val="auto"/>
              </w:rPr>
            </w:pPr>
          </w:p>
        </w:tc>
        <w:tc>
          <w:tcPr>
            <w:tcW w:w="24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Dividend Redeemable</w:t>
            </w:r>
          </w:p>
        </w:tc>
        <w:tc>
          <w:tcPr>
            <w:tcW w:w="100" w:type="dxa"/>
            <w:vAlign w:val="bottom"/>
          </w:tcPr>
          <w:p>
            <w:pPr>
              <w:spacing w:after="0"/>
              <w:rPr>
                <w:sz w:val="18"/>
                <w:szCs w:val="18"/>
                <w:color w:val="auto"/>
              </w:rPr>
            </w:pPr>
          </w:p>
        </w:tc>
      </w:tr>
      <w:tr>
        <w:trPr>
          <w:trHeight w:val="211"/>
        </w:trPr>
        <w:tc>
          <w:tcPr>
            <w:tcW w:w="8680" w:type="dxa"/>
            <w:vAlign w:val="bottom"/>
          </w:tcPr>
          <w:p>
            <w:pPr>
              <w:spacing w:after="0"/>
              <w:rPr>
                <w:sz w:val="18"/>
                <w:szCs w:val="18"/>
                <w:color w:val="auto"/>
              </w:rPr>
            </w:pPr>
          </w:p>
        </w:tc>
        <w:tc>
          <w:tcPr>
            <w:tcW w:w="24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Convertible</w:t>
            </w:r>
          </w:p>
        </w:tc>
        <w:tc>
          <w:tcPr>
            <w:tcW w:w="100" w:type="dxa"/>
            <w:vAlign w:val="bottom"/>
          </w:tcPr>
          <w:p>
            <w:pPr>
              <w:spacing w:after="0"/>
              <w:rPr>
                <w:sz w:val="18"/>
                <w:szCs w:val="18"/>
                <w:color w:val="auto"/>
              </w:rPr>
            </w:pPr>
          </w:p>
        </w:tc>
      </w:tr>
      <w:tr>
        <w:trPr>
          <w:trHeight w:val="238"/>
        </w:trPr>
        <w:tc>
          <w:tcPr>
            <w:tcW w:w="8680" w:type="dxa"/>
            <w:vAlign w:val="bottom"/>
          </w:tcPr>
          <w:p>
            <w:pPr>
              <w:spacing w:after="0"/>
              <w:rPr>
                <w:sz w:val="20"/>
                <w:szCs w:val="20"/>
                <w:color w:val="auto"/>
              </w:rPr>
            </w:pPr>
          </w:p>
        </w:tc>
        <w:tc>
          <w:tcPr>
            <w:tcW w:w="2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Preferred Stock</w:t>
            </w:r>
          </w:p>
        </w:tc>
        <w:tc>
          <w:tcPr>
            <w:tcW w:w="100" w:type="dxa"/>
            <w:vAlign w:val="bottom"/>
          </w:tcPr>
          <w:p>
            <w:pPr>
              <w:spacing w:after="0"/>
              <w:rPr>
                <w:sz w:val="20"/>
                <w:szCs w:val="20"/>
                <w:color w:val="auto"/>
              </w:rPr>
            </w:pPr>
          </w:p>
        </w:tc>
      </w:tr>
      <w:tr>
        <w:trPr>
          <w:trHeight w:val="190"/>
        </w:trPr>
        <w:tc>
          <w:tcPr>
            <w:tcW w:w="8680" w:type="dxa"/>
            <w:vAlign w:val="bottom"/>
          </w:tcPr>
          <w:p>
            <w:pPr>
              <w:spacing w:after="0"/>
              <w:rPr>
                <w:sz w:val="16"/>
                <w:szCs w:val="16"/>
                <w:color w:val="auto"/>
              </w:rPr>
            </w:pPr>
          </w:p>
        </w:tc>
        <w:tc>
          <w:tcPr>
            <w:tcW w:w="1120" w:type="dxa"/>
            <w:vAlign w:val="bottom"/>
          </w:tcPr>
          <w:p>
            <w:pPr>
              <w:jc w:val="right"/>
              <w:ind w:right="72"/>
              <w:spacing w:after="0" w:line="190"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r>
      <w:tr>
        <w:trPr>
          <w:trHeight w:val="21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1,723</w:t>
            </w:r>
          </w:p>
        </w:tc>
        <w:tc>
          <w:tcPr>
            <w:tcW w:w="100" w:type="dxa"/>
            <w:vAlign w:val="bottom"/>
          </w:tcPr>
          <w:p>
            <w:pPr>
              <w:spacing w:after="0"/>
              <w:rPr>
                <w:sz w:val="18"/>
                <w:szCs w:val="18"/>
                <w:color w:val="auto"/>
              </w:rPr>
            </w:pPr>
          </w:p>
        </w:tc>
      </w:tr>
      <w:tr>
        <w:trPr>
          <w:trHeight w:val="21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1"/>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1,723</w:t>
            </w:r>
          </w:p>
        </w:tc>
        <w:tc>
          <w:tcPr>
            <w:tcW w:w="10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180" w:type="dxa"/>
            <w:vAlign w:val="bottom"/>
          </w:tcPr>
          <w:p>
            <w:pPr>
              <w:spacing w:after="0"/>
              <w:rPr>
                <w:sz w:val="18"/>
                <w:szCs w:val="18"/>
                <w:color w:val="auto"/>
              </w:rPr>
            </w:pPr>
          </w:p>
        </w:tc>
        <w:tc>
          <w:tcPr>
            <w:tcW w:w="162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Series A 12%</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80" w:type="dxa"/>
            <w:vAlign w:val="bottom"/>
          </w:tcPr>
          <w:p>
            <w:pPr>
              <w:spacing w:after="0"/>
              <w:rPr>
                <w:sz w:val="18"/>
                <w:szCs w:val="18"/>
                <w:color w:val="auto"/>
              </w:rPr>
            </w:pPr>
          </w:p>
        </w:tc>
        <w:tc>
          <w:tcPr>
            <w:tcW w:w="1220" w:type="dxa"/>
            <w:vAlign w:val="bottom"/>
            <w:gridSpan w:val="3"/>
          </w:tcPr>
          <w:p>
            <w:pPr>
              <w:jc w:val="center"/>
              <w:ind w:left="212"/>
              <w:spacing w:after="0"/>
              <w:rPr>
                <w:sz w:val="20"/>
                <w:szCs w:val="20"/>
                <w:color w:val="auto"/>
              </w:rPr>
            </w:pPr>
            <w:r>
              <w:rPr>
                <w:rFonts w:ascii="Times New Roman" w:cs="Times New Roman" w:eastAsia="Times New Roman" w:hAnsi="Times New Roman"/>
                <w:sz w:val="18"/>
                <w:szCs w:val="18"/>
                <w:b w:val="1"/>
                <w:bCs w:val="1"/>
                <w:color w:val="auto"/>
                <w:w w:val="96"/>
              </w:rPr>
              <w:t>Convertible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80" w:type="dxa"/>
            <w:vAlign w:val="bottom"/>
          </w:tcPr>
          <w:p>
            <w:pPr>
              <w:spacing w:after="0"/>
              <w:rPr>
                <w:sz w:val="20"/>
                <w:szCs w:val="20"/>
                <w:color w:val="auto"/>
              </w:rPr>
            </w:pPr>
          </w:p>
        </w:tc>
        <w:tc>
          <w:tcPr>
            <w:tcW w:w="162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Preferred Stock</w:t>
            </w:r>
          </w:p>
        </w:tc>
        <w:tc>
          <w:tcPr>
            <w:tcW w:w="14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w w:val="97"/>
              </w:rPr>
              <w:t>Common Stock</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180" w:type="dxa"/>
            <w:vAlign w:val="bottom"/>
          </w:tcPr>
          <w:p>
            <w:pPr>
              <w:spacing w:after="0"/>
              <w:rPr>
                <w:sz w:val="16"/>
                <w:szCs w:val="16"/>
                <w:color w:val="auto"/>
              </w:rPr>
            </w:pPr>
          </w:p>
        </w:tc>
        <w:tc>
          <w:tcPr>
            <w:tcW w:w="8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4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00"/>
              <w:spacing w:after="0" w:line="190"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84"/>
        </w:trPr>
        <w:tc>
          <w:tcPr>
            <w:tcW w:w="5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Additional</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11"/>
        </w:trPr>
        <w:tc>
          <w:tcPr>
            <w:tcW w:w="518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of</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6"/>
              </w:rPr>
              <w:t>Paid-In</w:t>
            </w:r>
          </w:p>
        </w:tc>
        <w:tc>
          <w:tcPr>
            <w:tcW w:w="60" w:type="dxa"/>
            <w:vAlign w:val="bottom"/>
          </w:tcPr>
          <w:p>
            <w:pPr>
              <w:spacing w:after="0"/>
              <w:rPr>
                <w:sz w:val="18"/>
                <w:szCs w:val="18"/>
                <w:color w:val="auto"/>
              </w:rPr>
            </w:pPr>
          </w:p>
        </w:tc>
        <w:tc>
          <w:tcPr>
            <w:tcW w:w="8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4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Equity</w:t>
            </w:r>
          </w:p>
        </w:tc>
        <w:tc>
          <w:tcPr>
            <w:tcW w:w="0" w:type="dxa"/>
            <w:vAlign w:val="bottom"/>
          </w:tcPr>
          <w:p>
            <w:pPr>
              <w:spacing w:after="0"/>
              <w:rPr>
                <w:sz w:val="1"/>
                <w:szCs w:val="1"/>
                <w:color w:val="auto"/>
              </w:rPr>
            </w:pPr>
          </w:p>
        </w:tc>
      </w:tr>
      <w:tr>
        <w:trPr>
          <w:trHeight w:val="238"/>
        </w:trPr>
        <w:tc>
          <w:tcPr>
            <w:tcW w:w="5180" w:type="dxa"/>
            <w:vAlign w:val="bottom"/>
          </w:tcPr>
          <w:p>
            <w:pPr>
              <w:spacing w:after="0"/>
              <w:rPr>
                <w:sz w:val="20"/>
                <w:szCs w:val="20"/>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60" w:type="dxa"/>
            <w:vAlign w:val="bottom"/>
          </w:tcPr>
          <w:p>
            <w:pPr>
              <w:spacing w:after="0"/>
              <w:rPr>
                <w:sz w:val="20"/>
                <w:szCs w:val="20"/>
                <w:color w:val="auto"/>
              </w:rPr>
            </w:pPr>
          </w:p>
        </w:tc>
        <w:tc>
          <w:tcPr>
            <w:tcW w:w="84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20"/>
                <w:szCs w:val="20"/>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0" w:type="dxa"/>
            <w:vAlign w:val="bottom"/>
          </w:tcPr>
          <w:p>
            <w:pPr>
              <w:spacing w:after="0"/>
              <w:rPr>
                <w:sz w:val="1"/>
                <w:szCs w:val="1"/>
                <w:color w:val="auto"/>
              </w:rPr>
            </w:pPr>
          </w:p>
        </w:tc>
      </w:tr>
      <w:tr>
        <w:trPr>
          <w:trHeight w:val="211"/>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7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4"/>
              </w:rPr>
              <w:t>1,302,500</w:t>
            </w:r>
          </w:p>
        </w:tc>
        <w:tc>
          <w:tcPr>
            <w:tcW w:w="1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w:t>
            </w:r>
          </w:p>
        </w:tc>
        <w:tc>
          <w:tcPr>
            <w:tcW w:w="1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57,077,055</w:t>
            </w:r>
          </w:p>
        </w:tc>
        <w:tc>
          <w:tcPr>
            <w:tcW w:w="1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56</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261,883</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$(239,996)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22,470</w:t>
            </w:r>
          </w:p>
        </w:tc>
        <w:tc>
          <w:tcPr>
            <w:tcW w:w="0" w:type="dxa"/>
            <w:vAlign w:val="bottom"/>
          </w:tcPr>
          <w:p>
            <w:pPr>
              <w:spacing w:after="0"/>
              <w:rPr>
                <w:sz w:val="1"/>
                <w:szCs w:val="1"/>
                <w:color w:val="auto"/>
              </w:rPr>
            </w:pPr>
          </w:p>
        </w:tc>
      </w:tr>
      <w:tr>
        <w:trPr>
          <w:trHeight w:val="211"/>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Series A 12% convertible preferred stock dividend</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13,025</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1"/>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Series C super dividend redeemable convertible preferred stock dividend</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17,600</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1"/>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for exercise of options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46,282</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32,693</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314</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1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0" w:type="dxa"/>
            <w:vAlign w:val="bottom"/>
          </w:tcPr>
          <w:p>
            <w:pPr>
              <w:spacing w:after="0"/>
              <w:rPr>
                <w:sz w:val="1"/>
                <w:szCs w:val="1"/>
                <w:color w:val="auto"/>
              </w:rPr>
            </w:pPr>
          </w:p>
        </w:tc>
      </w:tr>
      <w:tr>
        <w:trPr>
          <w:trHeight w:val="251"/>
        </w:trPr>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76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4"/>
              </w:rPr>
              <w:t>1,302,500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57,186,655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262,264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(246,336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16,511</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1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880" w:type="dxa"/>
            <w:vAlign w:val="bottom"/>
            <w:gridSpan w:val="2"/>
          </w:tcPr>
          <w:p>
            <w:pPr>
              <w:ind w:left="60"/>
              <w:spacing w:after="0" w:line="203" w:lineRule="exact"/>
              <w:rPr>
                <w:sz w:val="20"/>
                <w:szCs w:val="20"/>
                <w:color w:val="auto"/>
              </w:rPr>
            </w:pPr>
            <w:r>
              <w:rPr>
                <w:rFonts w:ascii="Times New Roman" w:cs="Times New Roman" w:eastAsia="Times New Roman" w:hAnsi="Times New Roman"/>
                <w:sz w:val="18"/>
                <w:szCs w:val="18"/>
                <w:b w:val="1"/>
                <w:bCs w:val="1"/>
                <w:color w:val="auto"/>
              </w:rPr>
              <w:t>1,302,500</w:t>
            </w:r>
          </w:p>
        </w:tc>
        <w:tc>
          <w:tcPr>
            <w:tcW w:w="3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b w:val="1"/>
                <w:bCs w:val="1"/>
                <w:color w:val="auto"/>
              </w:rPr>
              <w:t>527</w:t>
            </w:r>
          </w:p>
        </w:tc>
        <w:tc>
          <w:tcPr>
            <w:tcW w:w="960" w:type="dxa"/>
            <w:vAlign w:val="bottom"/>
            <w:gridSpan w:val="2"/>
          </w:tcPr>
          <w:p>
            <w:pPr>
              <w:jc w:val="right"/>
              <w:ind w:right="120"/>
              <w:spacing w:after="0" w:line="203" w:lineRule="exact"/>
              <w:rPr>
                <w:sz w:val="20"/>
                <w:szCs w:val="20"/>
                <w:color w:val="auto"/>
              </w:rPr>
            </w:pPr>
            <w:r>
              <w:rPr>
                <w:rFonts w:ascii="Times New Roman" w:cs="Times New Roman" w:eastAsia="Times New Roman" w:hAnsi="Times New Roman"/>
                <w:sz w:val="18"/>
                <w:szCs w:val="18"/>
                <w:b w:val="1"/>
                <w:bCs w:val="1"/>
                <w:color w:val="auto"/>
              </w:rPr>
              <w:t>59,341,305</w:t>
            </w:r>
          </w:p>
        </w:tc>
        <w:tc>
          <w:tcPr>
            <w:tcW w:w="4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9"/>
              </w:rPr>
              <w:t>59</w:t>
            </w:r>
          </w:p>
        </w:tc>
        <w:tc>
          <w:tcPr>
            <w:tcW w:w="200" w:type="dxa"/>
            <w:vAlign w:val="bottom"/>
            <w:gridSpan w:val="2"/>
          </w:tcPr>
          <w:p>
            <w:pPr>
              <w:ind w:left="10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b w:val="1"/>
                <w:bCs w:val="1"/>
                <w:color w:val="auto"/>
              </w:rPr>
              <w:t>271,001</w:t>
            </w:r>
          </w:p>
        </w:tc>
        <w:tc>
          <w:tcPr>
            <w:tcW w:w="9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$(270,694)</w:t>
            </w:r>
          </w:p>
        </w:tc>
        <w:tc>
          <w:tcPr>
            <w:tcW w:w="1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b w:val="1"/>
                <w:bCs w:val="1"/>
                <w:color w:val="auto"/>
              </w:rPr>
              <w:t>893</w:t>
            </w:r>
          </w:p>
        </w:tc>
        <w:tc>
          <w:tcPr>
            <w:tcW w:w="0" w:type="dxa"/>
            <w:vAlign w:val="bottom"/>
          </w:tcPr>
          <w:p>
            <w:pPr>
              <w:spacing w:after="0"/>
              <w:rPr>
                <w:sz w:val="1"/>
                <w:szCs w:val="1"/>
                <w:color w:val="auto"/>
              </w:rPr>
            </w:pPr>
          </w:p>
        </w:tc>
      </w:tr>
      <w:tr>
        <w:trPr>
          <w:trHeight w:val="211"/>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12% convertible preferred stock dividend</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13,025</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1"/>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w w:val="98"/>
              </w:rPr>
              <w:t>Series C super dividend redeemable convertible preferred stock dividend</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17,600</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1"/>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16,588</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1,058</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1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(9,932)</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(9,932)</w:t>
            </w:r>
          </w:p>
        </w:tc>
        <w:tc>
          <w:tcPr>
            <w:tcW w:w="0" w:type="dxa"/>
            <w:vAlign w:val="bottom"/>
          </w:tcPr>
          <w:p>
            <w:pPr>
              <w:spacing w:after="0"/>
              <w:rPr>
                <w:sz w:val="1"/>
                <w:szCs w:val="1"/>
                <w:color w:val="auto"/>
              </w:rPr>
            </w:pPr>
          </w:p>
        </w:tc>
      </w:tr>
      <w:tr>
        <w:trPr>
          <w:trHeight w:val="251"/>
        </w:trPr>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76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4"/>
              </w:rPr>
              <w:t>1,302,500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59,388,518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272,108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(280,610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(7,916)</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8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340"/>
          </w:cols>
          <w:pgMar w:left="320" w:top="115"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Liquidity</w:t>
      </w:r>
    </w:p>
    <w:p>
      <w:pPr>
        <w:spacing w:after="0" w:line="217" w:lineRule="exact"/>
        <w:rPr>
          <w:sz w:val="20"/>
          <w:szCs w:val="20"/>
          <w:color w:val="auto"/>
        </w:rPr>
      </w:pPr>
    </w:p>
    <w:p>
      <w:pPr>
        <w:ind w:right="40" w:firstLine="430"/>
        <w:spacing w:after="0" w:line="252" w:lineRule="auto"/>
        <w:rPr>
          <w:sz w:val="20"/>
          <w:szCs w:val="20"/>
          <w:color w:val="auto"/>
        </w:rPr>
      </w:pPr>
      <w:r>
        <w:rPr>
          <w:rFonts w:ascii="Times New Roman" w:cs="Times New Roman" w:eastAsia="Times New Roman" w:hAnsi="Times New Roman"/>
          <w:sz w:val="18"/>
          <w:szCs w:val="18"/>
          <w:color w:val="auto"/>
        </w:rPr>
        <w:t>Galectin Therapeutics Inc. and subsidiaries (the “Company”) is a clinical stage biopharmaceutical company that is applying its leadership in galectin science and drug development to create new therapies for fibrotic disease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185" w:lineRule="exact"/>
        <w:rPr>
          <w:sz w:val="20"/>
          <w:szCs w:val="20"/>
          <w:color w:val="auto"/>
        </w:rPr>
      </w:pPr>
    </w:p>
    <w:p>
      <w:pPr>
        <w:ind w:right="40" w:firstLine="430"/>
        <w:spacing w:after="0" w:line="281" w:lineRule="auto"/>
        <w:rPr>
          <w:sz w:val="20"/>
          <w:szCs w:val="20"/>
          <w:color w:val="auto"/>
        </w:rPr>
      </w:pPr>
      <w:r>
        <w:rPr>
          <w:rFonts w:ascii="Times New Roman" w:cs="Times New Roman" w:eastAsia="Times New Roman" w:hAnsi="Times New Roman"/>
          <w:sz w:val="16"/>
          <w:szCs w:val="16"/>
          <w:color w:val="auto"/>
        </w:rPr>
        <w:t>The unaudited condensed consolidated financial statements as reported in this Quarterly Report on Form 10-Q reflect all adjustments which are, in the opinion of management, necessary to present fairly the financial position of the Company as of March 31, 2022 and the results of its operations for the three months ended March 31, 2022 and 2021 and its cash flows for the three months ended March 31, 2022 and 2021. All adjustments made to the interim financial statements include all those of a normal and recurring nature. Amounts presented in the condensed consolidated balance sheet as of December 31, 2021 are derived from the Company’s audited consolidated financial statements as of that date, but do not include all of the information and footnotes required by accounting principles generally accepted in the United States of America for complete financial statements.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these financial statements are available to be issued. The results for interim periods are not necessarily indicative of results that may be expected for any other interim period or for the full year. The unaudited condensed consolidated financial statements of the Company should be read in conjunction with its Annual Report on Form 10-K for the year ended December 31, 2021.</w:t>
      </w:r>
    </w:p>
    <w:p>
      <w:pPr>
        <w:spacing w:after="0" w:line="99" w:lineRule="exact"/>
        <w:rPr>
          <w:sz w:val="20"/>
          <w:szCs w:val="20"/>
          <w:color w:val="auto"/>
        </w:rPr>
      </w:pPr>
    </w:p>
    <w:p>
      <w:pPr>
        <w:ind w:right="60" w:firstLine="430"/>
        <w:spacing w:after="0" w:line="247" w:lineRule="auto"/>
        <w:rPr>
          <w:sz w:val="20"/>
          <w:szCs w:val="20"/>
          <w:color w:val="auto"/>
        </w:rPr>
      </w:pPr>
      <w:r>
        <w:rPr>
          <w:rFonts w:ascii="Times New Roman" w:cs="Times New Roman" w:eastAsia="Times New Roman" w:hAnsi="Times New Roman"/>
          <w:sz w:val="18"/>
          <w:szCs w:val="18"/>
          <w:color w:val="auto"/>
        </w:rPr>
        <w:t>The Company has operated at a loss since its inception and has had no revenues. The Company anticipates that losses will continue for the foreseeable future. At March 31, 2022, the Company had $31,606,000 of unrestricted cash and cash equivalents available to fund future operations. The Company believes there is sufficient cash to fund currently planned operations at least through May 16, 2023. We will require more cash to fund our operations after May 16, 2023 and believe we will be able to obtain additional financing. The currently planned operations include costs related to our adaptively designed NAVIGATE Phase 2b/3 clinical trial. Currently, we expect to require an additional approximately $40-$45 million to cover costs of the trial to reach the planned interim analysis estimated to occur in mid-2024 along with drug manufacturing and other scientific support activities and general and administrative costs. However, there can be no assurance that we will be successful in obtaining such new financing or, if available, that such financing will be on terms favorable to us. If we are unsuccessful in raising additional capital to fund operations before May 16, 2023, we may be required to cease operations. Accordingly, based on the forecasts and estimates underlying our current operating plan, the financial statements do not currently include any adjustments that might be necessary if we are unable to continue as a going concern.</w:t>
      </w:r>
    </w:p>
    <w:p>
      <w:pPr>
        <w:spacing w:after="0" w:line="188" w:lineRule="exact"/>
        <w:rPr>
          <w:sz w:val="20"/>
          <w:szCs w:val="20"/>
          <w:color w:val="auto"/>
        </w:rPr>
      </w:pPr>
    </w:p>
    <w:p>
      <w:pPr>
        <w:ind w:right="420" w:firstLine="430"/>
        <w:spacing w:after="0" w:line="269" w:lineRule="auto"/>
        <w:rPr>
          <w:sz w:val="20"/>
          <w:szCs w:val="20"/>
          <w:color w:val="auto"/>
        </w:rPr>
      </w:pPr>
      <w:r>
        <w:rPr>
          <w:rFonts w:ascii="Times New Roman" w:cs="Times New Roman" w:eastAsia="Times New Roman" w:hAnsi="Times New Roman"/>
          <w:sz w:val="18"/>
          <w:szCs w:val="18"/>
          <w:color w:val="auto"/>
        </w:rPr>
        <w:t>The Company was founded in July 2000, was incorporated in the State of Nevada in January 2001 under the name “Pro-Pharmaceuticals, Inc.,” and changed its name to “Galectin Therapeutics Inc.” on May 26, 2011.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 Accrued Expenses and Other</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2"/>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2"/>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24"/>
                <w:szCs w:val="24"/>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00" w:type="dxa"/>
            <w:vAlign w:val="bottom"/>
          </w:tcPr>
          <w:p>
            <w:pPr>
              <w:spacing w:after="0"/>
              <w:rPr>
                <w:sz w:val="20"/>
                <w:szCs w:val="20"/>
                <w:color w:val="auto"/>
              </w:rPr>
            </w:pPr>
          </w:p>
        </w:tc>
      </w:tr>
      <w:tr>
        <w:trPr>
          <w:trHeight w:val="211"/>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(in</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74"/>
              </w:rPr>
              <w:t>thousands)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accounting fees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8"/>
                <w:szCs w:val="18"/>
                <w:color w:val="auto"/>
              </w:rPr>
            </w:pPr>
          </w:p>
        </w:tc>
      </w:tr>
      <w:tr>
        <w:trPr>
          <w:trHeight w:val="211"/>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728</w:t>
            </w:r>
          </w:p>
        </w:tc>
      </w:tr>
      <w:tr>
        <w:trPr>
          <w:trHeight w:val="21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costs and other</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7,225</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100" w:type="dxa"/>
            <w:vAlign w:val="bottom"/>
          </w:tcPr>
          <w:p>
            <w:pPr>
              <w:spacing w:after="0"/>
              <w:rPr>
                <w:sz w:val="18"/>
                <w:szCs w:val="18"/>
                <w:color w:val="auto"/>
              </w:rPr>
            </w:pPr>
          </w:p>
        </w:tc>
      </w:tr>
      <w:tr>
        <w:trPr>
          <w:trHeight w:val="251"/>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7,629</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2" w:lineRule="exact"/>
        <w:rPr>
          <w:sz w:val="20"/>
          <w:szCs w:val="20"/>
          <w:color w:val="auto"/>
        </w:rPr>
      </w:pPr>
    </w:p>
    <w:p>
      <w:pPr>
        <w:ind w:firstLine="430"/>
        <w:spacing w:after="0" w:line="246" w:lineRule="auto"/>
        <w:rPr>
          <w:sz w:val="20"/>
          <w:szCs w:val="20"/>
          <w:color w:val="auto"/>
        </w:rPr>
      </w:pPr>
      <w:r>
        <w:rPr>
          <w:rFonts w:ascii="Times New Roman" w:cs="Times New Roman" w:eastAsia="Times New Roman" w:hAnsi="Times New Roman"/>
          <w:sz w:val="18"/>
          <w:szCs w:val="18"/>
          <w:color w:val="auto"/>
        </w:rPr>
        <w:t>Research and development expenses, including personnel costs, allocated facility costs, lab supplies, outside services, contract laboratory costs related to manufacturing drug product, clinical trials and preclinical studies are charged to research and development expense as incurred. The Company accounts for nonrefundable advance payments for goods and services that will be used in future research and development activities as expense when the service has been performed or when the goods have been received. Our current NAVIGATE clinical trial is being supported by third-party contract research organizations, or CROs, and other vendors. We accrue expenses for clinical trial activities performed by CROs based upon the estimated amount of work completed on each trial. For clinical trial expenses and related expenses associated with the conduct of clinical trials, the significant factors used in estimating accruals include the number of patients enrolled, the number of active clinical sites, and the duration for which the patients have been enrolled in the trial. We monitor patient enrollment levels and related activities to the extent possible through internal reviews, review of contractual terms and correspondence with CROs. We base our estimates on the best information available at the time. We monitor patient enrollment levels and related activities to the extent possible through discussions with CRO personnel and based our estimates of clinical trial costs on the best information available at the time. However, additional information may become available to us which will allow us to make a more accurate estimate in future periods. In that event, we may be required to record adjustments to research and development expenses in future periods when the actual level of activity becomes more certain.</w:t>
      </w:r>
    </w:p>
    <w:p>
      <w:pPr>
        <w:sectPr>
          <w:pgSz w:w="11900" w:h="16838" w:orient="portrait"/>
          <w:cols w:equalWidth="0" w:num="1">
            <w:col w:w="11240"/>
          </w:cols>
          <w:pgMar w:left="320" w:top="115" w:right="339" w:bottom="1440" w:gutter="0" w:footer="0" w:header="0"/>
        </w:sect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Convertible Notes Payable – Related Party</w:t>
      </w:r>
    </w:p>
    <w:p>
      <w:pPr>
        <w:spacing w:after="0" w:line="21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On April 16, 2021, the Company and Richard E. Uihlein entered into a debt financing arrangement whereby Mr. Uihlein loaned $10,000,000 to</w:t>
      </w:r>
    </w:p>
    <w:p>
      <w:pPr>
        <w:spacing w:after="0" w:line="2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6"/>
          <w:szCs w:val="16"/>
          <w:color w:val="auto"/>
        </w:rPr>
        <w:t>Company. In consideration for the loan, the Company issued a convertible promissory note (the “April Note”) in the principal amount of ten million dollars.</w:t>
      </w:r>
    </w:p>
    <w:p>
      <w:pPr>
        <w:spacing w:after="0" w:line="220" w:lineRule="exact"/>
        <w:rPr>
          <w:sz w:val="20"/>
          <w:szCs w:val="20"/>
          <w:color w:val="auto"/>
        </w:rPr>
      </w:pPr>
    </w:p>
    <w:p>
      <w:pPr>
        <w:ind w:right="180" w:firstLine="430"/>
        <w:spacing w:after="0" w:line="250" w:lineRule="auto"/>
        <w:rPr>
          <w:sz w:val="20"/>
          <w:szCs w:val="20"/>
          <w:color w:val="auto"/>
        </w:rPr>
      </w:pPr>
      <w:r>
        <w:rPr>
          <w:rFonts w:ascii="Times New Roman" w:cs="Times New Roman" w:eastAsia="Times New Roman" w:hAnsi="Times New Roman"/>
          <w:sz w:val="18"/>
          <w:szCs w:val="18"/>
          <w:color w:val="auto"/>
        </w:rPr>
        <w:t>The April Note has a maturity date of April 16, 2025, is prepayable at the option of the Company in whole or in part at any time and is convertible into the Company’s common stock at a conversion price equal to $5.00 per share at the option of the noteholder. The April Note bears interest at the rate of two percent (2%) per annum, compounded annually. For the three months ended March 31, 2022, approximately $49,000 of interest expense was accrued and included with the principal in the financial statements. Inception to March 31, 2022, approximately $191,000 of interest expense has been accrued and included with the principal balance.</w:t>
      </w:r>
    </w:p>
    <w:p>
      <w:pPr>
        <w:spacing w:after="0" w:line="187" w:lineRule="exact"/>
        <w:rPr>
          <w:sz w:val="20"/>
          <w:szCs w:val="20"/>
          <w:color w:val="auto"/>
        </w:rPr>
      </w:pPr>
    </w:p>
    <w:p>
      <w:pPr>
        <w:ind w:firstLine="430"/>
        <w:spacing w:after="0" w:line="247" w:lineRule="auto"/>
        <w:rPr>
          <w:sz w:val="20"/>
          <w:szCs w:val="20"/>
          <w:color w:val="auto"/>
        </w:rPr>
      </w:pPr>
      <w:r>
        <w:rPr>
          <w:rFonts w:ascii="Times New Roman" w:cs="Times New Roman" w:eastAsia="Times New Roman" w:hAnsi="Times New Roman"/>
          <w:sz w:val="18"/>
          <w:szCs w:val="18"/>
          <w:color w:val="auto"/>
        </w:rPr>
        <w:t>The April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April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April Note at its inception. The fair value of the contingent interest derivative liability was $420,000 and $391,000 at note inception (April 16, 2021) and March 31, 2022, respectively, and is recognized as a derivative liability in the consolidated balance sheet. The change in the fair value of the derivative liability from December 31, 2021 to March 31, 2022 of ($104,000) was charged to other income for the three months ended March 31, 2022. The amortization of the debt discount of $420,000 recorded initially upon note inception of $26,000 was recorded as additional interest expense for the for the three months ended March 31, 2022.</w:t>
      </w:r>
    </w:p>
    <w:p>
      <w:pPr>
        <w:spacing w:after="0" w:line="191" w:lineRule="exact"/>
        <w:rPr>
          <w:sz w:val="20"/>
          <w:szCs w:val="20"/>
          <w:color w:val="auto"/>
        </w:rPr>
      </w:pPr>
    </w:p>
    <w:p>
      <w:pPr>
        <w:ind w:right="280" w:firstLine="430"/>
        <w:spacing w:after="0" w:line="252" w:lineRule="auto"/>
        <w:rPr>
          <w:sz w:val="20"/>
          <w:szCs w:val="20"/>
          <w:color w:val="auto"/>
        </w:rPr>
      </w:pPr>
      <w:r>
        <w:rPr>
          <w:rFonts w:ascii="Times New Roman" w:cs="Times New Roman" w:eastAsia="Times New Roman" w:hAnsi="Times New Roman"/>
          <w:sz w:val="18"/>
          <w:szCs w:val="18"/>
          <w:color w:val="auto"/>
        </w:rPr>
        <w:t>On September 17, 2021, the Company and Mr. Uihlein entered into a loan agreement in the aggregate of $20,000,000 (the “Loan Agreement”) to be funded in two closings and evidenced by two separate unsecured convertible promissory notes. The first of the two promissory notes was also executed and delivered on September 17, 2021, (the “September Note”) to evidence the first loan in the principal amount of $10,000,000. The second closing under the Loan Agreement for the remaining $10,000,000 occurred on December 20, 2021.</w:t>
      </w:r>
    </w:p>
    <w:p>
      <w:pPr>
        <w:spacing w:after="0" w:line="185" w:lineRule="exact"/>
        <w:rPr>
          <w:sz w:val="20"/>
          <w:szCs w:val="20"/>
          <w:color w:val="auto"/>
        </w:rPr>
      </w:pPr>
    </w:p>
    <w:p>
      <w:pPr>
        <w:ind w:right="20" w:firstLine="430"/>
        <w:spacing w:after="0" w:line="250" w:lineRule="auto"/>
        <w:rPr>
          <w:sz w:val="20"/>
          <w:szCs w:val="20"/>
          <w:color w:val="auto"/>
        </w:rPr>
      </w:pPr>
      <w:r>
        <w:rPr>
          <w:rFonts w:ascii="Times New Roman" w:cs="Times New Roman" w:eastAsia="Times New Roman" w:hAnsi="Times New Roman"/>
          <w:sz w:val="18"/>
          <w:szCs w:val="18"/>
          <w:color w:val="auto"/>
        </w:rPr>
        <w:t>The September Note has a maturity date of September 17, 2025, is prepayable at the option of the Company in whole or in part at any time and is convertible into the Company’s common stock at a conversion price equal to $8.64 per share at the option of the noteholder. The September Note bears interest at the rate of two percent (2%) per annum, compounded annually. For the three months ended March 31, 2022, approximately $49,000 of interest expense was accrued and included with the principal in the financial statements. Inception to March 31, 2022, approximately $107,000 of interest expense has been accrued and included with the principal balance.</w:t>
      </w:r>
    </w:p>
    <w:p>
      <w:pPr>
        <w:spacing w:after="0" w:line="187" w:lineRule="exact"/>
        <w:rPr>
          <w:sz w:val="20"/>
          <w:szCs w:val="20"/>
          <w:color w:val="auto"/>
        </w:rPr>
      </w:pPr>
    </w:p>
    <w:p>
      <w:pPr>
        <w:ind w:firstLine="430"/>
        <w:spacing w:after="0" w:line="282" w:lineRule="auto"/>
        <w:rPr>
          <w:sz w:val="20"/>
          <w:szCs w:val="20"/>
          <w:color w:val="auto"/>
        </w:rPr>
      </w:pPr>
      <w:r>
        <w:rPr>
          <w:rFonts w:ascii="Times New Roman" w:cs="Times New Roman" w:eastAsia="Times New Roman" w:hAnsi="Times New Roman"/>
          <w:sz w:val="16"/>
          <w:szCs w:val="16"/>
          <w:color w:val="auto"/>
        </w:rPr>
        <w:t>The September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September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September Note at its inception. The fair value of the contingent interest derivative liability was $433,000 and $188,000 at note inception (September 17, 2021) and March 31, 2022, respectively, and is recognized as a derivative liability in the consolidated balance sheet. The change in the fair value of the derivative liability from December 31, 2021 to March 31, 2022 of ($62,000) was recorded to other income for the three months ended March 31, 2022. The amortization of the debt discount of $433,000 recorded initially upon note inception of $27,000 was recorded as additional interest expense for the three months ended March 31, 2022.</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1" w:lineRule="exact"/>
        <w:rPr>
          <w:sz w:val="20"/>
          <w:szCs w:val="20"/>
          <w:color w:val="auto"/>
        </w:rPr>
      </w:pPr>
    </w:p>
    <w:p>
      <w:pPr>
        <w:ind w:firstLine="430"/>
        <w:spacing w:after="0" w:line="249" w:lineRule="auto"/>
        <w:rPr>
          <w:sz w:val="20"/>
          <w:szCs w:val="20"/>
          <w:color w:val="auto"/>
        </w:rPr>
      </w:pPr>
      <w:r>
        <w:rPr>
          <w:rFonts w:ascii="Times New Roman" w:cs="Times New Roman" w:eastAsia="Times New Roman" w:hAnsi="Times New Roman"/>
          <w:sz w:val="18"/>
          <w:szCs w:val="18"/>
          <w:color w:val="auto"/>
        </w:rPr>
        <w:t>On December 20, 2021, the second of the two promissory notes under the Loan Agreement was executed and delivered, (the “December Note”) to evidence the second loan in the principal amount of $10,000,000. The December Note has a maturity date of December 20, 2025, is prepayable at the option of the Company in whole or in part at any time and is convertible into the Company’s common stock at a conversion price equal to $5.43 per share at the option of the noteholder. The December Note bears interest at the rate of two percent (2%) per annum, compounded annually. For the three months ended March 31, 2022, approximately $49,000 of interest expense was accrued and included with the principal in the financial statements. Inception to March 31, 2022, approximately $56,000 of interest expense has been accrued and included with the principal balance.</w:t>
      </w:r>
    </w:p>
    <w:p>
      <w:pPr>
        <w:spacing w:after="0" w:line="187" w:lineRule="exact"/>
        <w:rPr>
          <w:sz w:val="20"/>
          <w:szCs w:val="20"/>
          <w:color w:val="auto"/>
        </w:rPr>
      </w:pPr>
    </w:p>
    <w:p>
      <w:pPr>
        <w:ind w:right="20" w:firstLine="430"/>
        <w:spacing w:after="0" w:line="282" w:lineRule="auto"/>
        <w:rPr>
          <w:sz w:val="20"/>
          <w:szCs w:val="20"/>
          <w:color w:val="auto"/>
        </w:rPr>
      </w:pPr>
      <w:r>
        <w:rPr>
          <w:rFonts w:ascii="Times New Roman" w:cs="Times New Roman" w:eastAsia="Times New Roman" w:hAnsi="Times New Roman"/>
          <w:sz w:val="16"/>
          <w:szCs w:val="16"/>
          <w:color w:val="auto"/>
        </w:rPr>
        <w:t>The December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December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December Note at its inception. The fair value of the contingent interest derivative liability was $415,000 and $323,000 at note inception (December 20, 2021) and March 31, 2022, respectively, and is recognized as a derivative liability in the consolidated balance sheet. The change in the fair value of the derivative liability from December 31, 2021 to March 31, 2022 of ($63,000) was recorded to other income for three months ended March 31, 2022. The amortization of the debt discount of $415,000 recorded initially upon note inception of $26,000 was recorded as additional interest expense for the for three months ended March 31, 2022.</w:t>
      </w:r>
    </w:p>
    <w:p>
      <w:pPr>
        <w:spacing w:after="0" w:line="378" w:lineRule="exact"/>
        <w:rPr>
          <w:sz w:val="20"/>
          <w:szCs w:val="20"/>
          <w:color w:val="auto"/>
        </w:rPr>
      </w:pPr>
    </w:p>
    <w:p>
      <w:pPr>
        <w:jc w:val="both"/>
        <w:ind w:firstLine="430"/>
        <w:spacing w:after="0" w:line="256" w:lineRule="auto"/>
        <w:rPr>
          <w:sz w:val="20"/>
          <w:szCs w:val="20"/>
          <w:color w:val="auto"/>
        </w:rPr>
      </w:pPr>
      <w:r>
        <w:rPr>
          <w:rFonts w:ascii="Times New Roman" w:cs="Times New Roman" w:eastAsia="Times New Roman" w:hAnsi="Times New Roman"/>
          <w:sz w:val="18"/>
          <w:szCs w:val="18"/>
          <w:color w:val="auto"/>
        </w:rPr>
        <w:t>The Company’s contractual cash obligations related to the outstanding convertible notes payable is a repayment of the April Note of the $10,000,000 plus accrued interest on April 16, 2025 and a repayment of the September Note of the $10,000,000 plus accrued interest on September 17, 2025 and a repayment of the December Note of the $10,000,000 plus accrued interest on December 30, 2025, unless converted at the option of the noteholder.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217" w:lineRule="exact"/>
        <w:rPr>
          <w:sz w:val="20"/>
          <w:szCs w:val="20"/>
          <w:color w:val="auto"/>
        </w:rPr>
      </w:pPr>
    </w:p>
    <w:p>
      <w:pPr>
        <w:ind w:firstLine="430"/>
        <w:spacing w:after="0" w:line="286" w:lineRule="auto"/>
        <w:rPr>
          <w:sz w:val="20"/>
          <w:szCs w:val="20"/>
          <w:color w:val="auto"/>
        </w:rPr>
      </w:pPr>
      <w:r>
        <w:rPr>
          <w:rFonts w:ascii="Times New Roman" w:cs="Times New Roman" w:eastAsia="Times New Roman" w:hAnsi="Times New Roman"/>
          <w:sz w:val="16"/>
          <w:szCs w:val="16"/>
          <w:color w:val="auto"/>
        </w:rPr>
        <w:t>The Company has certain financial assets and liabilities recorded at fair value. Fair values determined by Level 1 inputs 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carrying amounts reflected in the consolidated balance sheets for cash equivalents, accounts payable and accrued expenses approximate their carrying value due to their short-term nature. There were no level 2 assets or liabilities at March 31, 2022 or December 31, 2021. See below for Fair Value of Derivatives related to Convertible Notes Payable at March 31, 2022 and December 31, 2021, which are level 3 liabilities.</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Assets and liabilities measured and recorded at fair value on a recurring basis at March 31, 2022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0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1"/>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Contingent Interest April Note</w:t>
            </w:r>
          </w:p>
        </w:tc>
        <w:tc>
          <w:tcPr>
            <w:tcW w:w="184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391,000</w:t>
            </w:r>
          </w:p>
        </w:tc>
        <w:tc>
          <w:tcPr>
            <w:tcW w:w="3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391,000</w:t>
            </w:r>
          </w:p>
        </w:tc>
      </w:tr>
      <w:tr>
        <w:trPr>
          <w:trHeight w:val="211"/>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Liability – Contingent Interest September Note</w:t>
            </w:r>
          </w:p>
        </w:tc>
        <w:tc>
          <w:tcPr>
            <w:tcW w:w="184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188,000</w:t>
            </w:r>
          </w:p>
        </w:tc>
        <w:tc>
          <w:tcPr>
            <w:tcW w:w="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188,000</w:t>
            </w:r>
          </w:p>
        </w:tc>
      </w:tr>
      <w:tr>
        <w:trPr>
          <w:trHeight w:val="211"/>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Contingent Interest December Note</w:t>
            </w:r>
          </w:p>
        </w:tc>
        <w:tc>
          <w:tcPr>
            <w:tcW w:w="184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323,000</w:t>
            </w:r>
          </w:p>
        </w:tc>
        <w:tc>
          <w:tcPr>
            <w:tcW w:w="3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323,000</w:t>
            </w:r>
          </w:p>
        </w:tc>
      </w:tr>
    </w:tbl>
    <w:p>
      <w:pPr>
        <w:spacing w:after="0" w:line="192" w:lineRule="exact"/>
        <w:rPr>
          <w:sz w:val="20"/>
          <w:szCs w:val="20"/>
          <w:color w:val="auto"/>
        </w:rPr>
      </w:pPr>
    </w:p>
    <w:p>
      <w:pPr>
        <w:ind w:right="160" w:firstLine="474"/>
        <w:spacing w:after="0" w:line="269" w:lineRule="auto"/>
        <w:rPr>
          <w:sz w:val="20"/>
          <w:szCs w:val="20"/>
          <w:color w:val="auto"/>
        </w:rPr>
      </w:pPr>
      <w:r>
        <w:rPr>
          <w:rFonts w:ascii="Times New Roman" w:cs="Times New Roman" w:eastAsia="Times New Roman" w:hAnsi="Times New Roman"/>
          <w:sz w:val="18"/>
          <w:szCs w:val="18"/>
          <w:color w:val="auto"/>
        </w:rPr>
        <w:t>The April Note derivative liability – contingent interest was valued using a Monte Carlo Geometric Brownian Stock Path Model. The key assumptions used in the model at inception, and at March 31, 2022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38"/>
        </w:trPr>
        <w:tc>
          <w:tcPr>
            <w:tcW w:w="7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Inception</w:t>
            </w:r>
          </w:p>
        </w:tc>
        <w:tc>
          <w:tcPr>
            <w:tcW w:w="100" w:type="dxa"/>
            <w:vAlign w:val="bottom"/>
          </w:tcPr>
          <w:p>
            <w:pPr>
              <w:spacing w:after="0"/>
              <w:rPr>
                <w:sz w:val="20"/>
                <w:szCs w:val="20"/>
                <w:color w:val="auto"/>
              </w:rPr>
            </w:pPr>
          </w:p>
        </w:tc>
        <w:tc>
          <w:tcPr>
            <w:tcW w:w="102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1"/>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9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8"/>
                <w:szCs w:val="18"/>
                <w:color w:val="auto"/>
              </w:rPr>
            </w:pPr>
          </w:p>
        </w:tc>
      </w:tr>
      <w:tr>
        <w:trPr>
          <w:trHeight w:val="211"/>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Conversion Price of conversion feature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r>
      <w:tr>
        <w:trPr>
          <w:trHeight w:val="211"/>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 years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3.04 years</w:t>
            </w:r>
          </w:p>
        </w:tc>
      </w:tr>
      <w:tr>
        <w:trPr>
          <w:trHeight w:val="211"/>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11"/>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Adjusted Discount Rate</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211"/>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1"/>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421"/>
        </w:trPr>
        <w:tc>
          <w:tcPr>
            <w:tcW w:w="7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roll forward of the April Note derivative liability – contingent interest is as follows: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7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2020</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April convertible note payable – related party</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100" w:type="dxa"/>
            <w:vAlign w:val="bottom"/>
          </w:tcPr>
          <w:p>
            <w:pPr>
              <w:spacing w:after="0"/>
              <w:rPr>
                <w:sz w:val="18"/>
                <w:szCs w:val="18"/>
                <w:color w:val="auto"/>
              </w:rPr>
            </w:pPr>
          </w:p>
        </w:tc>
      </w:tr>
      <w:tr>
        <w:trPr>
          <w:trHeight w:val="217"/>
        </w:trPr>
        <w:tc>
          <w:tcPr>
            <w:tcW w:w="7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9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1"/>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Balance – December 31, 2021</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495,000</w:t>
            </w:r>
          </w:p>
        </w:tc>
        <w:tc>
          <w:tcPr>
            <w:tcW w:w="100" w:type="dxa"/>
            <w:vAlign w:val="bottom"/>
          </w:tcPr>
          <w:p>
            <w:pPr>
              <w:spacing w:after="0"/>
              <w:rPr>
                <w:sz w:val="18"/>
                <w:szCs w:val="18"/>
                <w:color w:val="auto"/>
              </w:rPr>
            </w:pPr>
          </w:p>
        </w:tc>
      </w:tr>
      <w:tr>
        <w:trPr>
          <w:trHeight w:val="211"/>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(104,000)</w:t>
            </w:r>
          </w:p>
        </w:tc>
      </w:tr>
      <w:tr>
        <w:trPr>
          <w:trHeight w:val="26"/>
        </w:trPr>
        <w:tc>
          <w:tcPr>
            <w:tcW w:w="76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7"/>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Balance – March 31, 2022</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391,000</w:t>
            </w:r>
          </w:p>
        </w:tc>
        <w:tc>
          <w:tcPr>
            <w:tcW w:w="100" w:type="dxa"/>
            <w:vAlign w:val="bottom"/>
          </w:tcPr>
          <w:p>
            <w:pPr>
              <w:spacing w:after="0"/>
              <w:rPr>
                <w:sz w:val="18"/>
                <w:szCs w:val="18"/>
                <w:color w:val="auto"/>
              </w:rPr>
            </w:pPr>
          </w:p>
        </w:tc>
      </w:tr>
      <w:tr>
        <w:trPr>
          <w:trHeight w:val="556"/>
        </w:trPr>
        <w:tc>
          <w:tcPr>
            <w:tcW w:w="7640" w:type="dxa"/>
            <w:vAlign w:val="bottom"/>
          </w:tcPr>
          <w:p>
            <w:pPr>
              <w:ind w:left="5580"/>
              <w:spacing w:after="0"/>
              <w:rPr>
                <w:sz w:val="20"/>
                <w:szCs w:val="20"/>
                <w:color w:val="auto"/>
              </w:rPr>
            </w:pPr>
            <w:r>
              <w:rPr>
                <w:rFonts w:ascii="Times New Roman" w:cs="Times New Roman" w:eastAsia="Times New Roman" w:hAnsi="Times New Roman"/>
                <w:sz w:val="14"/>
                <w:szCs w:val="14"/>
                <w:color w:val="auto"/>
              </w:rPr>
              <w:t>9</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3"/>
        </w:trPr>
        <w:tc>
          <w:tcPr>
            <w:tcW w:w="76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1" w:lineRule="exact"/>
        <w:rPr>
          <w:sz w:val="20"/>
          <w:szCs w:val="20"/>
          <w:color w:val="auto"/>
        </w:rPr>
      </w:pPr>
    </w:p>
    <w:p>
      <w:pPr>
        <w:ind w:right="700" w:firstLine="474"/>
        <w:spacing w:after="0" w:line="269" w:lineRule="auto"/>
        <w:rPr>
          <w:sz w:val="20"/>
          <w:szCs w:val="20"/>
          <w:color w:val="auto"/>
        </w:rPr>
      </w:pPr>
      <w:r>
        <w:rPr>
          <w:rFonts w:ascii="Times New Roman" w:cs="Times New Roman" w:eastAsia="Times New Roman" w:hAnsi="Times New Roman"/>
          <w:sz w:val="18"/>
          <w:szCs w:val="18"/>
          <w:color w:val="auto"/>
        </w:rPr>
        <w:t>The September Note derivative liability – contingent interest was valued using a Monte Carlo Geometric Brownian Stock Path Model. The key assumptions used in the model at inception, and at March 31, 2022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Inception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5"/>
              </w:rPr>
              <w:t>March 31, 2022</w:t>
            </w:r>
          </w:p>
        </w:tc>
      </w:tr>
      <w:tr>
        <w:trPr>
          <w:trHeight w:val="211"/>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8"/>
                <w:szCs w:val="18"/>
                <w:color w:val="auto"/>
              </w:rPr>
            </w:pPr>
          </w:p>
        </w:tc>
      </w:tr>
      <w:tr>
        <w:trPr>
          <w:trHeight w:val="211"/>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Conversion Price of conversion feature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18"/>
                <w:szCs w:val="18"/>
                <w:color w:val="auto"/>
              </w:rPr>
            </w:pPr>
          </w:p>
        </w:tc>
      </w:tr>
      <w:tr>
        <w:trPr>
          <w:trHeight w:val="211"/>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 years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3.47 years</w:t>
            </w:r>
          </w:p>
        </w:tc>
      </w:tr>
      <w:tr>
        <w:trPr>
          <w:trHeight w:val="211"/>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11"/>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Adjusted Discount Rate</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211"/>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1"/>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421"/>
        </w:trPr>
        <w:tc>
          <w:tcPr>
            <w:tcW w:w="7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roll forward of the September Note derivative liability – contingent interest is as follows:</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7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September convertible note payable – related party</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433,000</w:t>
            </w:r>
          </w:p>
        </w:tc>
        <w:tc>
          <w:tcPr>
            <w:tcW w:w="100" w:type="dxa"/>
            <w:vAlign w:val="bottom"/>
          </w:tcPr>
          <w:p>
            <w:pPr>
              <w:spacing w:after="0"/>
              <w:rPr>
                <w:sz w:val="18"/>
                <w:szCs w:val="18"/>
                <w:color w:val="auto"/>
              </w:rPr>
            </w:pPr>
          </w:p>
        </w:tc>
      </w:tr>
      <w:tr>
        <w:trPr>
          <w:trHeight w:val="211"/>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(183,000)</w:t>
            </w:r>
          </w:p>
        </w:tc>
      </w:tr>
      <w:tr>
        <w:trPr>
          <w:trHeight w:val="26"/>
        </w:trPr>
        <w:tc>
          <w:tcPr>
            <w:tcW w:w="77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1"/>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Balance – December 31, 2021</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8"/>
                <w:szCs w:val="18"/>
                <w:color w:val="auto"/>
              </w:rPr>
            </w:pPr>
          </w:p>
        </w:tc>
      </w:tr>
      <w:tr>
        <w:trPr>
          <w:trHeight w:val="211"/>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(62,000)</w:t>
            </w:r>
          </w:p>
        </w:tc>
      </w:tr>
      <w:tr>
        <w:trPr>
          <w:trHeight w:val="26"/>
        </w:trPr>
        <w:tc>
          <w:tcPr>
            <w:tcW w:w="77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1"/>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Balance – March 31, 2022</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188,000</w:t>
            </w:r>
          </w:p>
        </w:tc>
        <w:tc>
          <w:tcPr>
            <w:tcW w:w="100" w:type="dxa"/>
            <w:vAlign w:val="bottom"/>
          </w:tcPr>
          <w:p>
            <w:pPr>
              <w:spacing w:after="0"/>
              <w:rPr>
                <w:sz w:val="18"/>
                <w:szCs w:val="18"/>
                <w:color w:val="auto"/>
              </w:rPr>
            </w:pPr>
          </w:p>
        </w:tc>
      </w:tr>
      <w:tr>
        <w:trPr>
          <w:trHeight w:val="26"/>
        </w:trPr>
        <w:tc>
          <w:tcPr>
            <w:tcW w:w="7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2" w:lineRule="exact"/>
        <w:rPr>
          <w:sz w:val="20"/>
          <w:szCs w:val="20"/>
          <w:color w:val="auto"/>
        </w:rPr>
      </w:pPr>
    </w:p>
    <w:p>
      <w:pPr>
        <w:ind w:right="740" w:firstLine="474"/>
        <w:spacing w:after="0" w:line="269" w:lineRule="auto"/>
        <w:rPr>
          <w:sz w:val="20"/>
          <w:szCs w:val="20"/>
          <w:color w:val="auto"/>
        </w:rPr>
      </w:pPr>
      <w:r>
        <w:rPr>
          <w:rFonts w:ascii="Times New Roman" w:cs="Times New Roman" w:eastAsia="Times New Roman" w:hAnsi="Times New Roman"/>
          <w:sz w:val="18"/>
          <w:szCs w:val="18"/>
          <w:color w:val="auto"/>
        </w:rPr>
        <w:t>The December Note derivative liability – contingent interest was valued using a Monte Carlo Geometric Brownian Stock Path Model. The key assumptions used in the model at inception, and at March 31, 2022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38"/>
        </w:trPr>
        <w:tc>
          <w:tcPr>
            <w:tcW w:w="7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Inception</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1"/>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7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8"/>
                <w:szCs w:val="18"/>
                <w:color w:val="auto"/>
              </w:rPr>
            </w:pPr>
          </w:p>
        </w:tc>
      </w:tr>
      <w:tr>
        <w:trPr>
          <w:trHeight w:val="211"/>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Conversion Price of conversion feature</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5.43</w:t>
            </w: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8"/>
                <w:szCs w:val="18"/>
                <w:color w:val="auto"/>
              </w:rPr>
            </w:pPr>
          </w:p>
        </w:tc>
      </w:tr>
      <w:tr>
        <w:trPr>
          <w:trHeight w:val="211"/>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 years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3.73 years</w:t>
            </w:r>
          </w:p>
        </w:tc>
      </w:tr>
      <w:tr>
        <w:trPr>
          <w:trHeight w:val="211"/>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11"/>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Adjusted Discount Rate</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211"/>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1"/>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421"/>
        </w:trPr>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roll forward of the December Note derivative liability – contingent interest is as follows:</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7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2020</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September convertible note payable – related party</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415,000</w:t>
            </w:r>
          </w:p>
        </w:tc>
        <w:tc>
          <w:tcPr>
            <w:tcW w:w="100" w:type="dxa"/>
            <w:vAlign w:val="bottom"/>
          </w:tcPr>
          <w:p>
            <w:pPr>
              <w:spacing w:after="0"/>
              <w:rPr>
                <w:sz w:val="18"/>
                <w:szCs w:val="18"/>
                <w:color w:val="auto"/>
              </w:rPr>
            </w:pPr>
          </w:p>
        </w:tc>
      </w:tr>
      <w:tr>
        <w:trPr>
          <w:trHeight w:val="211"/>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(30,000)</w:t>
            </w:r>
          </w:p>
        </w:tc>
      </w:tr>
      <w:tr>
        <w:trPr>
          <w:trHeight w:val="217"/>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Balance – December 31, 2021</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385,000</w:t>
            </w:r>
          </w:p>
        </w:tc>
        <w:tc>
          <w:tcPr>
            <w:tcW w:w="100" w:type="dxa"/>
            <w:vAlign w:val="bottom"/>
          </w:tcPr>
          <w:p>
            <w:pPr>
              <w:spacing w:after="0"/>
              <w:rPr>
                <w:sz w:val="18"/>
                <w:szCs w:val="18"/>
                <w:color w:val="auto"/>
              </w:rPr>
            </w:pPr>
          </w:p>
        </w:tc>
      </w:tr>
      <w:tr>
        <w:trPr>
          <w:trHeight w:val="211"/>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(62,000)</w:t>
            </w:r>
          </w:p>
        </w:tc>
        <w:tc>
          <w:tcPr>
            <w:tcW w:w="100" w:type="dxa"/>
            <w:vAlign w:val="bottom"/>
            <w:shd w:val="clear" w:color="auto" w:fill="CCEEFF"/>
          </w:tcPr>
          <w:p>
            <w:pPr>
              <w:spacing w:after="0"/>
              <w:rPr>
                <w:sz w:val="18"/>
                <w:szCs w:val="18"/>
                <w:color w:val="auto"/>
              </w:rPr>
            </w:pPr>
          </w:p>
        </w:tc>
      </w:tr>
      <w:tr>
        <w:trPr>
          <w:trHeight w:val="211"/>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Balance – March 31, 2022</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323,000</w:t>
            </w:r>
          </w:p>
        </w:tc>
        <w:tc>
          <w:tcPr>
            <w:tcW w:w="100" w:type="dxa"/>
            <w:vAlign w:val="bottom"/>
          </w:tcPr>
          <w:p>
            <w:pPr>
              <w:spacing w:after="0"/>
              <w:rPr>
                <w:sz w:val="18"/>
                <w:szCs w:val="18"/>
                <w:color w:val="auto"/>
              </w:rPr>
            </w:pPr>
          </w:p>
        </w:tc>
      </w:tr>
      <w:tr>
        <w:trPr>
          <w:trHeight w:val="26"/>
        </w:trPr>
        <w:tc>
          <w:tcPr>
            <w:tcW w:w="7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Stock-Based Compensation</w:t>
      </w:r>
    </w:p>
    <w:p>
      <w:pPr>
        <w:spacing w:after="0" w:line="217" w:lineRule="exact"/>
        <w:rPr>
          <w:sz w:val="20"/>
          <w:szCs w:val="20"/>
          <w:color w:val="auto"/>
        </w:rPr>
      </w:pPr>
    </w:p>
    <w:p>
      <w:pPr>
        <w:ind w:right="320" w:firstLine="430"/>
        <w:spacing w:after="0" w:line="269" w:lineRule="auto"/>
        <w:rPr>
          <w:sz w:val="20"/>
          <w:szCs w:val="20"/>
          <w:color w:val="auto"/>
        </w:rPr>
      </w:pPr>
      <w:r>
        <w:rPr>
          <w:rFonts w:ascii="Times New Roman" w:cs="Times New Roman" w:eastAsia="Times New Roman" w:hAnsi="Times New Roman"/>
          <w:sz w:val="18"/>
          <w:szCs w:val="18"/>
          <w:color w:val="auto"/>
        </w:rPr>
        <w:t>Following is the stock-based compensation expense related to common stock options, restricted common stock, common stock warrants and deferred stock units: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140" w:type="dxa"/>
            <w:vAlign w:val="bottom"/>
            <w:gridSpan w:val="4"/>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2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7"/>
        </w:trPr>
        <w:tc>
          <w:tcPr>
            <w:tcW w:w="42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225</w:t>
            </w:r>
          </w:p>
        </w:tc>
        <w:tc>
          <w:tcPr>
            <w:tcW w:w="2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18"/>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8"/>
                <w:szCs w:val="18"/>
                <w:color w:val="auto"/>
              </w:rPr>
            </w:pPr>
          </w:p>
        </w:tc>
      </w:tr>
      <w:tr>
        <w:trPr>
          <w:trHeight w:val="217"/>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633</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r>
      <w:tr>
        <w:trPr>
          <w:trHeight w:val="251"/>
        </w:trPr>
        <w:tc>
          <w:tcPr>
            <w:tcW w:w="4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4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858</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618"/>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548"/>
        </w:trPr>
        <w:tc>
          <w:tcPr>
            <w:tcW w:w="4280" w:type="dxa"/>
            <w:vAlign w:val="bottom"/>
          </w:tcPr>
          <w:p>
            <w:pPr>
              <w:spacing w:after="0"/>
              <w:rPr>
                <w:sz w:val="24"/>
                <w:szCs w:val="24"/>
                <w:color w:val="auto"/>
              </w:rPr>
            </w:pPr>
          </w:p>
        </w:tc>
        <w:tc>
          <w:tcPr>
            <w:tcW w:w="4400" w:type="dxa"/>
            <w:vAlign w:val="bottom"/>
          </w:tcPr>
          <w:p>
            <w:pPr>
              <w:jc w:val="right"/>
              <w:ind w:right="2910"/>
              <w:spacing w:after="0"/>
              <w:rPr>
                <w:sz w:val="20"/>
                <w:szCs w:val="20"/>
                <w:color w:val="auto"/>
              </w:rPr>
            </w:pPr>
            <w:r>
              <w:rPr>
                <w:rFonts w:ascii="Times New Roman" w:cs="Times New Roman" w:eastAsia="Times New Roman" w:hAnsi="Times New Roman"/>
                <w:sz w:val="14"/>
                <w:szCs w:val="14"/>
                <w:color w:val="auto"/>
              </w:rPr>
              <w:t>10</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
        </w:trPr>
        <w:tc>
          <w:tcPr>
            <w:tcW w:w="4280" w:type="dxa"/>
            <w:vAlign w:val="bottom"/>
            <w:tcBorders>
              <w:bottom w:val="single" w:sz="8" w:color="auto"/>
            </w:tcBorders>
          </w:tcPr>
          <w:p>
            <w:pPr>
              <w:spacing w:after="0"/>
              <w:rPr>
                <w:sz w:val="3"/>
                <w:szCs w:val="3"/>
                <w:color w:val="auto"/>
              </w:rPr>
            </w:pPr>
          </w:p>
        </w:tc>
        <w:tc>
          <w:tcPr>
            <w:tcW w:w="4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1" w:lineRule="exact"/>
        <w:rPr>
          <w:sz w:val="20"/>
          <w:szCs w:val="20"/>
          <w:color w:val="auto"/>
        </w:rPr>
      </w:pPr>
    </w:p>
    <w:p>
      <w:pPr>
        <w:ind w:right="300" w:firstLine="430"/>
        <w:spacing w:after="0" w:line="269" w:lineRule="auto"/>
        <w:rPr>
          <w:sz w:val="20"/>
          <w:szCs w:val="20"/>
          <w:color w:val="auto"/>
        </w:rPr>
      </w:pPr>
      <w:r>
        <w:rPr>
          <w:rFonts w:ascii="Times New Roman" w:cs="Times New Roman" w:eastAsia="Times New Roman" w:hAnsi="Times New Roman"/>
          <w:sz w:val="18"/>
          <w:szCs w:val="18"/>
          <w:color w:val="auto"/>
        </w:rPr>
        <w:t>The following table summarizes the stock option activity in the Company’s equity incentive plans, including non-plan grants to Company executives, from December 31, 2021 through March 31,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1"/>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Average</w:t>
            </w:r>
          </w:p>
        </w:tc>
      </w:tr>
      <w:tr>
        <w:trPr>
          <w:trHeight w:val="238"/>
        </w:trPr>
        <w:tc>
          <w:tcPr>
            <w:tcW w:w="868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Exercise Price</w:t>
            </w:r>
          </w:p>
        </w:tc>
      </w:tr>
      <w:tr>
        <w:trPr>
          <w:trHeight w:val="21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4,895,561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8"/>
                <w:szCs w:val="18"/>
                <w:color w:val="auto"/>
              </w:rPr>
            </w:pPr>
          </w:p>
        </w:tc>
      </w:tr>
      <w:tr>
        <w:trPr>
          <w:trHeight w:val="211"/>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745,000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r>
      <w:tr>
        <w:trPr>
          <w:trHeight w:val="211"/>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7"/>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Options forfeited/cancelled</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w:t>
            </w:r>
          </w:p>
        </w:tc>
      </w:tr>
      <w:tr>
        <w:trPr>
          <w:trHeight w:val="251"/>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March 31,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5,630,561</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w:t>
            </w:r>
          </w:p>
        </w:tc>
      </w:tr>
    </w:tbl>
    <w:p>
      <w:pPr>
        <w:spacing w:after="0" w:line="192" w:lineRule="exact"/>
        <w:rPr>
          <w:sz w:val="20"/>
          <w:szCs w:val="20"/>
          <w:color w:val="auto"/>
        </w:rPr>
      </w:pPr>
    </w:p>
    <w:p>
      <w:pPr>
        <w:jc w:val="both"/>
        <w:ind w:right="240" w:firstLine="430"/>
        <w:spacing w:after="0" w:line="256" w:lineRule="auto"/>
        <w:rPr>
          <w:sz w:val="20"/>
          <w:szCs w:val="20"/>
          <w:color w:val="auto"/>
        </w:rPr>
      </w:pPr>
      <w:r>
        <w:rPr>
          <w:rFonts w:ascii="Times New Roman" w:cs="Times New Roman" w:eastAsia="Times New Roman" w:hAnsi="Times New Roman"/>
          <w:sz w:val="18"/>
          <w:szCs w:val="18"/>
          <w:color w:val="auto"/>
        </w:rPr>
        <w:t>As of March 31, 2021, there was $3,995,000 of unrecognized compensation related to 2,945,001 unvested options, which is expected to be recognized over a weighted–average period of approximately 1.75 years. The weighted-average grant date fair value for options granted during the three months ended March 31, 2022 was $1.48. The Company granted 745,000 stock options during the three months ended March 31, 2022.</w:t>
      </w:r>
    </w:p>
    <w:p>
      <w:pPr>
        <w:spacing w:after="0" w:line="181" w:lineRule="exact"/>
        <w:rPr>
          <w:sz w:val="20"/>
          <w:szCs w:val="20"/>
          <w:color w:val="auto"/>
        </w:rPr>
      </w:pPr>
    </w:p>
    <w:p>
      <w:pPr>
        <w:ind w:right="340" w:firstLine="430"/>
        <w:spacing w:after="0" w:line="269" w:lineRule="auto"/>
        <w:rPr>
          <w:sz w:val="20"/>
          <w:szCs w:val="20"/>
          <w:color w:val="auto"/>
        </w:rPr>
      </w:pPr>
      <w:r>
        <w:rPr>
          <w:rFonts w:ascii="Times New Roman" w:cs="Times New Roman" w:eastAsia="Times New Roman" w:hAnsi="Times New Roman"/>
          <w:sz w:val="18"/>
          <w:szCs w:val="18"/>
          <w:color w:val="auto"/>
        </w:rPr>
        <w:t>The fair value of all other options granted is determined using the Black-Scholes option-pricing model. The following weighted average assumptions were used: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60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Three</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Three</w:t>
            </w:r>
          </w:p>
        </w:tc>
      </w:tr>
      <w:tr>
        <w:trPr>
          <w:trHeight w:val="211"/>
        </w:trPr>
        <w:tc>
          <w:tcPr>
            <w:tcW w:w="860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4"/>
              </w:rPr>
              <w:t>Months</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Months</w:t>
            </w:r>
          </w:p>
        </w:tc>
      </w:tr>
      <w:tr>
        <w:trPr>
          <w:trHeight w:val="211"/>
        </w:trPr>
        <w:tc>
          <w:tcPr>
            <w:tcW w:w="860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Ended</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860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March 31,</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17"/>
        </w:trPr>
        <w:tc>
          <w:tcPr>
            <w:tcW w:w="86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6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60" w:type="dxa"/>
            <w:vAlign w:val="bottom"/>
          </w:tcPr>
          <w:p>
            <w:pPr>
              <w:spacing w:after="0"/>
              <w:rPr>
                <w:sz w:val="18"/>
                <w:szCs w:val="18"/>
                <w:color w:val="auto"/>
              </w:rPr>
            </w:pPr>
          </w:p>
        </w:tc>
      </w:tr>
      <w:tr>
        <w:trPr>
          <w:trHeight w:val="211"/>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r>
      <w:tr>
        <w:trPr>
          <w:trHeight w:val="211"/>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the options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 years</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 years</w:t>
            </w:r>
          </w:p>
        </w:tc>
      </w:tr>
      <w:tr>
        <w:trPr>
          <w:trHeight w:val="211"/>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of the underlying stock</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8"/>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175" w:lineRule="exact"/>
        <w:rPr>
          <w:sz w:val="20"/>
          <w:szCs w:val="20"/>
          <w:color w:val="auto"/>
        </w:rPr>
      </w:pPr>
    </w:p>
    <w:p>
      <w:pPr>
        <w:ind w:right="260" w:firstLine="430"/>
        <w:spacing w:after="0" w:line="332" w:lineRule="auto"/>
        <w:rPr>
          <w:sz w:val="20"/>
          <w:szCs w:val="20"/>
          <w:color w:val="auto"/>
        </w:rPr>
      </w:pPr>
      <w:r>
        <w:rPr>
          <w:rFonts w:ascii="Times New Roman" w:cs="Times New Roman" w:eastAsia="Times New Roman" w:hAnsi="Times New Roman"/>
          <w:sz w:val="16"/>
          <w:szCs w:val="16"/>
          <w:color w:val="auto"/>
        </w:rPr>
        <w:t>In January 2022, the Company’s board chairman elected to take restricted stock grants in lieu of cash retainers for 2022. A total of 17,677 shares of restricted stock valued at approximately $35,000 is being amortized to expense on a straight-line basis until December 31, 2022 when the stock vests in full.</w:t>
      </w:r>
    </w:p>
    <w:p>
      <w:pPr>
        <w:spacing w:after="0" w:line="123" w:lineRule="exact"/>
        <w:rPr>
          <w:sz w:val="20"/>
          <w:szCs w:val="20"/>
          <w:color w:val="auto"/>
        </w:rPr>
      </w:pPr>
    </w:p>
    <w:p>
      <w:pPr>
        <w:jc w:val="both"/>
        <w:ind w:right="440" w:firstLine="430"/>
        <w:spacing w:after="0" w:line="332" w:lineRule="auto"/>
        <w:rPr>
          <w:sz w:val="20"/>
          <w:szCs w:val="20"/>
          <w:color w:val="auto"/>
        </w:rPr>
      </w:pPr>
      <w:r>
        <w:rPr>
          <w:rFonts w:ascii="Times New Roman" w:cs="Times New Roman" w:eastAsia="Times New Roman" w:hAnsi="Times New Roman"/>
          <w:sz w:val="16"/>
          <w:szCs w:val="16"/>
          <w:color w:val="auto"/>
        </w:rPr>
        <w:t>In March 2021, the Company’s board chairman elected to take a restricted stock grant in lieu of cash retainers for 2021. A total of 16,588 shares of restricted stock valued at approximately $35,000 was amortized to expense on a straight-line basis until December 31, 2021 when the stock vested in full.</w:t>
      </w:r>
    </w:p>
    <w:p>
      <w:pPr>
        <w:spacing w:after="0" w:line="123" w:lineRule="exact"/>
        <w:rPr>
          <w:sz w:val="20"/>
          <w:szCs w:val="20"/>
          <w:color w:val="auto"/>
        </w:rPr>
      </w:pPr>
    </w:p>
    <w:p>
      <w:pPr>
        <w:ind w:right="20" w:firstLine="430"/>
        <w:spacing w:after="0" w:line="247" w:lineRule="auto"/>
        <w:rPr>
          <w:sz w:val="20"/>
          <w:szCs w:val="20"/>
          <w:color w:val="auto"/>
        </w:rPr>
      </w:pPr>
      <w:r>
        <w:rPr>
          <w:rFonts w:ascii="Times New Roman" w:cs="Times New Roman" w:eastAsia="Times New Roman" w:hAnsi="Times New Roman"/>
          <w:sz w:val="18"/>
          <w:szCs w:val="18"/>
          <w:color w:val="auto"/>
        </w:rPr>
        <w:t>In September 2020, the Company entered into an employment agreement with its new Chief Executive Officer whereby 20% of his base salary and performance bonuses will be paid in cash, and 80% will be paid in the form of deferred stock units (“</w:t>
      </w:r>
      <w:r>
        <w:rPr>
          <w:rFonts w:ascii="Times New Roman" w:cs="Times New Roman" w:eastAsia="Times New Roman" w:hAnsi="Times New Roman"/>
          <w:sz w:val="18"/>
          <w:szCs w:val="18"/>
          <w:u w:val="single" w:color="auto"/>
          <w:color w:val="auto"/>
        </w:rPr>
        <w:t>DSUs</w:t>
      </w:r>
      <w:r>
        <w:rPr>
          <w:rFonts w:ascii="Times New Roman" w:cs="Times New Roman" w:eastAsia="Times New Roman" w:hAnsi="Times New Roman"/>
          <w:sz w:val="18"/>
          <w:szCs w:val="18"/>
          <w:color w:val="auto"/>
        </w:rPr>
        <w:t>”) in accordance with the terms and subject to the provisions set forth in the DSU Agreement. DSUs credited to Mr. Lewis as of any date shall be fully vested and nonforfeitable at all times. The Company shall issue the shares underlying the outstanding whole number of DSUs credited to Mr. Lewis as follows: twenty five percent shall be issued on March 1, 2023, twenty five percent shall be issued on September 1, 2023 and fifty percent shall be issued on March 1, 2024. For the three months ended March 31, 2022, approximately $103,000 of his compensation was recorded as stock compensation expense representing 55,626 shares of common stock to be issued under the DSU agreement with a weighted average grant date fair value of $1.86 per share. Also, Mr. Lewis’ bonus for the year ended December 31, 2021 of $200,000 (which was included in accrued compensation at December 31, 2021) was approved in January 2022 and represents 103,627 shares of common stock to be issued under the DSU agreement with a grant date fair value of $1.93 per share. The $200,000 was reclassified from accrued compensation to additional paid in capital in January 2022. There is no unrecognized compensation expense related to the DSUs.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w w:val="96"/>
              </w:rPr>
              <w:t>Index</w:t>
            </w:r>
          </w:p>
        </w:tc>
        <w:tc>
          <w:tcPr>
            <w:tcW w:w="858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75"/>
        </w:trPr>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6. Common Stock Warrants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2"/>
        </w:trPr>
        <w:tc>
          <w:tcPr>
            <w:tcW w:w="320" w:type="dxa"/>
            <w:vAlign w:val="bottom"/>
          </w:tcPr>
          <w:p>
            <w:pPr>
              <w:spacing w:after="0"/>
              <w:rPr>
                <w:sz w:val="24"/>
                <w:szCs w:val="24"/>
                <w:color w:val="auto"/>
              </w:rPr>
            </w:pPr>
          </w:p>
        </w:tc>
        <w:tc>
          <w:tcPr>
            <w:tcW w:w="8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The following table summarizes the common stock warrant activity from December 31, 2021 through March 31, 2022:</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2"/>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1"/>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Average</w:t>
            </w:r>
          </w:p>
        </w:tc>
      </w:tr>
      <w:tr>
        <w:trPr>
          <w:trHeight w:val="238"/>
        </w:trPr>
        <w:tc>
          <w:tcPr>
            <w:tcW w:w="3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Exercise Price</w:t>
            </w:r>
          </w:p>
        </w:tc>
      </w:tr>
      <w:tr>
        <w:trPr>
          <w:trHeight w:val="211"/>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10,857,964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8"/>
                <w:szCs w:val="18"/>
                <w:color w:val="auto"/>
              </w:rPr>
            </w:pPr>
          </w:p>
        </w:tc>
      </w:tr>
      <w:tr>
        <w:trPr>
          <w:trHeight w:val="211"/>
        </w:trPr>
        <w:tc>
          <w:tcPr>
            <w:tcW w:w="8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89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8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Forfeited/cancelled</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1"/>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March 31, 2022</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10,857,964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r>
    </w:tbl>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weighted average expiration of the warrants outstanding as of March 31, 2022 is 2.5 years.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Loss Per Share</w:t>
      </w:r>
    </w:p>
    <w:p>
      <w:pPr>
        <w:spacing w:after="0" w:line="217" w:lineRule="exact"/>
        <w:rPr>
          <w:sz w:val="20"/>
          <w:szCs w:val="20"/>
          <w:color w:val="auto"/>
        </w:rPr>
      </w:pPr>
    </w:p>
    <w:p>
      <w:pPr>
        <w:ind w:right="60" w:firstLine="430"/>
        <w:spacing w:after="0" w:line="289" w:lineRule="auto"/>
        <w:rPr>
          <w:sz w:val="20"/>
          <w:szCs w:val="20"/>
          <w:color w:val="auto"/>
        </w:rPr>
      </w:pPr>
      <w:r>
        <w:rPr>
          <w:rFonts w:ascii="Times New Roman" w:cs="Times New Roman" w:eastAsia="Times New Roman" w:hAnsi="Times New Roman"/>
          <w:sz w:val="16"/>
          <w:szCs w:val="16"/>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 net loss per share does not assume the issuance of common shares that have an anti-dilutive effect on net loss per share.</w:t>
      </w:r>
    </w:p>
    <w:p>
      <w:pPr>
        <w:spacing w:after="0" w:line="157" w:lineRule="exact"/>
        <w:rPr>
          <w:sz w:val="20"/>
          <w:szCs w:val="20"/>
          <w:color w:val="auto"/>
        </w:rPr>
      </w:pPr>
    </w:p>
    <w:p>
      <w:pPr>
        <w:ind w:right="140" w:firstLine="430"/>
        <w:spacing w:after="0" w:line="269" w:lineRule="auto"/>
        <w:rPr>
          <w:sz w:val="20"/>
          <w:szCs w:val="20"/>
          <w:color w:val="auto"/>
        </w:rPr>
      </w:pPr>
      <w:r>
        <w:rPr>
          <w:rFonts w:ascii="Times New Roman" w:cs="Times New Roman" w:eastAsia="Times New Roman" w:hAnsi="Times New Roman"/>
          <w:sz w:val="18"/>
          <w:szCs w:val="18"/>
          <w:color w:val="auto"/>
        </w:rPr>
        <w:t>Dilutive shares which could exist pursuant to the exercise of outstanding stock instruments and which were not included in the calculation because their affect would have been anti-dilutive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100" w:type="dxa"/>
            <w:vAlign w:val="bottom"/>
          </w:tcPr>
          <w:p>
            <w:pPr>
              <w:spacing w:after="0"/>
              <w:rPr>
                <w:sz w:val="18"/>
                <w:szCs w:val="18"/>
                <w:color w:val="auto"/>
              </w:rPr>
            </w:pPr>
          </w:p>
        </w:tc>
        <w:tc>
          <w:tcPr>
            <w:tcW w:w="2880" w:type="dxa"/>
            <w:vAlign w:val="bottom"/>
            <w:gridSpan w:val="3"/>
          </w:tcPr>
          <w:p>
            <w:pPr>
              <w:jc w:val="center"/>
              <w:ind w:left="1212"/>
              <w:spacing w:after="0"/>
              <w:rPr>
                <w:sz w:val="20"/>
                <w:szCs w:val="20"/>
                <w:color w:val="auto"/>
              </w:rPr>
            </w:pPr>
            <w:r>
              <w:rPr>
                <w:rFonts w:ascii="Times New Roman" w:cs="Times New Roman" w:eastAsia="Times New Roman" w:hAnsi="Times New Roman"/>
                <w:sz w:val="18"/>
                <w:szCs w:val="18"/>
                <w:b w:val="1"/>
                <w:bCs w:val="1"/>
                <w:color w:val="auto"/>
                <w:w w:val="98"/>
              </w:rPr>
              <w:t>March 31, 2022</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March 31, 2021</w:t>
            </w:r>
          </w:p>
        </w:tc>
      </w:tr>
      <w:tr>
        <w:trPr>
          <w:trHeight w:val="238"/>
        </w:trPr>
        <w:tc>
          <w:tcPr>
            <w:tcW w:w="7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(shares)</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(shares)</w:t>
            </w:r>
          </w:p>
        </w:tc>
      </w:tr>
      <w:tr>
        <w:trPr>
          <w:trHeight w:val="211"/>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shares of common stock</w:t>
            </w:r>
          </w:p>
        </w:tc>
        <w:tc>
          <w:tcPr>
            <w:tcW w:w="15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10,857,964</w:t>
            </w:r>
          </w:p>
        </w:tc>
        <w:tc>
          <w:tcPr>
            <w:tcW w:w="2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12,538,204</w:t>
            </w:r>
          </w:p>
        </w:tc>
        <w:tc>
          <w:tcPr>
            <w:tcW w:w="100" w:type="dxa"/>
            <w:vAlign w:val="bottom"/>
            <w:shd w:val="clear" w:color="auto" w:fill="CCEEFF"/>
          </w:tcPr>
          <w:p>
            <w:pPr>
              <w:spacing w:after="0"/>
              <w:rPr>
                <w:sz w:val="18"/>
                <w:szCs w:val="18"/>
                <w:color w:val="auto"/>
              </w:rPr>
            </w:pPr>
          </w:p>
        </w:tc>
      </w:tr>
      <w:tr>
        <w:trPr>
          <w:trHeight w:val="211"/>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shares of common stock</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5,630,561</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5,762,575</w:t>
            </w:r>
          </w:p>
        </w:tc>
        <w:tc>
          <w:tcPr>
            <w:tcW w:w="100" w:type="dxa"/>
            <w:vAlign w:val="bottom"/>
          </w:tcPr>
          <w:p>
            <w:pPr>
              <w:spacing w:after="0"/>
              <w:rPr>
                <w:sz w:val="18"/>
                <w:szCs w:val="18"/>
                <w:color w:val="auto"/>
              </w:rPr>
            </w:pPr>
          </w:p>
        </w:tc>
      </w:tr>
      <w:tr>
        <w:trPr>
          <w:trHeight w:val="211"/>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common stock issuable upon conversion of convertible notes payable</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5,365,259</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issuable upon conversion of preferred stock</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510,424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510,424</w:t>
            </w:r>
          </w:p>
        </w:tc>
        <w:tc>
          <w:tcPr>
            <w:tcW w:w="100" w:type="dxa"/>
            <w:vAlign w:val="bottom"/>
          </w:tcPr>
          <w:p>
            <w:pPr>
              <w:spacing w:after="0"/>
              <w:rPr>
                <w:sz w:val="18"/>
                <w:szCs w:val="18"/>
                <w:color w:val="auto"/>
              </w:rPr>
            </w:pPr>
          </w:p>
        </w:tc>
      </w:tr>
      <w:tr>
        <w:trPr>
          <w:trHeight w:val="251"/>
        </w:trPr>
        <w:tc>
          <w:tcPr>
            <w:tcW w:w="7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22,364,208</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18,811,203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Common Stock</w:t>
      </w:r>
    </w:p>
    <w:p>
      <w:pPr>
        <w:spacing w:after="0" w:line="2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2020 At Market Issuance of Common Stock</w:t>
      </w:r>
    </w:p>
    <w:p>
      <w:pPr>
        <w:spacing w:after="0" w:line="217" w:lineRule="exact"/>
        <w:rPr>
          <w:sz w:val="20"/>
          <w:szCs w:val="20"/>
          <w:color w:val="auto"/>
        </w:rPr>
      </w:pPr>
    </w:p>
    <w:p>
      <w:pPr>
        <w:ind w:right="60" w:firstLine="430"/>
        <w:spacing w:after="0" w:line="249" w:lineRule="auto"/>
        <w:rPr>
          <w:sz w:val="20"/>
          <w:szCs w:val="20"/>
          <w:color w:val="auto"/>
        </w:rPr>
      </w:pPr>
      <w:r>
        <w:rPr>
          <w:rFonts w:ascii="Times New Roman" w:cs="Times New Roman" w:eastAsia="Times New Roman" w:hAnsi="Times New Roman"/>
          <w:sz w:val="18"/>
          <w:szCs w:val="18"/>
          <w:color w:val="auto"/>
        </w:rPr>
        <w:t>On May 11, 2020, the Company entered into an At Market Issuance Sales Agreement (the “2020 At Market Agreement”) with a sales agent under which the Company may issue and sell shares of its common stock having an aggregate offering price of up to $40.0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2020 At Market Agreement. During the quarter ended March 31, 2022, there were no issuances of shares of common stock under the 2020 At Market Agreement.</w:t>
      </w:r>
    </w:p>
    <w:p>
      <w:pPr>
        <w:spacing w:after="0" w:line="187" w:lineRule="exact"/>
        <w:rPr>
          <w:sz w:val="20"/>
          <w:szCs w:val="20"/>
          <w:color w:val="auto"/>
        </w:rPr>
      </w:pPr>
    </w:p>
    <w:p>
      <w:pPr>
        <w:ind w:right="220" w:firstLine="430"/>
        <w:spacing w:after="0" w:line="269" w:lineRule="auto"/>
        <w:rPr>
          <w:sz w:val="20"/>
          <w:szCs w:val="20"/>
          <w:color w:val="auto"/>
        </w:rPr>
      </w:pPr>
      <w:r>
        <w:rPr>
          <w:rFonts w:ascii="Times New Roman" w:cs="Times New Roman" w:eastAsia="Times New Roman" w:hAnsi="Times New Roman"/>
          <w:sz w:val="18"/>
          <w:szCs w:val="18"/>
          <w:color w:val="auto"/>
        </w:rPr>
        <w:t>For each of the three months ended March 31, 2022 and 2021, the Company issued a total of 30,625 and 30,625 shares of common stock, respectively, for dividends on Series A and Series C Preferred Stock.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Legal Proceedings</w:t>
      </w:r>
    </w:p>
    <w:p>
      <w:pPr>
        <w:spacing w:after="0" w:line="219" w:lineRule="exact"/>
        <w:rPr>
          <w:sz w:val="20"/>
          <w:szCs w:val="20"/>
          <w:color w:val="auto"/>
        </w:rPr>
      </w:pPr>
    </w:p>
    <w:p>
      <w:pPr>
        <w:ind w:right="20" w:firstLine="430"/>
        <w:spacing w:after="0" w:line="269" w:lineRule="auto"/>
        <w:rPr>
          <w:sz w:val="20"/>
          <w:szCs w:val="20"/>
          <w:color w:val="auto"/>
        </w:rPr>
      </w:pPr>
      <w:r>
        <w:rPr>
          <w:rFonts w:ascii="Times New Roman" w:cs="Times New Roman" w:eastAsia="Times New Roman" w:hAnsi="Times New Roman"/>
          <w:sz w:val="18"/>
          <w:szCs w:val="18"/>
          <w:color w:val="auto"/>
        </w:rPr>
        <w:t>The Company records accruals for such contingencies to the extent that the Company concludes that their occurrence is probable and the related damages are estimable. There are no significant pending legal proceedings.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 and Research Commitments</w:t>
      </w:r>
    </w:p>
    <w:p>
      <w:pPr>
        <w:spacing w:after="0" w:line="219" w:lineRule="exact"/>
        <w:rPr>
          <w:sz w:val="20"/>
          <w:szCs w:val="20"/>
          <w:color w:val="auto"/>
        </w:rPr>
      </w:pPr>
    </w:p>
    <w:p>
      <w:pPr>
        <w:ind w:right="500" w:firstLine="430"/>
        <w:spacing w:after="0" w:line="269" w:lineRule="auto"/>
        <w:rPr>
          <w:sz w:val="20"/>
          <w:szCs w:val="20"/>
          <w:color w:val="auto"/>
        </w:rPr>
      </w:pPr>
      <w:r>
        <w:rPr>
          <w:rFonts w:ascii="Times New Roman" w:cs="Times New Roman" w:eastAsia="Times New Roman" w:hAnsi="Times New Roman"/>
          <w:sz w:val="18"/>
          <w:szCs w:val="18"/>
          <w:color w:val="auto"/>
        </w:rPr>
        <w:t>The Company has entered into agreements with contractors for research and development activities to further its product candidates. The contracts generally may be canceled at any time by providing thirty days’ notice.</w:t>
      </w:r>
    </w:p>
    <w:p>
      <w:pPr>
        <w:sectPr>
          <w:pgSz w:w="11900" w:h="16838" w:orient="portrait"/>
          <w:cols w:equalWidth="0" w:num="1">
            <w:col w:w="11240"/>
          </w:cols>
          <w:pgMar w:left="320" w:top="110" w:right="339"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17" w:lineRule="exact"/>
        <w:rPr>
          <w:sz w:val="20"/>
          <w:szCs w:val="20"/>
          <w:color w:val="auto"/>
        </w:rPr>
      </w:pPr>
    </w:p>
    <w:p>
      <w:pPr>
        <w:ind w:right="40" w:firstLine="430"/>
        <w:spacing w:after="0" w:line="248" w:lineRule="auto"/>
        <w:rPr>
          <w:sz w:val="20"/>
          <w:szCs w:val="20"/>
          <w:color w:val="auto"/>
        </w:rPr>
      </w:pPr>
      <w:r>
        <w:rPr>
          <w:rFonts w:ascii="Times New Roman" w:cs="Times New Roman" w:eastAsia="Times New Roman" w:hAnsi="Times New Roman"/>
          <w:sz w:val="18"/>
          <w:szCs w:val="18"/>
          <w:color w:val="auto"/>
        </w:rPr>
        <w:t>The Company has one operating lease for its office space which was amended effective March 1, 2022 for a term of 38 months with no residual value guarantees or material restrictive covenants. The amended lease provided for free rent for the first six and a half months of the lease and continues the security deposit of $6,000. In addition to base rental payments included in the contractual obligations table above, the Company is responsible for our pro-rata share of the operating expenses for the building. Our lease cost for the three-month periods ended March 31, 2022 and 2021 was approximately $11,000 for each period and is included in general and administrative expenses. As of March 31, 2022, the right to use lease asset consisted of $108,000 and is included in other assets. Also, at March 31, 2022, current lease liability of $14,000 is included in accrued expenses and long term lease liability was $97,000 and included in other liabilities.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Maturity of operating lease as of March 31, 2022 in thousands:</w:t>
            </w: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10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r>
      <w:tr>
        <w:trPr>
          <w:trHeight w:val="211"/>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r>
      <w:tr>
        <w:trPr>
          <w:trHeight w:val="211"/>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8"/>
                <w:szCs w:val="18"/>
                <w:color w:val="auto"/>
              </w:rPr>
            </w:pPr>
          </w:p>
        </w:tc>
      </w:tr>
      <w:tr>
        <w:trPr>
          <w:trHeight w:val="21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r>
      <w:tr>
        <w:trPr>
          <w:trHeight w:val="211"/>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8"/>
                <w:szCs w:val="18"/>
                <w:color w:val="auto"/>
              </w:rPr>
            </w:pPr>
          </w:p>
        </w:tc>
      </w:tr>
      <w:tr>
        <w:trPr>
          <w:trHeight w:val="21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r>
      <w:tr>
        <w:trPr>
          <w:trHeight w:val="251"/>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460" w:type="dxa"/>
            <w:vAlign w:val="bottom"/>
            <w:tcBorders>
              <w:bottom w:val="single" w:sz="8" w:color="auto"/>
            </w:tcBorders>
            <w:shd w:val="clear" w:color="auto" w:fill="CCEEFF"/>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discount rate used in calculating the present value of the lease payments was 11%.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Galectin Sciences LLC</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In January 2014, we created Galectin Sciences, LLC (the “LLC” or “Investee”), a collaborative joint venture co-owned by SBH Sciences, Inc. (“SBH”),</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research and develop small organic molecule inhibitors of galectin-3 for oral administration. The LLC was initially capitalized with a $400,000 cash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to fund future research and development activities, which was provided by the Company, and specific in-process research and development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(“IPR&amp;D”) contributed by SBH. The estimated fair value of the IPR&amp;D contributed by SBH, on the date of contribution, was $400,000. Initially,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SBH each had a 50% equity ownership interest in the LLC, with neither party having control over the LLC. Accordingly, from inception through the fourth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of 2014, the Company accounted for its investment in the LLC using the equity method of accounting. Under the equity method of accounting,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Company’s investment was initially recorded at cost with subsequent adjustments to the carrying value to recognize additional investments in or distributions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Investee, as well as the Company’s share of the Investee’s earnings, losses and/or changes in capital. The estimated fair value of the IPR&amp;D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contributed to the LLC was immediately expensed upon contribution as there was no alternative future use available at the point of contribution. The operating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provides that if either party does not desire to contribute its equal share of funding required after the initial capitalization, then the other party,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providing all of the funding, will have its ownership share increased in proportion to the total amount contributed from inception. In the fourth quarter of 2014,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after the LLC had expended the $400,000 in cash, SBH decided not to contribute its share of the funding required. Cumulatively, the Company has contributed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total of $3,068,000, including $43,000 for the three months ended March 31, 2022, for expenses of the LLC. Since the end of 2014, SBH has contributed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$158,000 for expenses in the LLC. As of March 31, 2022, the Company’s ownership percentage in the LLC was 84.6%. The Company accounts for the interest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LLC as a consolidated, less than wholly owned subsidiary. Because the LLC’s equity is immaterial, the value of the non-controlling interest is also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to be immaterial.</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5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17" w:lineRule="exact"/>
        <w:rPr>
          <w:sz w:val="20"/>
          <w:szCs w:val="20"/>
          <w:color w:val="auto"/>
        </w:rPr>
      </w:pPr>
    </w:p>
    <w:p>
      <w:pPr>
        <w:ind w:right="20" w:firstLine="430"/>
        <w:spacing w:after="0" w:line="246" w:lineRule="auto"/>
        <w:rPr>
          <w:sz w:val="20"/>
          <w:szCs w:val="20"/>
          <w:color w:val="auto"/>
        </w:rPr>
      </w:pPr>
      <w:r>
        <w:rPr>
          <w:rFonts w:ascii="Times New Roman" w:cs="Times New Roman" w:eastAsia="Times New Roman" w:hAnsi="Times New Roman"/>
          <w:sz w:val="18"/>
          <w:szCs w:val="18"/>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at least May 16, 2023;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191" w:lineRule="exact"/>
        <w:rPr>
          <w:sz w:val="20"/>
          <w:szCs w:val="20"/>
          <w:color w:val="auto"/>
        </w:rPr>
      </w:pPr>
    </w:p>
    <w:p>
      <w:pPr>
        <w:ind w:left="1420" w:hanging="466"/>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early stage of development,</w:t>
      </w:r>
    </w:p>
    <w:p>
      <w:pPr>
        <w:spacing w:after="0" w:line="214" w:lineRule="exact"/>
        <w:rPr>
          <w:rFonts w:ascii="Times New Roman" w:cs="Times New Roman" w:eastAsia="Times New Roman" w:hAnsi="Times New Roman"/>
          <w:sz w:val="18"/>
          <w:szCs w:val="18"/>
          <w:color w:val="auto"/>
        </w:rPr>
      </w:pPr>
    </w:p>
    <w:p>
      <w:pPr>
        <w:ind w:left="1420" w:hanging="466"/>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since our inception and cannot assure you that we will generate revenue or profit,</w:t>
      </w:r>
    </w:p>
    <w:p>
      <w:pPr>
        <w:spacing w:after="0" w:line="214" w:lineRule="exact"/>
        <w:rPr>
          <w:rFonts w:ascii="Times New Roman" w:cs="Times New Roman" w:eastAsia="Times New Roman" w:hAnsi="Times New Roman"/>
          <w:sz w:val="18"/>
          <w:szCs w:val="18"/>
          <w:color w:val="auto"/>
        </w:rPr>
      </w:pPr>
    </w:p>
    <w:p>
      <w:pPr>
        <w:ind w:left="1420" w:hanging="466"/>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additional outside capital,</w:t>
      </w:r>
    </w:p>
    <w:p>
      <w:pPr>
        <w:spacing w:after="0" w:line="214" w:lineRule="exact"/>
        <w:rPr>
          <w:rFonts w:ascii="Times New Roman" w:cs="Times New Roman" w:eastAsia="Times New Roman" w:hAnsi="Times New Roman"/>
          <w:sz w:val="18"/>
          <w:szCs w:val="18"/>
          <w:color w:val="auto"/>
        </w:rPr>
      </w:pPr>
    </w:p>
    <w:p>
      <w:pPr>
        <w:ind w:left="1420" w:right="480" w:hanging="466"/>
        <w:spacing w:after="0" w:line="269"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enter into strategic partnerships for the development, commercialization, manufacturing and distribution of our proposed product candidates,</w:t>
      </w:r>
    </w:p>
    <w:p>
      <w:pPr>
        <w:spacing w:after="0" w:line="168" w:lineRule="exact"/>
        <w:rPr>
          <w:rFonts w:ascii="Times New Roman" w:cs="Times New Roman" w:eastAsia="Times New Roman" w:hAnsi="Times New Roman"/>
          <w:sz w:val="18"/>
          <w:szCs w:val="18"/>
          <w:color w:val="auto"/>
        </w:rPr>
      </w:pPr>
    </w:p>
    <w:p>
      <w:pPr>
        <w:ind w:left="1420" w:hanging="466"/>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any litigation, including shareholder class actions and derivative lawsuits filed,</w:t>
      </w:r>
    </w:p>
    <w:p>
      <w:pPr>
        <w:spacing w:after="0" w:line="214" w:lineRule="exact"/>
        <w:rPr>
          <w:rFonts w:ascii="Times New Roman" w:cs="Times New Roman" w:eastAsia="Times New Roman" w:hAnsi="Times New Roman"/>
          <w:sz w:val="18"/>
          <w:szCs w:val="18"/>
          <w:color w:val="auto"/>
        </w:rPr>
      </w:pPr>
    </w:p>
    <w:p>
      <w:pPr>
        <w:ind w:left="1420" w:hanging="466"/>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our technology and clinical trials, including expected dates of availability of clinical data,</w:t>
      </w:r>
    </w:p>
    <w:p>
      <w:pPr>
        <w:spacing w:after="0" w:line="214" w:lineRule="exact"/>
        <w:rPr>
          <w:rFonts w:ascii="Times New Roman" w:cs="Times New Roman" w:eastAsia="Times New Roman" w:hAnsi="Times New Roman"/>
          <w:sz w:val="18"/>
          <w:szCs w:val="18"/>
          <w:color w:val="auto"/>
        </w:rPr>
      </w:pPr>
    </w:p>
    <w:p>
      <w:pPr>
        <w:ind w:left="1420" w:hanging="466"/>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the efficacy and safety of our developmental product candidates in human trials,</w:t>
      </w:r>
    </w:p>
    <w:p>
      <w:pPr>
        <w:spacing w:after="0" w:line="214" w:lineRule="exact"/>
        <w:rPr>
          <w:rFonts w:ascii="Times New Roman" w:cs="Times New Roman" w:eastAsia="Times New Roman" w:hAnsi="Times New Roman"/>
          <w:sz w:val="18"/>
          <w:szCs w:val="18"/>
          <w:color w:val="auto"/>
        </w:rPr>
      </w:pPr>
    </w:p>
    <w:p>
      <w:pPr>
        <w:ind w:left="1420" w:hanging="466"/>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improve upon, protect and/or enforce our intellectual property,</w:t>
      </w:r>
    </w:p>
    <w:p>
      <w:pPr>
        <w:spacing w:after="0" w:line="214" w:lineRule="exact"/>
        <w:rPr>
          <w:rFonts w:ascii="Times New Roman" w:cs="Times New Roman" w:eastAsia="Times New Roman" w:hAnsi="Times New Roman"/>
          <w:sz w:val="18"/>
          <w:szCs w:val="18"/>
          <w:color w:val="auto"/>
        </w:rPr>
      </w:pPr>
    </w:p>
    <w:p>
      <w:pPr>
        <w:ind w:left="1420" w:right="140" w:hanging="466"/>
        <w:spacing w:after="0" w:line="332" w:lineRule="auto"/>
        <w:tabs>
          <w:tab w:leader="none" w:pos="1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123" w:lineRule="exact"/>
        <w:rPr>
          <w:rFonts w:ascii="Times New Roman" w:cs="Times New Roman" w:eastAsia="Times New Roman" w:hAnsi="Times New Roman"/>
          <w:sz w:val="16"/>
          <w:szCs w:val="16"/>
          <w:color w:val="auto"/>
        </w:rPr>
      </w:pPr>
    </w:p>
    <w:p>
      <w:pPr>
        <w:ind w:left="1420" w:hanging="466"/>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stock price volatility in the biotechnology industry,</w:t>
      </w:r>
    </w:p>
    <w:p>
      <w:pPr>
        <w:spacing w:after="0" w:line="214" w:lineRule="exact"/>
        <w:rPr>
          <w:rFonts w:ascii="Times New Roman" w:cs="Times New Roman" w:eastAsia="Times New Roman" w:hAnsi="Times New Roman"/>
          <w:sz w:val="18"/>
          <w:szCs w:val="18"/>
          <w:color w:val="auto"/>
        </w:rPr>
      </w:pPr>
    </w:p>
    <w:p>
      <w:pPr>
        <w:ind w:left="1420" w:right="100" w:hanging="466"/>
        <w:spacing w:after="0" w:line="269"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trading volume for our stock, concentration of ownership of our stock, and other risks detailed herein and from time to time in our SEC reports,</w:t>
      </w:r>
    </w:p>
    <w:p>
      <w:pPr>
        <w:spacing w:after="0" w:line="168" w:lineRule="exact"/>
        <w:rPr>
          <w:rFonts w:ascii="Times New Roman" w:cs="Times New Roman" w:eastAsia="Times New Roman" w:hAnsi="Times New Roman"/>
          <w:sz w:val="18"/>
          <w:szCs w:val="18"/>
          <w:color w:val="auto"/>
        </w:rPr>
      </w:pPr>
    </w:p>
    <w:p>
      <w:pPr>
        <w:jc w:val="both"/>
        <w:ind w:left="1420" w:right="320" w:hanging="466"/>
        <w:spacing w:after="0" w:line="332" w:lineRule="auto"/>
        <w:tabs>
          <w:tab w:leader="none" w:pos="1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resulting from the outbreak of COVID-19, which has delayed and may continue to delay our clinical trial and development efforts, as well as the impact that COVID-19 has on the volatility of the capital market and our ability to access the capital market and,</w:t>
      </w:r>
    </w:p>
    <w:p>
      <w:pPr>
        <w:spacing w:after="0" w:line="123" w:lineRule="exact"/>
        <w:rPr>
          <w:rFonts w:ascii="Times New Roman" w:cs="Times New Roman" w:eastAsia="Times New Roman" w:hAnsi="Times New Roman"/>
          <w:sz w:val="16"/>
          <w:szCs w:val="16"/>
          <w:color w:val="auto"/>
        </w:rPr>
      </w:pPr>
    </w:p>
    <w:p>
      <w:pPr>
        <w:ind w:left="1420" w:hanging="466"/>
        <w:spacing w:after="0" w:line="269"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detailed herein and from time to time in our SEC reports, including our Annual Report on Form 10-K filed with the SEC for the fiscal year ended December 31, 2021, and our subsequent SEC filings.</w:t>
      </w:r>
    </w:p>
    <w:p>
      <w:pPr>
        <w:spacing w:after="0" w:line="168" w:lineRule="exact"/>
        <w:rPr>
          <w:sz w:val="20"/>
          <w:szCs w:val="20"/>
          <w:color w:val="auto"/>
        </w:rPr>
      </w:pPr>
    </w:p>
    <w:p>
      <w:pPr>
        <w:ind w:right="740" w:firstLine="430"/>
        <w:spacing w:after="0" w:line="269"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accompanying consolidated financial statements and notes thereto of Galectin Therapeutics appearing elsewhere herein.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7" w:lineRule="exact"/>
        <w:rPr>
          <w:sz w:val="20"/>
          <w:szCs w:val="20"/>
          <w:color w:val="auto"/>
        </w:rPr>
      </w:pPr>
    </w:p>
    <w:p>
      <w:pPr>
        <w:ind w:right="20" w:firstLine="387"/>
        <w:spacing w:after="0" w:line="247" w:lineRule="auto"/>
        <w:rPr>
          <w:sz w:val="20"/>
          <w:szCs w:val="20"/>
          <w:color w:val="auto"/>
        </w:rPr>
      </w:pPr>
      <w:r>
        <w:rPr>
          <w:rFonts w:ascii="Times New Roman" w:cs="Times New Roman" w:eastAsia="Times New Roman" w:hAnsi="Times New Roman"/>
          <w:sz w:val="18"/>
          <w:szCs w:val="18"/>
          <w:color w:val="auto"/>
        </w:rPr>
        <w:t>We are a clinical stage biopharmaceutical company engaged in drug research and development to create new therapies for fibrotic disease, cancer and selected other diseases. Our drug candidates are based on our method of targeting galectin proteins, which are key mediators of biologic and pathologic functions. We use naturally occurring, readily-available plant products as starting material in manufacturing processes to create proprietary, patented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 proteins have a demonstrated role in the pathogenesis of a given disease. We focus on diseases with serious, life-threatening consequences and those where current treatment options are limited specifically in NASH (non-alcoholic steatohepatitis) with cirrhosis and certain cancer indications. Our strategy is to establish and implement clinical development programs that add value to our business in the shortest period of time possible and to seek strategic partners when one of our programs becomes advanced and requires significant additional resources.</w:t>
      </w:r>
    </w:p>
    <w:p>
      <w:pPr>
        <w:sectPr>
          <w:pgSz w:w="11900" w:h="16838" w:orient="portrait"/>
          <w:cols w:equalWidth="0" w:num="1">
            <w:col w:w="11200"/>
          </w:cols>
          <w:pgMar w:left="320" w:top="116" w:right="379" w:bottom="1440" w:gutter="0" w:footer="0" w:header="0"/>
        </w:sect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1" w:lineRule="exact"/>
        <w:rPr>
          <w:sz w:val="20"/>
          <w:szCs w:val="20"/>
          <w:color w:val="auto"/>
        </w:rPr>
      </w:pPr>
    </w:p>
    <w:p>
      <w:pPr>
        <w:ind w:right="60" w:firstLine="387"/>
        <w:spacing w:after="0" w:line="247" w:lineRule="auto"/>
        <w:rPr>
          <w:sz w:val="20"/>
          <w:szCs w:val="20"/>
          <w:color w:val="auto"/>
        </w:rPr>
      </w:pPr>
      <w:r>
        <w:rPr>
          <w:rFonts w:ascii="Times New Roman" w:cs="Times New Roman" w:eastAsia="Times New Roman" w:hAnsi="Times New Roman"/>
          <w:sz w:val="18"/>
          <w:szCs w:val="18"/>
          <w:color w:val="auto"/>
        </w:rPr>
        <w:t>Our lead galectin-3 inhibitor is belapectin (GR-MD-02), which has been demonstrated in preclinical models to reverse liver fibrosis and cirrhosis and in clinical studies to decrease portal hypertension and prevent its complication: the development of esophageal varices. Belapectin has the potential to treat many diseases due to galectin-3’s involvement in multiple key biological pathways such as fibrosis, immune cell function and immunity, cell differentiation, cell growth, and apoptosis (cell death). The importance of galectin-3 in the fibrotic process is supported by experimental evidence. Animals with the galectin-3 gene “knocked-out” can no longer develop fibrosis in response to experimental stimuli compared to animals with an intact galectin-3 gene. We are using our galectin-3 inhibitor to treat advanced liver fibrosis and liver cirrhosis in NASH patients. We have completed two Phase 1 clinical studies, a Phase 2 clinical study in NASH patients with advanced fibrosis (NASH-FX) and a second Phase 2b clinical trial in NASH patients with compensated cirrhosis and portal hypertension (NASH-CX).</w:t>
      </w:r>
    </w:p>
    <w:p>
      <w:pPr>
        <w:spacing w:after="0" w:line="193" w:lineRule="exact"/>
        <w:rPr>
          <w:sz w:val="20"/>
          <w:szCs w:val="20"/>
          <w:color w:val="auto"/>
        </w:rPr>
      </w:pPr>
    </w:p>
    <w:p>
      <w:pPr>
        <w:ind w:right="60" w:firstLine="387"/>
        <w:spacing w:after="0" w:line="249" w:lineRule="auto"/>
        <w:rPr>
          <w:sz w:val="20"/>
          <w:szCs w:val="20"/>
          <w:color w:val="auto"/>
        </w:rPr>
      </w:pPr>
      <w:r>
        <w:rPr>
          <w:rFonts w:ascii="Times New Roman" w:cs="Times New Roman" w:eastAsia="Times New Roman" w:hAnsi="Times New Roman"/>
          <w:sz w:val="18"/>
          <w:szCs w:val="18"/>
          <w:color w:val="auto"/>
        </w:rPr>
        <w:t xml:space="preserve">We are now engaged in a large, global Phase 2b/3 clinical trial. Our study protocol was filed with the FDA on April 30, 2020, for a seamless adaptively-designed Phase 2b/3 clinical study, the NAVIGATE trial (formerly called NASH-RX), evaluating the safety and efficacy of our galectin-3 inhibitor, belapectin, for the prevention of esophageal varices in patients with non-alcoholic steatohepatitis (NASH) cirrhosis (Further details are available at </w:t>
      </w:r>
      <w:r>
        <w:rPr>
          <w:rFonts w:ascii="Times New Roman" w:cs="Times New Roman" w:eastAsia="Times New Roman" w:hAnsi="Times New Roman"/>
          <w:sz w:val="18"/>
          <w:szCs w:val="18"/>
          <w:u w:val="single" w:color="auto"/>
          <w:color w:val="auto"/>
        </w:rPr>
        <w:t>www.clinicaltrials.gov</w:t>
      </w:r>
      <w:r>
        <w:rPr>
          <w:rFonts w:ascii="Times New Roman" w:cs="Times New Roman" w:eastAsia="Times New Roman" w:hAnsi="Times New Roman"/>
          <w:sz w:val="18"/>
          <w:szCs w:val="18"/>
          <w:color w:val="auto"/>
        </w:rPr>
        <w:t xml:space="preserve"> under study NCT04365868); this study began enrolling patients in Q2-2020. In September 2020, the Company received a letter from the FDA providing comments, asking questions and providing guidance on various aspects of the ongoing NAVIGATE trial. These comments were addressed, and the study proceeded accordingly.</w:t>
      </w:r>
    </w:p>
    <w:p>
      <w:pPr>
        <w:spacing w:after="0" w:line="187" w:lineRule="exact"/>
        <w:rPr>
          <w:sz w:val="20"/>
          <w:szCs w:val="20"/>
          <w:color w:val="auto"/>
        </w:rPr>
      </w:pPr>
    </w:p>
    <w:p>
      <w:pPr>
        <w:ind w:right="500" w:firstLine="387"/>
        <w:spacing w:after="0" w:line="252" w:lineRule="auto"/>
        <w:rPr>
          <w:sz w:val="20"/>
          <w:szCs w:val="20"/>
          <w:color w:val="auto"/>
        </w:rPr>
      </w:pPr>
      <w:r>
        <w:rPr>
          <w:rFonts w:ascii="Times New Roman" w:cs="Times New Roman" w:eastAsia="Times New Roman" w:hAnsi="Times New Roman"/>
          <w:sz w:val="18"/>
          <w:szCs w:val="18"/>
          <w:color w:val="auto"/>
        </w:rPr>
        <w:t xml:space="preserve">Additionally, a study protocol entitled “A Single-dose, Open-label, Pharmacokinetic Study of Belapectin (GR-MD-02) in Subjects With Normal Hepatic Function and Subjects With Varying Degrees of Hepatic Impairment” has been filed with the FDA to examine the effects of the drug in subjects with normal hepatic function and subjects with varying degrees of hepatic impairment (study details are listed under study NCT04332432 on </w:t>
      </w:r>
      <w:r>
        <w:rPr>
          <w:rFonts w:ascii="Times New Roman" w:cs="Times New Roman" w:eastAsia="Times New Roman" w:hAnsi="Times New Roman"/>
          <w:sz w:val="18"/>
          <w:szCs w:val="18"/>
          <w:u w:val="single" w:color="auto"/>
          <w:color w:val="auto"/>
        </w:rPr>
        <w:t>www.clinicaltrials.gov</w:t>
      </w:r>
      <w:r>
        <w:rPr>
          <w:rFonts w:ascii="Times New Roman" w:cs="Times New Roman" w:eastAsia="Times New Roman" w:hAnsi="Times New Roman"/>
          <w:sz w:val="18"/>
          <w:szCs w:val="18"/>
          <w:color w:val="auto"/>
        </w:rPr>
        <w:t>); this study became fully enrolled in February 2022.</w:t>
      </w:r>
    </w:p>
    <w:p>
      <w:pPr>
        <w:spacing w:after="0" w:line="185" w:lineRule="exact"/>
        <w:rPr>
          <w:sz w:val="20"/>
          <w:szCs w:val="20"/>
          <w:color w:val="auto"/>
        </w:rPr>
      </w:pPr>
    </w:p>
    <w:p>
      <w:pPr>
        <w:ind w:right="220" w:firstLine="387"/>
        <w:spacing w:after="0" w:line="249" w:lineRule="auto"/>
        <w:rPr>
          <w:sz w:val="20"/>
          <w:szCs w:val="20"/>
          <w:color w:val="auto"/>
        </w:rPr>
      </w:pPr>
      <w:r>
        <w:rPr>
          <w:rFonts w:ascii="Times New Roman" w:cs="Times New Roman" w:eastAsia="Times New Roman" w:hAnsi="Times New Roman"/>
          <w:sz w:val="18"/>
          <w:szCs w:val="18"/>
          <w:color w:val="auto"/>
        </w:rPr>
        <w:t>We endeavor to leverage our scientific and product development expertise as well as established relationships with outside sources to achieve cost-effective and efficient drug development. These outside sources, amongst others, provide us with expertise in preclinical models, pharmaceutical development, toxicology, clinical trial operations, pharmaceutical manufacturing, including physical and chemical drug characterization, and commercial development. We also have established through our majority-owned joint venture subsidiary, Galectin Sciences LLC, a discovery program developing small molecules that inhibit galectin-3 and may afford alternative drug delivery (e.g., oral) and as a result expand the potential uses of galectin-3 inhibitor beyond belapectin. Three chemical series of composition of matter patents have been filed.</w:t>
      </w:r>
    </w:p>
    <w:p>
      <w:pPr>
        <w:spacing w:after="0" w:line="187" w:lineRule="exact"/>
        <w:rPr>
          <w:sz w:val="20"/>
          <w:szCs w:val="20"/>
          <w:color w:val="auto"/>
        </w:rPr>
      </w:pPr>
    </w:p>
    <w:p>
      <w:pPr>
        <w:ind w:firstLine="387"/>
        <w:spacing w:after="0" w:line="252" w:lineRule="auto"/>
        <w:rPr>
          <w:sz w:val="20"/>
          <w:szCs w:val="20"/>
          <w:color w:val="auto"/>
        </w:rPr>
      </w:pPr>
      <w:r>
        <w:rPr>
          <w:rFonts w:ascii="Times New Roman" w:cs="Times New Roman" w:eastAsia="Times New Roman" w:hAnsi="Times New Roman"/>
          <w:sz w:val="18"/>
          <w:szCs w:val="18"/>
          <w:color w:val="auto"/>
        </w:rPr>
        <w:t>We are also pursuing a development pathway to clinical enhancement and commercialization for our lead compounds in immuno-oncology following our previous successful collaboration with Providence Portland Cancer Center. We are now planning a phase 2 trial in advanced or metastatic head and neck cancer using belapectin in combination with a checkpoint (PD-1) inhibitor. All of our proposed products are presently in development, including pre-clinical and clinical trials.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Drug Development Programs</w:t>
      </w:r>
    </w:p>
    <w:p>
      <w:pPr>
        <w:spacing w:after="0" w:line="217" w:lineRule="exact"/>
        <w:rPr>
          <w:sz w:val="20"/>
          <w:szCs w:val="20"/>
          <w:color w:val="auto"/>
        </w:rPr>
      </w:pPr>
    </w:p>
    <w:p>
      <w:pPr>
        <w:ind w:right="60" w:firstLine="427"/>
        <w:spacing w:after="0" w:line="284" w:lineRule="auto"/>
        <w:rPr>
          <w:sz w:val="20"/>
          <w:szCs w:val="20"/>
          <w:color w:val="auto"/>
        </w:rPr>
      </w:pPr>
      <w:r>
        <w:rPr>
          <w:rFonts w:ascii="Times New Roman" w:cs="Times New Roman" w:eastAsia="Times New Roman" w:hAnsi="Times New Roman"/>
          <w:sz w:val="16"/>
          <w:szCs w:val="16"/>
          <w:color w:val="auto"/>
        </w:rPr>
        <w:t>Galectins are a class of proteins that are made by many cells in the body, but predominantly in cells of the immune system. As a group, these proteins are able to bind to sugar molecules that are attached to other proteins, called glycoproteins that are responsible for various functions within the body, most notably inflammation and fibrosis. Galectins, in particular galectin-3,act as a molecular glue, bringing together molecules that have sugars on them. Galectin-3, is known to be markedly increased in a number of important diseases including inflammatory diseases leading to organs scarring (e.g. liver, lung, kidney, and heart) and cancers. The increase in galectin-3 , by creating the so-called galectin-3 fibrosome, promotes the progression of multiple diseases. Published data substantiating the importance of galectin-3 in the fibrotic process arises from gene knockout experiments in animal studies. For instance, mice genetically altered to eliminate the galectin-3 gene, and thus unable to produce galectin-3, do not develop liver fibrosis in response to toxic insult to the liver.</w:t>
      </w:r>
    </w:p>
    <w:p>
      <w:pPr>
        <w:spacing w:after="0" w:line="162" w:lineRule="exact"/>
        <w:rPr>
          <w:sz w:val="20"/>
          <w:szCs w:val="20"/>
          <w:color w:val="auto"/>
        </w:rPr>
      </w:pPr>
    </w:p>
    <w:p>
      <w:pPr>
        <w:ind w:right="360" w:firstLine="427"/>
        <w:spacing w:after="0" w:line="252" w:lineRule="auto"/>
        <w:rPr>
          <w:sz w:val="20"/>
          <w:szCs w:val="20"/>
          <w:color w:val="auto"/>
        </w:rPr>
      </w:pPr>
      <w:r>
        <w:rPr>
          <w:rFonts w:ascii="Times New Roman" w:cs="Times New Roman" w:eastAsia="Times New Roman" w:hAnsi="Times New Roman"/>
          <w:sz w:val="18"/>
          <w:szCs w:val="18"/>
          <w:color w:val="auto"/>
        </w:rPr>
        <w:t>We have one new proprietary chemical entity (NCE) in development, belapectin, which has shown promise in preclinical and clinical studies for the treatment of liver fibrosis, severe skin disease, and cancer (melanoma and head and neck squamous cell carcinoma). Currently we are focusing on development of belapectin for the treatment of NASH cirrhosis and Head and neck cancer. Belapectin is a proprietary, patented compound derived from natural, plant-based, starting materials, which, following chemical processing, exhibits the properties of binding to and inhibiting galectin-3.</w:t>
      </w: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220" w:type="dxa"/>
            <w:vAlign w:val="bottom"/>
          </w:tcPr>
          <w:p>
            <w:pPr>
              <w:spacing w:after="0"/>
              <w:rPr>
                <w:sz w:val="13"/>
                <w:szCs w:val="13"/>
                <w:color w:val="auto"/>
              </w:rPr>
            </w:pPr>
          </w:p>
        </w:tc>
        <w:tc>
          <w:tcPr>
            <w:tcW w:w="6740" w:type="dxa"/>
            <w:vAlign w:val="bottom"/>
          </w:tcPr>
          <w:p>
            <w:pPr>
              <w:spacing w:after="0"/>
              <w:rPr>
                <w:sz w:val="13"/>
                <w:szCs w:val="13"/>
                <w:color w:val="auto"/>
              </w:rPr>
            </w:pPr>
          </w:p>
        </w:tc>
      </w:tr>
      <w:tr>
        <w:trPr>
          <w:trHeight w:val="375"/>
        </w:trPr>
        <w:tc>
          <w:tcPr>
            <w:tcW w:w="320" w:type="dxa"/>
            <w:vAlign w:val="bottom"/>
            <w:tcBorders>
              <w:top w:val="single" w:sz="8" w:color="0000EE"/>
            </w:tcBorders>
          </w:tcPr>
          <w:p>
            <w:pPr>
              <w:spacing w:after="0"/>
              <w:rPr>
                <w:sz w:val="24"/>
                <w:szCs w:val="24"/>
                <w:color w:val="auto"/>
              </w:rPr>
            </w:pPr>
          </w:p>
        </w:tc>
        <w:tc>
          <w:tcPr>
            <w:tcW w:w="2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Our product pipeline is shown below:</w:t>
            </w:r>
          </w:p>
        </w:tc>
        <w:tc>
          <w:tcPr>
            <w:tcW w:w="1220" w:type="dxa"/>
            <w:vAlign w:val="bottom"/>
          </w:tcPr>
          <w:p>
            <w:pPr>
              <w:spacing w:after="0"/>
              <w:rPr>
                <w:sz w:val="24"/>
                <w:szCs w:val="24"/>
                <w:color w:val="auto"/>
              </w:rPr>
            </w:pPr>
          </w:p>
        </w:tc>
        <w:tc>
          <w:tcPr>
            <w:tcW w:w="6740" w:type="dxa"/>
            <w:vAlign w:val="bottom"/>
          </w:tcPr>
          <w:p>
            <w:pPr>
              <w:spacing w:after="0"/>
              <w:rPr>
                <w:sz w:val="24"/>
                <w:szCs w:val="24"/>
                <w:color w:val="auto"/>
              </w:rPr>
            </w:pPr>
          </w:p>
        </w:tc>
      </w:tr>
      <w:tr>
        <w:trPr>
          <w:trHeight w:val="402"/>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Drug</w:t>
            </w:r>
          </w:p>
        </w:tc>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Status</w:t>
            </w:r>
          </w:p>
        </w:tc>
      </w:tr>
      <w:tr>
        <w:trPr>
          <w:trHeight w:val="211"/>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Prevention of esophageal varices in</w:t>
            </w:r>
          </w:p>
        </w:tc>
        <w:tc>
          <w:tcPr>
            <w:tcW w:w="1220" w:type="dxa"/>
            <w:vAlign w:val="bottom"/>
          </w:tcPr>
          <w:p>
            <w:pPr>
              <w:spacing w:after="0"/>
              <w:rPr>
                <w:sz w:val="18"/>
                <w:szCs w:val="18"/>
                <w:color w:val="auto"/>
              </w:rPr>
            </w:pPr>
          </w:p>
        </w:tc>
        <w:tc>
          <w:tcPr>
            <w:tcW w:w="6740" w:type="dxa"/>
            <w:vAlign w:val="bottom"/>
          </w:tcPr>
          <w:p>
            <w:pPr>
              <w:spacing w:after="0"/>
              <w:rPr>
                <w:sz w:val="18"/>
                <w:szCs w:val="18"/>
                <w:color w:val="auto"/>
              </w:rPr>
            </w:pPr>
          </w:p>
        </w:tc>
      </w:tr>
      <w:tr>
        <w:trPr>
          <w:trHeight w:val="230"/>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NASH cirrhosis</w:t>
            </w:r>
          </w:p>
        </w:tc>
        <w:tc>
          <w:tcPr>
            <w:tcW w:w="1220" w:type="dxa"/>
            <w:vAlign w:val="bottom"/>
          </w:tcPr>
          <w:p>
            <w:pPr>
              <w:spacing w:after="0"/>
              <w:rPr>
                <w:sz w:val="20"/>
                <w:szCs w:val="20"/>
                <w:color w:val="auto"/>
              </w:rPr>
            </w:pPr>
          </w:p>
        </w:tc>
        <w:tc>
          <w:tcPr>
            <w:tcW w:w="6740" w:type="dxa"/>
            <w:vAlign w:val="bottom"/>
          </w:tcPr>
          <w:p>
            <w:pPr>
              <w:spacing w:after="0"/>
              <w:rPr>
                <w:sz w:val="20"/>
                <w:szCs w:val="20"/>
                <w:color w:val="auto"/>
              </w:rPr>
            </w:pPr>
          </w:p>
        </w:tc>
      </w:tr>
      <w:tr>
        <w:trPr>
          <w:trHeight w:val="404"/>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Phase 1 interaction trial:</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belapectin</w:t>
            </w:r>
          </w:p>
        </w:tc>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 submitted January 2013. Results from the Phase 1 interaction trial were reported in</w:t>
            </w:r>
          </w:p>
        </w:tc>
      </w:tr>
      <w:tr>
        <w:trPr>
          <w:trHeight w:val="211"/>
        </w:trPr>
        <w:tc>
          <w:tcPr>
            <w:tcW w:w="3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2014, with final results reported in January 2015.</w:t>
            </w:r>
          </w:p>
        </w:tc>
      </w:tr>
      <w:tr>
        <w:trPr>
          <w:trHeight w:val="211"/>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NASH-CX trial and</w:t>
            </w:r>
          </w:p>
        </w:tc>
        <w:tc>
          <w:tcPr>
            <w:tcW w:w="1220" w:type="dxa"/>
            <w:vAlign w:val="bottom"/>
          </w:tcPr>
          <w:p>
            <w:pPr>
              <w:spacing w:after="0"/>
              <w:rPr>
                <w:sz w:val="18"/>
                <w:szCs w:val="18"/>
                <w:color w:val="auto"/>
              </w:rPr>
            </w:pPr>
          </w:p>
        </w:tc>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Phase 2 NASH FX trial was conducted in patients with advanced fibrosis but not</w:t>
            </w:r>
          </w:p>
        </w:tc>
      </w:tr>
      <w:tr>
        <w:trPr>
          <w:trHeight w:val="211"/>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NASH-FX trial</w:t>
            </w:r>
          </w:p>
        </w:tc>
        <w:tc>
          <w:tcPr>
            <w:tcW w:w="1220" w:type="dxa"/>
            <w:vAlign w:val="bottom"/>
          </w:tcPr>
          <w:p>
            <w:pPr>
              <w:spacing w:after="0"/>
              <w:rPr>
                <w:sz w:val="18"/>
                <w:szCs w:val="18"/>
                <w:color w:val="auto"/>
              </w:rPr>
            </w:pPr>
          </w:p>
        </w:tc>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cirrhosis. Its principal purpose was to evaluate various imaging modalities. The NASH FX</w:t>
            </w:r>
          </w:p>
        </w:tc>
      </w:tr>
      <w:tr>
        <w:trPr>
          <w:trHeight w:val="211"/>
        </w:trPr>
        <w:tc>
          <w:tcPr>
            <w:tcW w:w="3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trial top line data was reported in September 2016 and published in Alimentary</w:t>
            </w:r>
          </w:p>
        </w:tc>
      </w:tr>
      <w:tr>
        <w:trPr>
          <w:trHeight w:val="228"/>
        </w:trPr>
        <w:tc>
          <w:tcPr>
            <w:tcW w:w="3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Pharmacology and Therapeutics in 2016.</w:t>
            </w:r>
          </w:p>
        </w:tc>
      </w:tr>
      <w:tr>
        <w:trPr>
          <w:trHeight w:val="404"/>
        </w:trPr>
        <w:tc>
          <w:tcPr>
            <w:tcW w:w="3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Phase 2 NASH CX trial was conducted in patients with compensated cirrhosis and</w:t>
            </w:r>
          </w:p>
        </w:tc>
      </w:tr>
      <w:tr>
        <w:trPr>
          <w:trHeight w:val="209"/>
        </w:trPr>
        <w:tc>
          <w:tcPr>
            <w:tcW w:w="3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portal hypertension. The NASH CX trial top line data was reported in December 2017 and</w:t>
            </w:r>
          </w:p>
        </w:tc>
      </w:tr>
      <w:tr>
        <w:trPr>
          <w:trHeight w:val="230"/>
        </w:trPr>
        <w:tc>
          <w:tcPr>
            <w:tcW w:w="3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was published in </w:t>
            </w:r>
            <w:r>
              <w:rPr>
                <w:rFonts w:ascii="Times New Roman" w:cs="Times New Roman" w:eastAsia="Times New Roman" w:hAnsi="Times New Roman"/>
                <w:sz w:val="18"/>
                <w:szCs w:val="18"/>
                <w:i w:val="1"/>
                <w:iCs w:val="1"/>
                <w:color w:val="auto"/>
              </w:rPr>
              <w:t>Gastroenterology</w:t>
            </w:r>
            <w:r>
              <w:rPr>
                <w:rFonts w:ascii="Times New Roman" w:cs="Times New Roman" w:eastAsia="Times New Roman" w:hAnsi="Times New Roman"/>
                <w:sz w:val="18"/>
                <w:szCs w:val="18"/>
                <w:color w:val="auto"/>
              </w:rPr>
              <w:t xml:space="preserve"> in 2020.</w:t>
            </w:r>
          </w:p>
        </w:tc>
      </w:tr>
      <w:tr>
        <w:trPr>
          <w:trHeight w:val="404"/>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NASH NAVIGATE</w:t>
            </w:r>
          </w:p>
        </w:tc>
        <w:tc>
          <w:tcPr>
            <w:tcW w:w="1220" w:type="dxa"/>
            <w:vAlign w:val="bottom"/>
          </w:tcPr>
          <w:p>
            <w:pPr>
              <w:spacing w:after="0"/>
              <w:rPr>
                <w:sz w:val="24"/>
                <w:szCs w:val="24"/>
                <w:color w:val="auto"/>
              </w:rPr>
            </w:pPr>
          </w:p>
        </w:tc>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Following FDA feedback, the NAVIGATE trial is an adaptive Phase 2b/3 trial for the</w:t>
            </w:r>
          </w:p>
        </w:tc>
      </w:tr>
      <w:tr>
        <w:trPr>
          <w:trHeight w:val="211"/>
        </w:trPr>
        <w:tc>
          <w:tcPr>
            <w:tcW w:w="3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prevention of esophageal varices in NASH patients with compensated cirrhosis and clinical</w:t>
            </w:r>
          </w:p>
        </w:tc>
      </w:tr>
      <w:tr>
        <w:trPr>
          <w:trHeight w:val="211"/>
        </w:trPr>
        <w:tc>
          <w:tcPr>
            <w:tcW w:w="3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signs of portal hypertension. A Phase 2b interim efficacy analysis will be incorporated to</w:t>
            </w:r>
          </w:p>
        </w:tc>
      </w:tr>
      <w:tr>
        <w:trPr>
          <w:trHeight w:val="211"/>
        </w:trPr>
        <w:tc>
          <w:tcPr>
            <w:tcW w:w="3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confirm previous Phase 2 data, select an optimal dose and reaffirm the risk/benefit of</w:t>
            </w:r>
          </w:p>
        </w:tc>
      </w:tr>
      <w:tr>
        <w:trPr>
          <w:trHeight w:val="211"/>
        </w:trPr>
        <w:tc>
          <w:tcPr>
            <w:tcW w:w="3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belapectin. The Phase 3 end of study analysis will evaluate the development of esophageal</w:t>
            </w:r>
          </w:p>
        </w:tc>
      </w:tr>
      <w:tr>
        <w:trPr>
          <w:trHeight w:val="211"/>
        </w:trPr>
        <w:tc>
          <w:tcPr>
            <w:tcW w:w="3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varices as the same primary outcome of efficacy and a composite clinical endpoint</w:t>
            </w:r>
          </w:p>
        </w:tc>
      </w:tr>
      <w:tr>
        <w:trPr>
          <w:trHeight w:val="211"/>
        </w:trPr>
        <w:tc>
          <w:tcPr>
            <w:tcW w:w="3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7"/>
              </w:rPr>
              <w:t>including progression to varices requiring treatment as a key secondary outcome of efficacy</w:t>
            </w:r>
          </w:p>
        </w:tc>
      </w:tr>
      <w:tr>
        <w:trPr>
          <w:trHeight w:val="211"/>
        </w:trPr>
        <w:tc>
          <w:tcPr>
            <w:tcW w:w="3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(www.clinicaltrials.gov NCT04365868). The first patient was randomized in the third</w:t>
            </w:r>
          </w:p>
        </w:tc>
      </w:tr>
      <w:tr>
        <w:trPr>
          <w:trHeight w:val="228"/>
        </w:trPr>
        <w:tc>
          <w:tcPr>
            <w:tcW w:w="3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quarter of 2020.</w:t>
            </w:r>
          </w:p>
        </w:tc>
      </w:tr>
      <w:tr>
        <w:trPr>
          <w:trHeight w:val="404"/>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Phase 1 study: hepatic insufficiency</w:t>
            </w:r>
          </w:p>
        </w:tc>
        <w:tc>
          <w:tcPr>
            <w:tcW w:w="1220" w:type="dxa"/>
            <w:vAlign w:val="bottom"/>
          </w:tcPr>
          <w:p>
            <w:pPr>
              <w:spacing w:after="0"/>
              <w:rPr>
                <w:sz w:val="24"/>
                <w:szCs w:val="24"/>
                <w:color w:val="auto"/>
              </w:rPr>
            </w:pPr>
          </w:p>
        </w:tc>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7"/>
              </w:rPr>
              <w:t>A hepatic impairment study is being conducted in subjects with normal hepatic function and</w:t>
            </w:r>
          </w:p>
        </w:tc>
      </w:tr>
      <w:tr>
        <w:trPr>
          <w:trHeight w:val="211"/>
        </w:trPr>
        <w:tc>
          <w:tcPr>
            <w:tcW w:w="3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subjects with varying degrees of hepatic impairment (www.clinicaltrials.gov</w:t>
            </w:r>
          </w:p>
        </w:tc>
      </w:tr>
      <w:tr>
        <w:trPr>
          <w:trHeight w:val="211"/>
        </w:trPr>
        <w:tc>
          <w:tcPr>
            <w:tcW w:w="3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NCT04332432) and began enrolling patients in the second quarter of 2020. The study</w:t>
            </w:r>
          </w:p>
        </w:tc>
      </w:tr>
      <w:tr>
        <w:trPr>
          <w:trHeight w:val="228"/>
        </w:trPr>
        <w:tc>
          <w:tcPr>
            <w:tcW w:w="3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completed enrollment in February 2022.</w:t>
            </w:r>
          </w:p>
        </w:tc>
      </w:tr>
      <w:tr>
        <w:trPr>
          <w:trHeight w:val="422"/>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Cancer Immunotherapy</w:t>
            </w:r>
          </w:p>
        </w:tc>
        <w:tc>
          <w:tcPr>
            <w:tcW w:w="1220" w:type="dxa"/>
            <w:vAlign w:val="bottom"/>
          </w:tcPr>
          <w:p>
            <w:pPr>
              <w:spacing w:after="0"/>
              <w:rPr>
                <w:sz w:val="24"/>
                <w:szCs w:val="24"/>
                <w:color w:val="auto"/>
              </w:rPr>
            </w:pPr>
          </w:p>
        </w:tc>
        <w:tc>
          <w:tcPr>
            <w:tcW w:w="6740" w:type="dxa"/>
            <w:vAlign w:val="bottom"/>
          </w:tcPr>
          <w:p>
            <w:pPr>
              <w:spacing w:after="0"/>
              <w:rPr>
                <w:sz w:val="24"/>
                <w:szCs w:val="24"/>
                <w:color w:val="auto"/>
              </w:rPr>
            </w:pPr>
          </w:p>
        </w:tc>
      </w:tr>
      <w:tr>
        <w:trPr>
          <w:trHeight w:val="404"/>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Melanoma, Head, Neck Squamous Cell</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belapectin</w:t>
            </w:r>
          </w:p>
        </w:tc>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Investigator IND study in process. A Phase 1B study began in Q-1 2016. Early data was</w:t>
            </w:r>
          </w:p>
        </w:tc>
      </w:tr>
      <w:tr>
        <w:trPr>
          <w:trHeight w:val="211"/>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Carcinoma (HNSCC)</w:t>
            </w:r>
          </w:p>
        </w:tc>
        <w:tc>
          <w:tcPr>
            <w:tcW w:w="1220" w:type="dxa"/>
            <w:vAlign w:val="bottom"/>
          </w:tcPr>
          <w:p>
            <w:pPr>
              <w:spacing w:after="0"/>
              <w:rPr>
                <w:sz w:val="18"/>
                <w:szCs w:val="18"/>
                <w:color w:val="auto"/>
              </w:rPr>
            </w:pPr>
          </w:p>
        </w:tc>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reported in February 2017 and additional data were reported in September 2018.</w:t>
            </w:r>
          </w:p>
        </w:tc>
      </w:tr>
      <w:tr>
        <w:trPr>
          <w:trHeight w:val="211"/>
        </w:trPr>
        <w:tc>
          <w:tcPr>
            <w:tcW w:w="3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Data from an extension trial was reported in July 2021 for additional melanoma and</w:t>
            </w:r>
          </w:p>
        </w:tc>
      </w:tr>
      <w:tr>
        <w:trPr>
          <w:trHeight w:val="211"/>
        </w:trPr>
        <w:tc>
          <w:tcPr>
            <w:tcW w:w="3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HNSCC patients which provided a rational basis for additional trials which the Company is</w:t>
            </w:r>
          </w:p>
        </w:tc>
      </w:tr>
      <w:tr>
        <w:trPr>
          <w:trHeight w:val="228"/>
        </w:trPr>
        <w:tc>
          <w:tcPr>
            <w:tcW w:w="3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exploring.</w:t>
            </w:r>
          </w:p>
        </w:tc>
      </w:tr>
    </w:tbl>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Liver cirrhosis. </w:t>
      </w:r>
      <w:r>
        <w:rPr>
          <w:rFonts w:ascii="Times New Roman" w:cs="Times New Roman" w:eastAsia="Times New Roman" w:hAnsi="Times New Roman"/>
          <w:sz w:val="18"/>
          <w:szCs w:val="18"/>
          <w:color w:val="auto"/>
        </w:rPr>
        <w:t>Belapectin is our lead product candidate for treatment of compensated NASH cirrhosis in patients with portal hypertension.</w:t>
      </w:r>
    </w:p>
    <w:p>
      <w:pPr>
        <w:spacing w:after="0" w:line="2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Our preclinical data show that belapectin has a significant therapeutic effect on liver fibrosis as shown in several relevant animal models. In addition, in NASH animal models, belapectin has been shown to reduce liver fat, inflammation, portal pressure, and ballooning degeneration (death of liver cells). Therefore, we chose belapectin as the lead candidate in a development program targeted initially at fibrotic liver disease associated with non-alcoholic steatohepatitis (NASH). In January 2013, an Investigational New Drug (“IND”) was submitted to the FDA with the goal of initiating a Phase 1 study in patients with NASH and advanced liver fibrosis to evaluate the safety of belapectin and pharmacodynamics biomarkers of disease. On March 1, 2013, the FDA indicated we could proceed with a US Phase 1 clinical trial for belapectin with a development program aimed at obtaining support for a proposed indication of belapectin for treatment of NASH with advanced fibrosis. The Phase 1 trial was completed and demonstrated that belapectin up to 8 mg/kg Lean Body Mass (LBM), i.v. was safe and well tolerated.</w:t>
      </w:r>
    </w:p>
    <w:p>
      <w:pPr>
        <w:spacing w:after="0" w:line="189" w:lineRule="exact"/>
        <w:rPr>
          <w:sz w:val="20"/>
          <w:szCs w:val="20"/>
          <w:color w:val="auto"/>
        </w:rPr>
      </w:pPr>
    </w:p>
    <w:p>
      <w:pPr>
        <w:ind w:right="240" w:firstLine="387"/>
        <w:spacing w:after="0" w:line="252" w:lineRule="auto"/>
        <w:rPr>
          <w:sz w:val="20"/>
          <w:szCs w:val="20"/>
          <w:color w:val="auto"/>
        </w:rPr>
      </w:pPr>
      <w:r>
        <w:rPr>
          <w:rFonts w:ascii="Times New Roman" w:cs="Times New Roman" w:eastAsia="Times New Roman" w:hAnsi="Times New Roman"/>
          <w:sz w:val="18"/>
          <w:szCs w:val="18"/>
          <w:color w:val="auto"/>
        </w:rPr>
        <w:t>Additionally, an open label drug-drug phase 1 interaction study was completed in healthy volunteers during the second quarter of 2015 with belapectin and it showed that with 8 mg/kg LBM dose of belapectin and 2 mg/kg LBM dose of midazolam there was no drug-drug interaction, and no serious adverse events or drug-related adverse events were observed. The secondary objective was to assess the safety and tolerability of belapectin when administered concomitantly with midazolam.</w:t>
      </w:r>
    </w:p>
    <w:p>
      <w:pPr>
        <w:spacing w:after="0" w:line="185" w:lineRule="exact"/>
        <w:rPr>
          <w:sz w:val="20"/>
          <w:szCs w:val="20"/>
          <w:color w:val="auto"/>
        </w:rPr>
      </w:pPr>
    </w:p>
    <w:p>
      <w:pPr>
        <w:ind w:right="60" w:firstLine="387"/>
        <w:spacing w:after="0" w:line="250" w:lineRule="auto"/>
        <w:rPr>
          <w:sz w:val="20"/>
          <w:szCs w:val="20"/>
          <w:color w:val="auto"/>
        </w:rPr>
      </w:pPr>
      <w:r>
        <w:rPr>
          <w:rFonts w:ascii="Times New Roman" w:cs="Times New Roman" w:eastAsia="Times New Roman" w:hAnsi="Times New Roman"/>
          <w:sz w:val="18"/>
          <w:szCs w:val="18"/>
          <w:color w:val="auto"/>
        </w:rPr>
        <w:t>Our Phase 2 program in fibrotic disease consisted of two separate human clinical trials. The main clinical trial was the Phase 2b NASH-CX study for one year for patients with NASH with compensated cirrhosis and portal hypertension, which began enrolling patients in June 2015. This study was a randomized, placebo-controlled, double-blind, parallel-group Phase 2b trial to evaluate the safety and efficacy of belapectin for treatment of liver fibrosis and resultant portal hypertension in NASH patients with compensated cirrhosis. A smaller, exploratory NASH-FX trial was conducted to explore potential use of various non-invasive imaging techniques in NASH patients with advanced fibrosis but not cirrhosis.</w:t>
      </w:r>
    </w:p>
    <w:p>
      <w:pPr>
        <w:sectPr>
          <w:pgSz w:w="11900" w:h="16838" w:orient="portrait"/>
          <w:cols w:equalWidth="0" w:num="1">
            <w:col w:w="11220"/>
          </w:cols>
          <w:pgMar w:left="320" w:top="110" w:right="359" w:bottom="1440" w:gutter="0" w:footer="0" w:header="0"/>
        </w:sect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10" w:right="3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59" w:lineRule="exact"/>
        <w:rPr>
          <w:sz w:val="20"/>
          <w:szCs w:val="20"/>
          <w:color w:val="auto"/>
        </w:rPr>
      </w:pPr>
    </w:p>
    <w:p>
      <w:pPr>
        <w:ind w:firstLine="391"/>
        <w:spacing w:after="0" w:line="221" w:lineRule="auto"/>
        <w:rPr>
          <w:sz w:val="20"/>
          <w:szCs w:val="20"/>
          <w:color w:val="auto"/>
        </w:rPr>
      </w:pPr>
      <w:r>
        <w:rPr>
          <w:rFonts w:ascii="Times New Roman" w:cs="Times New Roman" w:eastAsia="Times New Roman" w:hAnsi="Times New Roman"/>
          <w:sz w:val="17"/>
          <w:szCs w:val="17"/>
          <w:b w:val="1"/>
          <w:bCs w:val="1"/>
          <w:color w:val="auto"/>
        </w:rPr>
        <w:t xml:space="preserve">NASH-FX Trial: </w:t>
      </w:r>
      <w:r>
        <w:rPr>
          <w:rFonts w:ascii="Times New Roman" w:cs="Times New Roman" w:eastAsia="Times New Roman" w:hAnsi="Times New Roman"/>
          <w:sz w:val="17"/>
          <w:szCs w:val="17"/>
          <w:color w:val="auto"/>
        </w:rPr>
        <w:t>The NASH-FX trial was a Phase 2a pilot trial for patients with NASH and advanced fibrosis that explored use of three non-invasive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imaging technologies. It was a short, single site, four-month trial in 30 NASH patients with advanced fibrosis (F3) randomized 1:1 to either 9 bi-weekly doses of 8 mg/kg LBM of belapectin or placebo. The trial did not meet its primary endpoint as measured using multi-parametric magnetic resonance imaging (LiverMultiScan</w:t>
      </w:r>
      <w:r>
        <w:rPr>
          <w:rFonts w:ascii="Times New Roman" w:cs="Times New Roman" w:eastAsia="Times New Roman" w:hAnsi="Times New Roman"/>
          <w:sz w:val="28"/>
          <w:szCs w:val="28"/>
          <w:color w:val="auto"/>
          <w:vertAlign w:val="superscript"/>
        </w:rPr>
        <w:t>(R)</w:t>
      </w:r>
      <w:r>
        <w:rPr>
          <w:rFonts w:ascii="Times New Roman" w:cs="Times New Roman" w:eastAsia="Times New Roman" w:hAnsi="Times New Roman"/>
          <w:sz w:val="17"/>
          <w:szCs w:val="17"/>
          <w:color w:val="auto"/>
        </w:rPr>
        <w:t>, Perspectum Diagnostics). The trial also did not meet secondary endpoints that measure liver stiffness as a surrogate for fibrosis using, magnetic resonance-elastography and FibroScan</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score. With a four-month treatment period and a small number of patients per arm the study was not powered to demonstrate efficacy results in established advanced liver fibrosis. In the trial however, belapectin was found to be safe and well tolerated with no serious adverse events and showing evidence of a pharmacodynamic effect. These results provided support for further development in NASH.</w:t>
      </w:r>
    </w:p>
    <w:p>
      <w:pPr>
        <w:spacing w:after="0" w:line="193" w:lineRule="exact"/>
        <w:rPr>
          <w:sz w:val="20"/>
          <w:szCs w:val="20"/>
          <w:color w:val="auto"/>
        </w:rPr>
      </w:pPr>
    </w:p>
    <w:p>
      <w:pPr>
        <w:ind w:right="160" w:firstLine="387"/>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NASH-CX Trial: </w:t>
      </w:r>
      <w:r>
        <w:rPr>
          <w:rFonts w:ascii="Times New Roman" w:cs="Times New Roman" w:eastAsia="Times New Roman" w:hAnsi="Times New Roman"/>
          <w:sz w:val="18"/>
          <w:szCs w:val="18"/>
          <w:color w:val="auto"/>
        </w:rPr>
        <w:t>The NASH-CX trial was a larger multi-center clinical trial that explored the use of belapectin for the treatment of patients with well-compensated NASH cirrhosis and portal hypertension. Enrollment was completed in September 2016, and a total of 162 patients at 36 sites in the United States were randomized to receive either 2 mg/kg LBM of belapectin, 8 mg/kg LBM of belapectin or placebo. Approximately 50% of patients at baseline had esophageal varices (a complication of portal hypertension). The primary endpoint was a reduction in hepatic venous pressure gradient (HVPG), a hemodynamic measure that estimates portal hypertension. Patients received an infusion of belapectin or placebo every other week for one year and were evaluated to determine the change in HVPG as compared with placebo. Secondary or exploratory endpoints included evaluation of fibrosis on liver biopsy, measurement of liver stiffness (FibroScan) and assessment of liver metabolism (</w:t>
      </w: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C-methacetin breath test). Top line data readout was reported in December 2017. The study demonstrated a favorable safety profile and clinically meaningful efficacy results in patients without esophageal varices at baseline as demonstrated by a decrease in portal pressure associated with the prevention of development of varices when compared to placebo.</w:t>
      </w:r>
    </w:p>
    <w:p>
      <w:pPr>
        <w:spacing w:after="0" w:line="195" w:lineRule="exact"/>
        <w:rPr>
          <w:sz w:val="20"/>
          <w:szCs w:val="20"/>
          <w:color w:val="auto"/>
        </w:rPr>
      </w:pPr>
    </w:p>
    <w:p>
      <w:pPr>
        <w:ind w:right="80" w:firstLine="387"/>
        <w:spacing w:after="0" w:line="256" w:lineRule="auto"/>
        <w:rPr>
          <w:sz w:val="20"/>
          <w:szCs w:val="20"/>
          <w:color w:val="auto"/>
        </w:rPr>
      </w:pPr>
      <w:r>
        <w:rPr>
          <w:rFonts w:ascii="Times New Roman" w:cs="Times New Roman" w:eastAsia="Times New Roman" w:hAnsi="Times New Roman"/>
          <w:sz w:val="18"/>
          <w:szCs w:val="18"/>
          <w:color w:val="auto"/>
        </w:rPr>
        <w:t>In the total patient population, the primary endpoint HVPG showed a trend toward benefit with belapectin treatment, but the difference from placebo was not statistically significant. The mean change in HVPG of placebo from baseline to week 54 was 0.3 mm Hg. The mean change in HVPG from baseline was -0.37 and -0.42 for the 2 mg/kg LBM dose and 8 mg/kg LBM dose of belapectin, respectively.</w:t>
      </w:r>
    </w:p>
    <w:p>
      <w:pPr>
        <w:spacing w:after="0" w:line="181" w:lineRule="exact"/>
        <w:rPr>
          <w:sz w:val="20"/>
          <w:szCs w:val="20"/>
          <w:color w:val="auto"/>
        </w:rPr>
      </w:pPr>
    </w:p>
    <w:p>
      <w:pPr>
        <w:ind w:right="260" w:firstLine="387"/>
        <w:spacing w:after="0" w:line="256" w:lineRule="auto"/>
        <w:rPr>
          <w:sz w:val="20"/>
          <w:szCs w:val="20"/>
          <w:color w:val="auto"/>
        </w:rPr>
      </w:pPr>
      <w:r>
        <w:rPr>
          <w:rFonts w:ascii="Times New Roman" w:cs="Times New Roman" w:eastAsia="Times New Roman" w:hAnsi="Times New Roman"/>
          <w:sz w:val="18"/>
          <w:szCs w:val="18"/>
          <w:color w:val="auto"/>
        </w:rPr>
        <w:t>In those NASH cirrhosis patients with portal hypertension who have not yet developed esophageal varices at baseline (about 50% of the total population), there was a statistically significant effect of the 2 mg/kg LBM dose of belapectin on the absolute change in HVPG (-1.08 mm Hg, p&lt;0.01). The effect of the 8 mg/Kg LBM dose of belapectin on absolute or percent change in HVPG from baseline to week 54 was not significant.</w:t>
      </w:r>
    </w:p>
    <w:p>
      <w:pPr>
        <w:spacing w:after="0" w:line="181" w:lineRule="exact"/>
        <w:rPr>
          <w:sz w:val="20"/>
          <w:szCs w:val="20"/>
          <w:color w:val="auto"/>
        </w:rPr>
      </w:pPr>
    </w:p>
    <w:p>
      <w:pPr>
        <w:ind w:right="100" w:firstLine="387"/>
        <w:spacing w:after="0" w:line="252" w:lineRule="auto"/>
        <w:rPr>
          <w:sz w:val="20"/>
          <w:szCs w:val="20"/>
          <w:color w:val="auto"/>
        </w:rPr>
      </w:pPr>
      <w:r>
        <w:rPr>
          <w:rFonts w:ascii="Times New Roman" w:cs="Times New Roman" w:eastAsia="Times New Roman" w:hAnsi="Times New Roman"/>
          <w:sz w:val="18"/>
          <w:szCs w:val="18"/>
          <w:color w:val="auto"/>
        </w:rPr>
        <w:t>Also because of the clinical relevance of this population, a responder analysis was performed on those patients without esophageal varices at baseline. Analysis was performed looking at two groups: those with an equal to or greater than 2 mm Hg decrease in HVPG from baseline or those with an equal to or greater than 2 mm Hg and a greater than or equal to 20% decrease in HVPG from baseline. In both cases, the change observed in the belapectin 2 mg/kg LBM group was statistically significant (p&lt;0.01) while that of the 8 mg/kg LBM group was not.</w:t>
      </w:r>
    </w:p>
    <w:p>
      <w:pPr>
        <w:spacing w:after="0" w:line="185" w:lineRule="exact"/>
        <w:rPr>
          <w:sz w:val="20"/>
          <w:szCs w:val="20"/>
          <w:color w:val="auto"/>
        </w:rPr>
      </w:pPr>
    </w:p>
    <w:p>
      <w:pPr>
        <w:ind w:right="80" w:firstLine="387"/>
        <w:spacing w:after="0" w:line="249" w:lineRule="auto"/>
        <w:rPr>
          <w:sz w:val="20"/>
          <w:szCs w:val="20"/>
          <w:color w:val="auto"/>
        </w:rPr>
      </w:pPr>
      <w:r>
        <w:rPr>
          <w:rFonts w:ascii="Times New Roman" w:cs="Times New Roman" w:eastAsia="Times New Roman" w:hAnsi="Times New Roman"/>
          <w:sz w:val="18"/>
          <w:szCs w:val="18"/>
          <w:color w:val="auto"/>
        </w:rPr>
        <w:t>Over the 54-week treatment period, in patients without varices at baseline there were also a statistically significantly fewer new varices that developed in the belapectin treatment groups (0% and 4% in the 2 mg/kg LBM and the 8 mg/kg LBM, respectively) vs placebo (18%). This meant that the decrease seen in portal pressure was associated with a decreased incidence of esophageal varices. The results were noticeable in the belapectin 2 mg/Kg LBM group as statistical significance against placebo was achieved for both parameters. As esophageal varices can lead to hemorrhagic complication, which can be fatal, and are a severe complication of liver cirrhosis, we believe the prevention of esophageal varices may represent a clinically relevant measure of clinical efficacy in patients with NASH cirrhosis.</w:t>
      </w:r>
    </w:p>
    <w:p>
      <w:pPr>
        <w:spacing w:after="0" w:line="187" w:lineRule="exact"/>
        <w:rPr>
          <w:sz w:val="20"/>
          <w:szCs w:val="20"/>
          <w:color w:val="auto"/>
        </w:rPr>
      </w:pPr>
    </w:p>
    <w:p>
      <w:pPr>
        <w:ind w:right="60" w:firstLine="387"/>
        <w:spacing w:after="0" w:line="247" w:lineRule="auto"/>
        <w:rPr>
          <w:sz w:val="20"/>
          <w:szCs w:val="20"/>
          <w:color w:val="auto"/>
        </w:rPr>
      </w:pPr>
      <w:r>
        <w:rPr>
          <w:rFonts w:ascii="Times New Roman" w:cs="Times New Roman" w:eastAsia="Times New Roman" w:hAnsi="Times New Roman"/>
          <w:sz w:val="18"/>
          <w:szCs w:val="18"/>
          <w:color w:val="auto"/>
        </w:rPr>
        <w:t>The major conclusions from the NASH-CX trial results were that: (i) belapectin had a statistically significant and clinically meaningful effect in improving HVPG vs placebo in patients with NASH cirrhosis who did not have esophageal varices at baseline, (ii) Belapectin in the total patient population was associated with a statistically significant improvement in hepatocyte ballooning (ie cell death), (iii) There was a statistically significant reduction (p=0.02) in the development of new esophageal varices in drug-treated patients compared to placebo. We believe that the prevention of esophageal varices is a clinically relevant endpoint related to patient outcomes, (iv) While there was a drug effect in both the 2 mg/kg LBM and 8 mg/kg LBM groups on the development of varices and liver biopsy there was a consistently greater and statistically significant effect of the 2 mg/kg LBM dose of belapectin, (v) belapectin appears to be safe and well tolerated in this one year clinical trial, a feature that is of prime importance for a cirrhotic population and (vi) This is the first large, randomized clinical trial to demonstrate a clinically meaningful improvement in portal hypertension in patients with compensated NASH cirrhosis who have not yet developed esophageal varices.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1" w:lineRule="exact"/>
        <w:rPr>
          <w:sz w:val="20"/>
          <w:szCs w:val="20"/>
          <w:color w:val="auto"/>
        </w:rPr>
      </w:pPr>
    </w:p>
    <w:p>
      <w:pPr>
        <w:ind w:right="220" w:firstLine="387"/>
        <w:spacing w:after="0" w:line="269" w:lineRule="auto"/>
        <w:rPr>
          <w:sz w:val="20"/>
          <w:szCs w:val="20"/>
          <w:color w:val="auto"/>
        </w:rPr>
      </w:pPr>
      <w:r>
        <w:rPr>
          <w:rFonts w:ascii="Times New Roman" w:cs="Times New Roman" w:eastAsia="Times New Roman" w:hAnsi="Times New Roman"/>
          <w:sz w:val="18"/>
          <w:szCs w:val="18"/>
          <w:color w:val="auto"/>
        </w:rPr>
        <w:t xml:space="preserve">Further information and details on the NASH-CX results is available in public presentations posted to our website and filed with the SEC and in a peer reviewed publication in </w:t>
      </w:r>
      <w:r>
        <w:rPr>
          <w:rFonts w:ascii="Times New Roman" w:cs="Times New Roman" w:eastAsia="Times New Roman" w:hAnsi="Times New Roman"/>
          <w:sz w:val="18"/>
          <w:szCs w:val="18"/>
          <w:i w:val="1"/>
          <w:iCs w:val="1"/>
          <w:color w:val="auto"/>
        </w:rPr>
        <w:t>Gastroenterology</w:t>
      </w:r>
      <w:r>
        <w:rPr>
          <w:rFonts w:ascii="Times New Roman" w:cs="Times New Roman" w:eastAsia="Times New Roman" w:hAnsi="Times New Roman"/>
          <w:sz w:val="18"/>
          <w:szCs w:val="18"/>
          <w:color w:val="auto"/>
        </w:rPr>
        <w:t xml:space="preserve"> 2020;158:1334–1345.</w:t>
      </w:r>
    </w:p>
    <w:p>
      <w:pPr>
        <w:spacing w:after="0" w:line="166" w:lineRule="exact"/>
        <w:rPr>
          <w:sz w:val="20"/>
          <w:szCs w:val="20"/>
          <w:color w:val="auto"/>
        </w:rPr>
      </w:pPr>
    </w:p>
    <w:p>
      <w:pPr>
        <w:ind w:right="20" w:firstLine="387"/>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NASH NAVIGATE Trial: </w:t>
      </w:r>
      <w:r>
        <w:rPr>
          <w:rFonts w:ascii="Times New Roman" w:cs="Times New Roman" w:eastAsia="Times New Roman" w:hAnsi="Times New Roman"/>
          <w:sz w:val="18"/>
          <w:szCs w:val="18"/>
          <w:color w:val="auto"/>
        </w:rPr>
        <w:t>Building on the experience of the NASH-CX trial, the NAVIGATE Trial is a seamless adaptively-designed Phase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2b/3 clinical study evaluating the safety and efficacy of our galectin-3 inhibitor, belapectin, for the prevention of esophageal varices in patient with non-alcoholic steatohepatitis (NASH) cirrhosis. The major features of this innovative Phase 2b/3 study design are: i) In patients with NASH cirrhosis and clinical signs of portal hypertension but without esophageal varices at baseline, this trial will assess the effect of belapectin on the incidence of new varices (the primary endpoint) – as well as assessing the effect of belapectin on the incidence of additional clinically significant cirrhosis-related outcomes (a key secondary efficacy endpoint), (ii) The study targets NASH patients with a clearly identified unmet medical need: patients with compensated cirrhosis who have clinical signs of portal hypertension and, thus, are at risk of developing esophageal varices, a potentially life-threatening complication of cirrhosis (bleeding varices are a cause of death in about one-third of cirrhotic patients). There is currently no approved treatment for preventing varices in these patients. In addition, the development of esophageal varices reflects the progression of hepatic cirrhosis and thus portends the development of other cirrhosis complications such as ascites, hepatic encephalopathy, and liver failure, and (iii) During the first 18 months, two belapectin dose levels (2 mg/kg LBM and 4 mg/kg LBM) will be compared to placebo (phase 2b). Then, at the interim analysis (IA), the best belapectin dose will be selected, based on efficacy and safety, for continued evaluation (Phase 3). The belapectin dose selected for the phase 2b/3 were based on the analysis of the NASH-CX trial. Prior belapectin clinical studies have also indicated the good tolerance and safety profile of belapectin with doses of up to 8 mg/kg LBM for up to 52 weeks, an important feature to inform the future risk benefit analysis in patients with NASH cirrhosis.</w:t>
      </w:r>
    </w:p>
    <w:p>
      <w:pPr>
        <w:spacing w:after="0" w:line="193" w:lineRule="exact"/>
        <w:rPr>
          <w:sz w:val="20"/>
          <w:szCs w:val="20"/>
          <w:color w:val="auto"/>
        </w:rPr>
      </w:pPr>
    </w:p>
    <w:p>
      <w:pPr>
        <w:ind w:firstLine="387"/>
        <w:spacing w:after="0" w:line="249" w:lineRule="auto"/>
        <w:rPr>
          <w:sz w:val="20"/>
          <w:szCs w:val="20"/>
          <w:color w:val="auto"/>
        </w:rPr>
      </w:pPr>
      <w:r>
        <w:rPr>
          <w:rFonts w:ascii="Times New Roman" w:cs="Times New Roman" w:eastAsia="Times New Roman" w:hAnsi="Times New Roman"/>
          <w:sz w:val="18"/>
          <w:szCs w:val="18"/>
          <w:color w:val="auto"/>
        </w:rPr>
        <w:t>The study design provides for a pre-specified interim analysis (IA). The IA of efficacy and safety data will be conducted after all planned subjects in Phase 2b component have completed at least 78 weeks (18 months) of treatment and a second esophago-gastro-duodeno endoscopic assessment. The purpose of the IA is to allow potential seamless adaptive modifications of the study, including: (1) the selection of the optimal dose of belapectin for Phase 3, (2) the re-estimation of the study sample size for Phase 3 portion of the trial, (3) the re-evaluation of the randomization ratio for the Phase 3 portion of the trial, (4) the refinement of the inclusion and exclusion criteria for the Phase 3 portion of the trial, including the cirrhosis status, (5) and/or termination of the study for overwhelming efficacy or for futility.</w:t>
      </w:r>
    </w:p>
    <w:p>
      <w:pPr>
        <w:spacing w:after="0" w:line="187" w:lineRule="exact"/>
        <w:rPr>
          <w:sz w:val="20"/>
          <w:szCs w:val="20"/>
          <w:color w:val="auto"/>
        </w:rPr>
      </w:pPr>
    </w:p>
    <w:p>
      <w:pPr>
        <w:ind w:right="60" w:firstLine="387"/>
        <w:spacing w:after="0" w:line="248" w:lineRule="auto"/>
        <w:rPr>
          <w:sz w:val="20"/>
          <w:szCs w:val="20"/>
          <w:color w:val="auto"/>
        </w:rPr>
      </w:pPr>
      <w:r>
        <w:rPr>
          <w:rFonts w:ascii="Times New Roman" w:cs="Times New Roman" w:eastAsia="Times New Roman" w:hAnsi="Times New Roman"/>
          <w:sz w:val="18"/>
          <w:szCs w:val="18"/>
          <w:color w:val="auto"/>
        </w:rPr>
        <w:t>The trial design also includes a blinded sample size re-estimation (“SSR”) during the Phase 2b, prior to the IA, to allow for potential sample size readjustment. The SSR will be conducted when 50% of the patients have completed 18 months of therapy. This will allow us to confirm the underlying assumption regarding the rate of varices development, currently estimated from our prior Phase 2b trial (NASH-CX). The study design also minimizes invasive testing requirements, such as the measurement of HVPG or repeated liver biopsies, which we believe are particularly risky in patients with portal hypertension and will facilitate enrollment and retention of patients. It also provides for a seamless transition of patients from the Phase 2b component into the phase 3 stage, including the potential addition of new patients. The trial design preserves the surrogate end-point concepts (development of new varices versus variceal hemorrhage) previously discussed with FDA.</w:t>
      </w:r>
    </w:p>
    <w:p>
      <w:pPr>
        <w:spacing w:after="0" w:line="189" w:lineRule="exact"/>
        <w:rPr>
          <w:sz w:val="20"/>
          <w:szCs w:val="20"/>
          <w:color w:val="auto"/>
        </w:rPr>
      </w:pPr>
    </w:p>
    <w:p>
      <w:pPr>
        <w:ind w:right="120" w:firstLine="387"/>
        <w:spacing w:after="0" w:line="250" w:lineRule="auto"/>
        <w:rPr>
          <w:sz w:val="20"/>
          <w:szCs w:val="20"/>
          <w:color w:val="auto"/>
        </w:rPr>
      </w:pPr>
      <w:r>
        <w:rPr>
          <w:rFonts w:ascii="Times New Roman" w:cs="Times New Roman" w:eastAsia="Times New Roman" w:hAnsi="Times New Roman"/>
          <w:sz w:val="18"/>
          <w:szCs w:val="18"/>
          <w:color w:val="auto"/>
        </w:rPr>
        <w:t>We believe that these adaptations taken together are innovative and optimize conduct of the NAVIGATE trial with a clinically relevant primary outcome giving belapectin the best opportunity to show a positive therapeutic effect to address an unmet medical need. As a testimony of this innovation, the NAVIGATE trial design was presented to the hepatology community and featured during the last meeting of the American Association for the Study of Liver Diseases, in November 2021. If the IA results of the NAVIGATE trial are compelling, there could be the potential for accelerated FDA approval and/or partnership opportunity with a pharmaceutical company.</w:t>
      </w:r>
    </w:p>
    <w:p>
      <w:pPr>
        <w:spacing w:after="0" w:line="187" w:lineRule="exact"/>
        <w:rPr>
          <w:sz w:val="20"/>
          <w:szCs w:val="20"/>
          <w:color w:val="auto"/>
        </w:rPr>
      </w:pPr>
    </w:p>
    <w:p>
      <w:pPr>
        <w:ind w:right="380" w:firstLine="387"/>
        <w:spacing w:after="0" w:line="250" w:lineRule="auto"/>
        <w:rPr>
          <w:sz w:val="20"/>
          <w:szCs w:val="20"/>
          <w:color w:val="auto"/>
        </w:rPr>
      </w:pPr>
      <w:r>
        <w:rPr>
          <w:rFonts w:ascii="Times New Roman" w:cs="Times New Roman" w:eastAsia="Times New Roman" w:hAnsi="Times New Roman"/>
          <w:sz w:val="18"/>
          <w:szCs w:val="18"/>
          <w:color w:val="auto"/>
        </w:rPr>
        <w:t>In the Phase 3 component of this trial, as proposed in the protocol, the primary endpoint remain the development of varices. Secondary endpoints include a composite clinical outcomes endpoint, including varices requiring treatment (development of large varices or varices with a red wale), decompensating events, all-cause mortality, MELD score increase, liver transplant. Also, NASH non-invasive biomarkers will be evaluated. To target a population at risk of developing esophageal varices, patient selection will be based on clinical signs of portal hypertension, including, but not limited to, a low platelet count, an increased spleen size and/or evidence of abdominal collaterals circulation.</w:t>
      </w:r>
    </w:p>
    <w:p>
      <w:pPr>
        <w:spacing w:after="0" w:line="187" w:lineRule="exact"/>
        <w:rPr>
          <w:sz w:val="20"/>
          <w:szCs w:val="20"/>
          <w:color w:val="auto"/>
        </w:rPr>
      </w:pPr>
    </w:p>
    <w:p>
      <w:pPr>
        <w:ind w:right="280" w:firstLine="387"/>
        <w:spacing w:after="0" w:line="294" w:lineRule="auto"/>
        <w:rPr>
          <w:sz w:val="20"/>
          <w:szCs w:val="20"/>
          <w:color w:val="auto"/>
        </w:rPr>
      </w:pPr>
      <w:r>
        <w:rPr>
          <w:rFonts w:ascii="Times New Roman" w:cs="Times New Roman" w:eastAsia="Times New Roman" w:hAnsi="Times New Roman"/>
          <w:sz w:val="16"/>
          <w:szCs w:val="16"/>
          <w:color w:val="auto"/>
        </w:rPr>
        <w:t>The focus and goal of the therapeutic program is to stop the progression of and/or reverse portal hypertension and thereby prevent the development of varices, potentially one of the most immediately life-threatening complication of cirrhosis. Based on the results of the NASH-CX trial and subject to confirmation in later stage clinical trials, we believe that this goal is achievable in a significant portion of the NASH cirrhosis patient population i.e. those NASH cirrhosis patients with clinical signs of portal hypertension for whom, currently no specific, liver targeted, treatment are available.</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1" w:lineRule="exact"/>
        <w:rPr>
          <w:sz w:val="20"/>
          <w:szCs w:val="20"/>
          <w:color w:val="auto"/>
        </w:rPr>
      </w:pPr>
    </w:p>
    <w:p>
      <w:pPr>
        <w:ind w:right="40" w:firstLine="387"/>
        <w:spacing w:after="0" w:line="281" w:lineRule="auto"/>
        <w:rPr>
          <w:sz w:val="20"/>
          <w:szCs w:val="20"/>
          <w:color w:val="auto"/>
        </w:rPr>
      </w:pPr>
      <w:r>
        <w:rPr>
          <w:rFonts w:ascii="Times New Roman" w:cs="Times New Roman" w:eastAsia="Times New Roman" w:hAnsi="Times New Roman"/>
          <w:sz w:val="16"/>
          <w:szCs w:val="16"/>
          <w:color w:val="auto"/>
        </w:rPr>
        <w:t>The COVID-19 pandemic has delayed and may continue to delay our regulatory and ethics approvals, recruitment of sites, and enrollment of patients for our Phase 2b/3 NAVIGATE trial despite a recent uptick in screening activities. Many investigational centers in the United States and Europe have experienced shut-downs, and while some have loosened or removed restrictions, there may be a risk of experiencing new shut-downs and restrictions. In some countries, shutdown orders have also affected the regulatory process to authorize study starts. Governments and medical facilities have focused their resources for battling the COVID-19 pandemic. For several reasons, the pandemic makes enrolling patients for the NAVIGATE trial more challenging, including because patients eligible for the NAVIGATE trial have liver cirrhosis and, as such, are at a greater health risk of complications from COVID-19. It is also important to consider the safety of our candidate participants first, as cirrhotic patients with portal hypertension are immune compromised. We believe that as we continue to emerge from the COVID-19 pandemic, site recruitment and patient enrollment will accelerate and we have experienced increases in enrollment, particularly in the U.S. However, we have not seen the enrollment in Europe that we anticipated, and conditions there remain uncertain. Consequently, we have activated multiple sites in Latin America. At this time, enrollment completion of the Phase 2b portion of the trial is expected around the end of September 2022.</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have identified and activated approximately 140 clinical trial sites in 15 countries for the NAVIGATE trial.</w:t>
      </w:r>
    </w:p>
    <w:p>
      <w:pPr>
        <w:spacing w:after="0" w:line="215" w:lineRule="exact"/>
        <w:rPr>
          <w:sz w:val="20"/>
          <w:szCs w:val="20"/>
          <w:color w:val="auto"/>
        </w:rPr>
      </w:pPr>
    </w:p>
    <w:p>
      <w:pPr>
        <w:ind w:right="1020" w:firstLine="387"/>
        <w:spacing w:after="0" w:line="269" w:lineRule="auto"/>
        <w:rPr>
          <w:sz w:val="20"/>
          <w:szCs w:val="20"/>
          <w:color w:val="auto"/>
        </w:rPr>
      </w:pPr>
      <w:r>
        <w:rPr>
          <w:rFonts w:ascii="Times New Roman" w:cs="Times New Roman" w:eastAsia="Times New Roman" w:hAnsi="Times New Roman"/>
          <w:sz w:val="18"/>
          <w:szCs w:val="18"/>
          <w:color w:val="auto"/>
        </w:rPr>
        <w:t xml:space="preserve">Further details on the NAVIGATE trial can be found on </w:t>
      </w:r>
      <w:r>
        <w:rPr>
          <w:rFonts w:ascii="Times New Roman" w:cs="Times New Roman" w:eastAsia="Times New Roman" w:hAnsi="Times New Roman"/>
          <w:sz w:val="18"/>
          <w:szCs w:val="18"/>
          <w:u w:val="single" w:color="auto"/>
          <w:color w:val="auto"/>
        </w:rPr>
        <w:t>www.clinicaltrials.gov</w:t>
      </w:r>
      <w:r>
        <w:rPr>
          <w:rFonts w:ascii="Times New Roman" w:cs="Times New Roman" w:eastAsia="Times New Roman" w:hAnsi="Times New Roman"/>
          <w:sz w:val="18"/>
          <w:szCs w:val="18"/>
          <w:color w:val="auto"/>
        </w:rPr>
        <w:t xml:space="preserve"> under study NCT04365868 and on our NAVIGATE website (navigatenash.com).</w:t>
      </w:r>
    </w:p>
    <w:p>
      <w:pPr>
        <w:spacing w:after="0" w:line="168" w:lineRule="exact"/>
        <w:rPr>
          <w:sz w:val="20"/>
          <w:szCs w:val="20"/>
          <w:color w:val="auto"/>
        </w:rPr>
      </w:pPr>
    </w:p>
    <w:p>
      <w:pPr>
        <w:ind w:firstLine="387"/>
        <w:spacing w:after="0" w:line="247" w:lineRule="auto"/>
        <w:rPr>
          <w:sz w:val="20"/>
          <w:szCs w:val="20"/>
          <w:color w:val="auto"/>
        </w:rPr>
      </w:pPr>
      <w:r>
        <w:rPr>
          <w:rFonts w:ascii="Times New Roman" w:cs="Times New Roman" w:eastAsia="Times New Roman" w:hAnsi="Times New Roman"/>
          <w:sz w:val="18"/>
          <w:szCs w:val="18"/>
          <w:color w:val="auto"/>
        </w:rPr>
        <w:t xml:space="preserve">The Company also has commenced a Hepatic Impairment Study, which will run in parallel with the phase 2b/3 trial as part of the development program. The Hepatic Impairment Study is being conducted at three sites and involves approximately 40 patients (divided amongst normal healthy volunteers, and patients with hepatic impairment categorized as Child-Turcotte-Pugh (CTP) classes A (mild), B (moderate), and C (severe). Each subject will receive a single infusion of belapectin (4 mg/kg LBM) and their serum belapectin levels will be monitored for up to approximately two weeks to define the effects of various stages of cirrhosis on serum belapectin levels. The tolerance and safety of belapectin will be evaluated. Enrollment in this study was completed in February 2022, and the results will be announced when available. Based on the results from this hepatic impairment study, the Company may consider including patients with more advanced cirrhosis in the Phase 3 portion of its NAVIGATE trial. Until dosing and safety profile is further informed in CTP Class B and/or Class C patients, the NAVIGATE trial will enroll only CTP Class A patients. Further details on this hepatic impairment study can be found on </w:t>
      </w:r>
      <w:r>
        <w:rPr>
          <w:rFonts w:ascii="Times New Roman" w:cs="Times New Roman" w:eastAsia="Times New Roman" w:hAnsi="Times New Roman"/>
          <w:sz w:val="18"/>
          <w:szCs w:val="18"/>
          <w:u w:val="single" w:color="auto"/>
          <w:color w:val="auto"/>
        </w:rPr>
        <w:t>www.clinicaltrials.gov</w:t>
      </w:r>
      <w:r>
        <w:rPr>
          <w:rFonts w:ascii="Times New Roman" w:cs="Times New Roman" w:eastAsia="Times New Roman" w:hAnsi="Times New Roman"/>
          <w:sz w:val="18"/>
          <w:szCs w:val="18"/>
          <w:color w:val="auto"/>
        </w:rPr>
        <w:t xml:space="preserve"> study NCT04332432.</w:t>
      </w:r>
    </w:p>
    <w:p>
      <w:pPr>
        <w:spacing w:after="0" w:line="189" w:lineRule="exact"/>
        <w:rPr>
          <w:sz w:val="20"/>
          <w:szCs w:val="20"/>
          <w:color w:val="auto"/>
        </w:rPr>
      </w:pPr>
    </w:p>
    <w:p>
      <w:pPr>
        <w:ind w:right="120" w:firstLine="387"/>
        <w:spacing w:after="0" w:line="234" w:lineRule="auto"/>
        <w:rPr>
          <w:sz w:val="20"/>
          <w:szCs w:val="20"/>
          <w:color w:val="auto"/>
        </w:rPr>
      </w:pPr>
      <w:r>
        <w:rPr>
          <w:rFonts w:ascii="Times New Roman" w:cs="Times New Roman" w:eastAsia="Times New Roman" w:hAnsi="Times New Roman"/>
          <w:sz w:val="18"/>
          <w:szCs w:val="18"/>
          <w:i w:val="1"/>
          <w:iCs w:val="1"/>
          <w:color w:val="auto"/>
        </w:rPr>
        <w:t xml:space="preserve">Cancer Immunotherapy. </w:t>
      </w:r>
      <w:r>
        <w:rPr>
          <w:rFonts w:ascii="Times New Roman" w:cs="Times New Roman" w:eastAsia="Times New Roman" w:hAnsi="Times New Roman"/>
          <w:sz w:val="18"/>
          <w:szCs w:val="18"/>
          <w:color w:val="auto"/>
        </w:rPr>
        <w:t>We believe there is potential for galectin inhibition to play a key role in the innovative area of cancer immunotherapy.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example, there have been several recent approvals of drugs that enhance a patient’s immune system to fight cancer. It is our goal to use ourgalectin-3 inhibitor to further enhance the immune system function to help the body to fight cancer in a way that complements other approaches to this type of therapy. This hypothesis is supported by the fact that galectin-3 is expressed at high levels in multiple types of tumors and their micro-environment, where it fosters the malignant nature of the tumors, and protects the tumors from immune attack by the patient’s own defense mechanism. Our drug candidates provide a promising new therapeutic approach to enhance the activity of the immune system against cancer cells. Preclinical studies have indicated that belapectin enhances the immune response to cancer cells, increased tumor shrinkage and enhanced survival in immune competent mice with prostate, breast, melanoma and sarcoma cancers when combined with one of the immune checkpoint inhibitors, anti-CTLA-4 or anti-PD-1, or with the immune cell activator anti-OX40. These preclinical data led to the filing of two Investigator-sponsored INDs and the initiation of Phase 1B studies of belapectin in combination with Yervoy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(ipilimumab) in metastatic melanoma and another phase 1B study in combination with KEYTRUDA (pembrolizumab) in patients with metastatic melanoma and head and neck squamous cell carcinoma. These studies were conducted under the sponsorship of Providence Portland Medical Center’s Earle A. Chiles Research Institute (EACRI).</w:t>
      </w:r>
    </w:p>
    <w:p>
      <w:pPr>
        <w:spacing w:after="0" w:line="197" w:lineRule="exact"/>
        <w:rPr>
          <w:sz w:val="20"/>
          <w:szCs w:val="20"/>
          <w:color w:val="auto"/>
        </w:rPr>
      </w:pPr>
    </w:p>
    <w:p>
      <w:pPr>
        <w:ind w:right="600" w:firstLine="387"/>
        <w:spacing w:after="0" w:line="269" w:lineRule="auto"/>
        <w:rPr>
          <w:sz w:val="20"/>
          <w:szCs w:val="20"/>
          <w:color w:val="auto"/>
        </w:rPr>
      </w:pPr>
      <w:r>
        <w:rPr>
          <w:rFonts w:ascii="Times New Roman" w:cs="Times New Roman" w:eastAsia="Times New Roman" w:hAnsi="Times New Roman"/>
          <w:sz w:val="18"/>
          <w:szCs w:val="18"/>
          <w:color w:val="auto"/>
        </w:rPr>
        <w:t>The phase IB study in combination with Yervoy was rapidly discontinued after the first patients were recruited because of the availability on new treatment in the selected population.</w:t>
      </w:r>
    </w:p>
    <w:p>
      <w:pPr>
        <w:spacing w:after="0" w:line="159" w:lineRule="exact"/>
        <w:rPr>
          <w:sz w:val="20"/>
          <w:szCs w:val="20"/>
          <w:color w:val="auto"/>
        </w:rPr>
      </w:pPr>
    </w:p>
    <w:p>
      <w:pPr>
        <w:ind w:right="40" w:firstLine="395"/>
        <w:spacing w:after="0" w:line="243" w:lineRule="auto"/>
        <w:rPr>
          <w:sz w:val="20"/>
          <w:szCs w:val="20"/>
          <w:color w:val="auto"/>
        </w:rPr>
      </w:pPr>
      <w:r>
        <w:rPr>
          <w:rFonts w:ascii="Times New Roman" w:cs="Times New Roman" w:eastAsia="Times New Roman" w:hAnsi="Times New Roman"/>
          <w:sz w:val="17"/>
          <w:szCs w:val="17"/>
          <w:color w:val="auto"/>
        </w:rPr>
        <w:t>Promising results were reported in the Phase 1b trial combining belapectin with pembrolizumab (KEYTRUDA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When aggregated cohorts are combined, in advanced melanoma, a 50% objective response rate with belapectin in combination with KEYTRUDA, was documented. In addition, a 33% response rate was documented in patients with head and neck cancer The results have been published in 2021 in a highly rated peer reviewed journal (Curti et al. Journal of Immunotherapy of cancer 2021;9:e002371). There was also a suggestion that the combination of belapectin with pembrolizumab could decrease the auto-immune side-effect induced by pembrolizumab. These side-effects, which are directly linked to the mechanism of action of pembrolizumab, can be poorly tolerated and even severe enough to lead to treatment interruption, even if the effect on the cancer was encouraging. This is of course, a very frustrating situation for patients who have to discontinue an active treatment but have no other options available to them. We believe these data, taken together with the observed favorable safety and tolerability of the combination, provide a rationale to move the belapectin program in oncology forward.</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2022 Compared to Three Months Ended March 31, 2021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04"/>
        </w:trPr>
        <w:tc>
          <w:tcPr>
            <w:tcW w:w="4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Three Months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2022 as Compared to 2021</w:t>
            </w:r>
          </w:p>
        </w:tc>
      </w:tr>
      <w:tr>
        <w:trPr>
          <w:trHeight w:val="236"/>
        </w:trPr>
        <w:tc>
          <w:tcPr>
            <w:tcW w:w="4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Ended March 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Three Months</w:t>
            </w:r>
          </w:p>
        </w:tc>
      </w:tr>
      <w:tr>
        <w:trPr>
          <w:trHeight w:val="217"/>
        </w:trPr>
        <w:tc>
          <w:tcPr>
            <w:tcW w:w="4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Change</w:t>
            </w:r>
          </w:p>
        </w:tc>
        <w:tc>
          <w:tcPr>
            <w:tcW w:w="160" w:type="dxa"/>
            <w:vAlign w:val="bottom"/>
          </w:tcPr>
          <w:p>
            <w:pPr>
              <w:spacing w:after="0"/>
              <w:rPr>
                <w:sz w:val="18"/>
                <w:szCs w:val="18"/>
                <w:color w:val="auto"/>
              </w:rPr>
            </w:pPr>
          </w:p>
        </w:tc>
      </w:tr>
      <w:tr>
        <w:trPr>
          <w:trHeight w:val="211"/>
        </w:trPr>
        <w:tc>
          <w:tcPr>
            <w:tcW w:w="4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(In thousands, except %)</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1"/>
        </w:trPr>
        <w:tc>
          <w:tcPr>
            <w:tcW w:w="48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8,058</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3,159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r>
    </w:tbl>
    <w:p>
      <w:pPr>
        <w:spacing w:after="0" w:line="192" w:lineRule="exact"/>
        <w:rPr>
          <w:sz w:val="20"/>
          <w:szCs w:val="20"/>
          <w:color w:val="auto"/>
        </w:rPr>
      </w:pPr>
    </w:p>
    <w:p>
      <w:pPr>
        <w:ind w:right="20" w:firstLine="430"/>
        <w:spacing w:after="0" w:line="247" w:lineRule="auto"/>
        <w:rPr>
          <w:sz w:val="20"/>
          <w:szCs w:val="20"/>
          <w:color w:val="auto"/>
        </w:rPr>
      </w:pPr>
      <w:r>
        <w:rPr>
          <w:rFonts w:ascii="Times New Roman" w:cs="Times New Roman" w:eastAsia="Times New Roman" w:hAnsi="Times New Roman"/>
          <w:sz w:val="18"/>
          <w:szCs w:val="18"/>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93" w:lineRule="exact"/>
        <w:rPr>
          <w:sz w:val="20"/>
          <w:szCs w:val="20"/>
          <w:color w:val="auto"/>
        </w:rPr>
      </w:pPr>
    </w:p>
    <w:tbl>
      <w:tblPr>
        <w:tblLayout w:type="fixed"/>
        <w:tblInd w:w="440" w:type="dxa"/>
        <w:tblCellMar>
          <w:top w:w="0" w:type="dxa"/>
          <w:left w:w="0" w:type="dxa"/>
          <w:bottom w:w="0" w:type="dxa"/>
          <w:right w:w="0" w:type="dxa"/>
        </w:tblCellMar>
      </w:tblPr>
      <w:tr>
        <w:trPr>
          <w:trHeight w:val="228"/>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research and development expenses were as follows:</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70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6"/>
              </w:rPr>
              <w:t>Three Months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0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0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7"/>
              </w:rPr>
              <w:t>March 31,</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70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78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8"/>
                <w:szCs w:val="18"/>
                <w:color w:val="auto"/>
              </w:rPr>
              <w:t>2022</w:t>
            </w:r>
          </w:p>
        </w:tc>
        <w:tc>
          <w:tcPr>
            <w:tcW w:w="440" w:type="dxa"/>
            <w:vAlign w:val="bottom"/>
          </w:tcPr>
          <w:p>
            <w:pPr>
              <w:spacing w:after="0"/>
              <w:rPr>
                <w:sz w:val="16"/>
                <w:szCs w:val="16"/>
                <w:color w:val="auto"/>
              </w:rPr>
            </w:pPr>
          </w:p>
        </w:tc>
        <w:tc>
          <w:tcPr>
            <w:tcW w:w="920" w:type="dxa"/>
            <w:vAlign w:val="bottom"/>
            <w:gridSpan w:val="2"/>
          </w:tcPr>
          <w:p>
            <w:pPr>
              <w:jc w:val="right"/>
              <w:ind w:right="20"/>
              <w:spacing w:after="0" w:line="193" w:lineRule="exact"/>
              <w:rPr>
                <w:sz w:val="20"/>
                <w:szCs w:val="20"/>
                <w:color w:val="auto"/>
              </w:rPr>
            </w:pPr>
            <w:r>
              <w:rPr>
                <w:rFonts w:ascii="Times New Roman" w:cs="Times New Roman" w:eastAsia="Times New Roman" w:hAnsi="Times New Roman"/>
                <w:sz w:val="18"/>
                <w:szCs w:val="18"/>
                <w:color w:val="auto"/>
              </w:rPr>
              <w:t>2021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0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8"/>
                <w:szCs w:val="18"/>
                <w:color w:val="auto"/>
              </w:rPr>
              <w:t>Direct external expenses:</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7"/>
              </w:rPr>
              <w:t>(in thousands)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0" w:type="dxa"/>
            <w:vAlign w:val="bottom"/>
          </w:tcPr>
          <w:p>
            <w:pPr>
              <w:spacing w:after="0"/>
              <w:rPr>
                <w:sz w:val="18"/>
                <w:szCs w:val="18"/>
                <w:color w:val="auto"/>
              </w:rPr>
            </w:pPr>
          </w:p>
        </w:tc>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Clinical activities</w:t>
            </w:r>
          </w:p>
        </w:tc>
        <w:tc>
          <w:tcPr>
            <w:tcW w:w="7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9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0" w:type="dxa"/>
            <w:vAlign w:val="bottom"/>
          </w:tcPr>
          <w:p>
            <w:pPr>
              <w:spacing w:after="0"/>
              <w:rPr>
                <w:sz w:val="18"/>
                <w:szCs w:val="18"/>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Pre-clinical activities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research and development expenses</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7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8,058</w:t>
            </w:r>
          </w:p>
        </w:tc>
        <w:tc>
          <w:tcPr>
            <w:tcW w:w="9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both"/>
        <w:ind w:right="480" w:firstLine="430"/>
        <w:spacing w:after="0" w:line="256" w:lineRule="auto"/>
        <w:rPr>
          <w:sz w:val="20"/>
          <w:szCs w:val="20"/>
          <w:color w:val="auto"/>
        </w:rPr>
      </w:pPr>
      <w:r>
        <w:rPr>
          <w:rFonts w:ascii="Times New Roman" w:cs="Times New Roman" w:eastAsia="Times New Roman" w:hAnsi="Times New Roman"/>
          <w:sz w:val="18"/>
          <w:szCs w:val="18"/>
          <w:color w:val="auto"/>
        </w:rPr>
        <w:t>Clinical programs expenses increased primarily due to costs related to our NAVIGATE trial during the three months ended March 31, 2022. Other research and development expense increased primarily due to an increase in non-cash stock-based compensation expense of $158,000 and payroll due to adding employees of $166,000.</w:t>
      </w:r>
    </w:p>
    <w:p>
      <w:pPr>
        <w:spacing w:after="0" w:line="181" w:lineRule="exact"/>
        <w:rPr>
          <w:sz w:val="20"/>
          <w:szCs w:val="20"/>
          <w:color w:val="auto"/>
        </w:rPr>
      </w:pPr>
    </w:p>
    <w:p>
      <w:pPr>
        <w:ind w:firstLine="430"/>
        <w:spacing w:after="0" w:line="283" w:lineRule="auto"/>
        <w:rPr>
          <w:sz w:val="20"/>
          <w:szCs w:val="20"/>
          <w:color w:val="auto"/>
        </w:rPr>
      </w:pPr>
      <w:r>
        <w:rPr>
          <w:rFonts w:ascii="Times New Roman" w:cs="Times New Roman" w:eastAsia="Times New Roman" w:hAnsi="Times New Roman"/>
          <w:sz w:val="16"/>
          <w:szCs w:val="16"/>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 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w w:val="96"/>
              </w:rPr>
              <w:t>Index</w:t>
            </w:r>
          </w:p>
        </w:tc>
        <w:tc>
          <w:tcPr>
            <w:tcW w:w="3540" w:type="dxa"/>
            <w:vAlign w:val="bottom"/>
            <w:gridSpan w:val="2"/>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375"/>
        </w:trPr>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04"/>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Three Months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color w:val="auto"/>
                <w:w w:val="97"/>
              </w:rPr>
              <w:t>2022 as Compared to 2021</w:t>
            </w:r>
          </w:p>
        </w:tc>
      </w:tr>
      <w:tr>
        <w:trPr>
          <w:trHeight w:val="236"/>
        </w:trPr>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Ended March 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color w:val="auto"/>
                <w:w w:val="96"/>
              </w:rPr>
              <w:t>Three Months</w:t>
            </w:r>
          </w:p>
        </w:tc>
      </w:tr>
      <w:tr>
        <w:trPr>
          <w:trHeight w:val="217"/>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Change</w:t>
            </w:r>
          </w:p>
        </w:tc>
        <w:tc>
          <w:tcPr>
            <w:tcW w:w="160" w:type="dxa"/>
            <w:vAlign w:val="bottom"/>
          </w:tcPr>
          <w:p>
            <w:pPr>
              <w:spacing w:after="0"/>
              <w:rPr>
                <w:sz w:val="18"/>
                <w:szCs w:val="18"/>
                <w:color w:val="auto"/>
              </w:rPr>
            </w:pPr>
          </w:p>
        </w:tc>
      </w:tr>
      <w:tr>
        <w:trPr>
          <w:trHeight w:val="211"/>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(In thousands, except %)</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1"/>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1,877</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r>
    </w:tbl>
    <w:p>
      <w:pPr>
        <w:spacing w:after="0" w:line="192" w:lineRule="exact"/>
        <w:rPr>
          <w:sz w:val="20"/>
          <w:szCs w:val="20"/>
          <w:color w:val="auto"/>
        </w:rPr>
      </w:pPr>
    </w:p>
    <w:p>
      <w:pPr>
        <w:jc w:val="both"/>
        <w:ind w:right="220" w:firstLine="430"/>
        <w:spacing w:after="0" w:line="252"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including stock-based compensation, legal and accounting fees, insurance, investor relations, business development and other office related expenses. The primary reasons for the increase in general and administrative expenses for the three-months ended March 31, 2022 as compared to the same period in 2021 is due to a increase in non-cash stock based compensation expenses of approximately $446,000.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7" w:lineRule="exact"/>
        <w:rPr>
          <w:sz w:val="20"/>
          <w:szCs w:val="20"/>
          <w:color w:val="auto"/>
        </w:rPr>
      </w:pPr>
    </w:p>
    <w:p>
      <w:pPr>
        <w:ind w:right="60" w:firstLine="430"/>
        <w:spacing w:after="0" w:line="247" w:lineRule="auto"/>
        <w:rPr>
          <w:sz w:val="20"/>
          <w:szCs w:val="20"/>
          <w:color w:val="auto"/>
        </w:rPr>
      </w:pPr>
      <w:r>
        <w:rPr>
          <w:rFonts w:ascii="Times New Roman" w:cs="Times New Roman" w:eastAsia="Times New Roman" w:hAnsi="Times New Roman"/>
          <w:sz w:val="18"/>
          <w:szCs w:val="18"/>
          <w:color w:val="auto"/>
        </w:rPr>
        <w:t>Since our inception on July 10, 2000, we have financed our operations from proceeds of public and private offerings of debt and equity. As of March 31, 2022, we raised a net total of $234.5 million from these offerings. We have operated at a loss since our inception and have had no significant revenues. We anticipate that losses will continue for the foreseeable future. At March 31, 2022, the Company had $31.6 million of unrestricted cash and cash equivalents available to fund future operations. The Company believes there is sufficient cash, including availability of the line of credit, to fund currently planned operations at least through May 16, 2023. We will require more cash to fund our operations after May 16, 2023 and believe we will be able to obtain additional financing. The currently planned operations include costs related to our adaptively designed NAVIGATE Phase 2b/3 clinical trial. Currently, we expect to require an additional approximately $40-$45 million to cover costs of the trial to reach the planned interim analysis estimated to occur in mid-2024 along with drug manufacturing and other scientific support activities and general and administrative costs. However, there can be no assurance that we will be successful in obtaining such new financing or, if available, that such financing will be on terms favorable to us.</w:t>
      </w:r>
    </w:p>
    <w:p>
      <w:pPr>
        <w:spacing w:after="0" w:line="191" w:lineRule="exact"/>
        <w:rPr>
          <w:sz w:val="20"/>
          <w:szCs w:val="20"/>
          <w:color w:val="auto"/>
        </w:rPr>
      </w:pPr>
    </w:p>
    <w:p>
      <w:pPr>
        <w:ind w:firstLine="430"/>
        <w:spacing w:after="0" w:line="256" w:lineRule="auto"/>
        <w:rPr>
          <w:sz w:val="20"/>
          <w:szCs w:val="20"/>
          <w:color w:val="auto"/>
        </w:rPr>
      </w:pPr>
      <w:r>
        <w:rPr>
          <w:rFonts w:ascii="Times New Roman" w:cs="Times New Roman" w:eastAsia="Times New Roman" w:hAnsi="Times New Roman"/>
          <w:sz w:val="18"/>
          <w:szCs w:val="18"/>
          <w:color w:val="auto"/>
        </w:rPr>
        <w:t>Net cash used in operations increased by $1,660,000 to $8,042,000 for the three months ended March 31, 2022, as compared to $6,382,000 for the three months ended March 31, 2021. Cash operating expenses increased principally due to the preparations and expenses related to our NAVIGATE clinical trial with belapectin.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19" w:lineRule="exact"/>
        <w:rPr>
          <w:sz w:val="20"/>
          <w:szCs w:val="20"/>
          <w:color w:val="auto"/>
        </w:rPr>
      </w:pPr>
    </w:p>
    <w:p>
      <w:pPr>
        <w:ind w:right="20" w:firstLine="430"/>
        <w:spacing w:after="0" w:line="256" w:lineRule="auto"/>
        <w:rPr>
          <w:sz w:val="20"/>
          <w:szCs w:val="20"/>
          <w:color w:val="auto"/>
        </w:rPr>
      </w:pPr>
      <w:r>
        <w:rPr>
          <w:rFonts w:ascii="Times New Roman" w:cs="Times New Roman" w:eastAsia="Times New Roman" w:hAnsi="Times New Roman"/>
          <w:sz w:val="18"/>
          <w:szCs w:val="18"/>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Critical Accounting Policies and Estimates</w:t>
      </w:r>
    </w:p>
    <w:p>
      <w:pPr>
        <w:spacing w:after="0" w:line="217" w:lineRule="exact"/>
        <w:rPr>
          <w:sz w:val="20"/>
          <w:szCs w:val="20"/>
          <w:color w:val="auto"/>
        </w:rPr>
      </w:pPr>
    </w:p>
    <w:p>
      <w:pPr>
        <w:ind w:right="180" w:firstLine="430"/>
        <w:spacing w:after="0" w:line="250"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requires us to make estimates and judgments that affect the reported amounts of assets, liabilities, expenses, and related disclosure of contingent assets and liabilities. On an ongoing basis, we evaluate our estimates, including those related to accrued expenses, stock-based compensation, contingencies and litigation. We base our estimates on historical experience, terms of existing contracts, our observance of trends in the industry, information available from other outside sources and on various other factors that we believe to be appropriate under the circumstances. Actual results may differ from these estimates under different assumptions or conditions.</w:t>
      </w:r>
    </w:p>
    <w:p>
      <w:pPr>
        <w:spacing w:after="0" w:line="187" w:lineRule="exact"/>
        <w:rPr>
          <w:sz w:val="20"/>
          <w:szCs w:val="20"/>
          <w:color w:val="auto"/>
        </w:rPr>
      </w:pPr>
    </w:p>
    <w:p>
      <w:pPr>
        <w:ind w:right="180" w:firstLine="430"/>
        <w:spacing w:after="0" w:line="256" w:lineRule="auto"/>
        <w:rPr>
          <w:sz w:val="20"/>
          <w:szCs w:val="20"/>
          <w:color w:val="auto"/>
        </w:rPr>
      </w:pPr>
      <w:r>
        <w:rPr>
          <w:rFonts w:ascii="Times New Roman" w:cs="Times New Roman" w:eastAsia="Times New Roman" w:hAnsi="Times New Roman"/>
          <w:sz w:val="18"/>
          <w:szCs w:val="18"/>
          <w:color w:val="auto"/>
        </w:rPr>
        <w:t>Critical accounting policies are those policies that affect our more significant judgments and estimates used in preparation of our consolidated financial statements. We believe our critical accounting policies include our policies regarding stock-based compensation, accrued expenses and income taxes. For a more detailed discussion of our critical accounting policies, please refer to our 2021 Annual Report on Form 10-K.</w:t>
      </w:r>
    </w:p>
    <w:p>
      <w:pPr>
        <w:spacing w:after="0" w:line="17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17" w:lineRule="exact"/>
        <w:rPr>
          <w:sz w:val="20"/>
          <w:szCs w:val="20"/>
          <w:color w:val="auto"/>
        </w:rPr>
      </w:pPr>
    </w:p>
    <w:p>
      <w:pPr>
        <w:ind w:right="20" w:firstLine="430"/>
        <w:spacing w:after="0" w:line="252"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operating results or cash flows due to changes in the U.S. interest rates. The primary objective of our investment activities is to preserve cash until it is required to fund operations. To minimize risk, we maintain our portfolio of cash and cash equivalents in operating bank accounts and money market funds. Since our investments are short-term in duration, we believe that we are not subject to any material market risk exposure.</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5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19" w:lineRule="exact"/>
        <w:rPr>
          <w:sz w:val="20"/>
          <w:szCs w:val="20"/>
          <w:color w:val="auto"/>
        </w:rPr>
      </w:pPr>
    </w:p>
    <w:p>
      <w:pPr>
        <w:ind w:right="40" w:firstLine="430"/>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the Chief Executive Officer and Chief Financial Officer, evaluated the effectiveness of our disclosure controls and procedures (as defined in Rule 13a-15(e) promulgated under the Securities Exchange Act of 1934) and concluded that, as of March 31, 2022, our disclosure controls and procedures were effective.</w:t>
      </w:r>
    </w:p>
    <w:p>
      <w:pPr>
        <w:spacing w:after="0" w:line="181" w:lineRule="exact"/>
        <w:rPr>
          <w:sz w:val="20"/>
          <w:szCs w:val="20"/>
          <w:color w:val="auto"/>
        </w:rPr>
      </w:pPr>
    </w:p>
    <w:p>
      <w:pPr>
        <w:ind w:right="160" w:firstLine="430"/>
        <w:spacing w:after="0" w:line="250"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19" w:lineRule="exact"/>
        <w:rPr>
          <w:sz w:val="20"/>
          <w:szCs w:val="20"/>
          <w:color w:val="auto"/>
        </w:rPr>
      </w:pPr>
    </w:p>
    <w:p>
      <w:pPr>
        <w:ind w:right="340" w:firstLine="430"/>
        <w:spacing w:after="0" w:line="269" w:lineRule="auto"/>
        <w:rPr>
          <w:sz w:val="20"/>
          <w:szCs w:val="20"/>
          <w:color w:val="auto"/>
        </w:rPr>
      </w:pPr>
      <w:r>
        <w:rPr>
          <w:rFonts w:ascii="Times New Roman" w:cs="Times New Roman" w:eastAsia="Times New Roman" w:hAnsi="Times New Roman"/>
          <w:sz w:val="18"/>
          <w:szCs w:val="18"/>
          <w:color w:val="auto"/>
        </w:rPr>
        <w:t>During the quarter ended March 31, 2022, no change in our internal control over financial reporting has materially affected, or is reasonably likely to materially affect, our internal control over financial reporting.</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7" w:lineRule="exact"/>
        <w:rPr>
          <w:sz w:val="20"/>
          <w:szCs w:val="20"/>
          <w:color w:val="auto"/>
        </w:rPr>
      </w:pPr>
    </w:p>
    <w:p>
      <w:pPr>
        <w:ind w:right="280" w:firstLine="430"/>
        <w:spacing w:after="0" w:line="269" w:lineRule="auto"/>
        <w:rPr>
          <w:sz w:val="20"/>
          <w:szCs w:val="20"/>
          <w:color w:val="auto"/>
        </w:rPr>
      </w:pPr>
      <w:r>
        <w:rPr>
          <w:rFonts w:ascii="Times New Roman" w:cs="Times New Roman" w:eastAsia="Times New Roman" w:hAnsi="Times New Roman"/>
          <w:sz w:val="18"/>
          <w:szCs w:val="18"/>
          <w:color w:val="auto"/>
        </w:rPr>
        <w:t>The information set forth in this report should be read in conjunction with the risk factors set forth in Item 1A, “Risk Factors,” of Part I of our Annual Report on Form 10-K for the year ended December 31, 2021, which could materially impact our business, financial condition or future results.</w:t>
      </w:r>
    </w:p>
    <w:p>
      <w:pPr>
        <w:spacing w:after="0" w:line="16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1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1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860" w:type="dxa"/>
            <w:vAlign w:val="bottom"/>
          </w:tcPr>
          <w:p>
            <w:pPr>
              <w:spacing w:after="0"/>
              <w:rPr>
                <w:sz w:val="20"/>
                <w:szCs w:val="20"/>
                <w:color w:val="auto"/>
              </w:rPr>
            </w:pPr>
          </w:p>
        </w:tc>
      </w:tr>
      <w:tr>
        <w:trPr>
          <w:trHeight w:val="402"/>
        </w:trPr>
        <w:tc>
          <w:tcPr>
            <w:tcW w:w="8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Note</w:t>
            </w:r>
          </w:p>
        </w:tc>
      </w:tr>
      <w:tr>
        <w:trPr>
          <w:trHeight w:val="238"/>
        </w:trPr>
        <w:tc>
          <w:tcPr>
            <w:tcW w:w="8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32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Reference</w:t>
            </w:r>
          </w:p>
        </w:tc>
      </w:tr>
      <w:tr>
        <w:trPr>
          <w:trHeight w:val="211"/>
        </w:trPr>
        <w:tc>
          <w:tcPr>
            <w:tcW w:w="4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191"/>
        </w:trPr>
        <w:tc>
          <w:tcPr>
            <w:tcW w:w="48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40" w:type="dxa"/>
            <w:vAlign w:val="bottom"/>
            <w:gridSpan w:val="3"/>
            <w:shd w:val="clear" w:color="auto" w:fill="CCEEFF"/>
          </w:tcPr>
          <w:p>
            <w:pPr>
              <w:ind w:left="120"/>
              <w:spacing w:after="0" w:line="171" w:lineRule="exact"/>
              <w:rPr>
                <w:sz w:val="20"/>
                <w:szCs w:val="20"/>
                <w:color w:val="auto"/>
              </w:rPr>
            </w:pPr>
            <w:r>
              <w:rPr>
                <w:rFonts w:ascii="Times New Roman" w:cs="Times New Roman" w:eastAsia="Times New Roman" w:hAnsi="Times New Roman"/>
                <w:sz w:val="18"/>
                <w:szCs w:val="18"/>
                <w:color w:val="auto"/>
              </w:rPr>
              <w:t>Certification Pursuant to Rule 13a-14(a) of the Securities Exchange Act of 1934</w:t>
            </w:r>
          </w:p>
        </w:tc>
        <w:tc>
          <w:tcPr>
            <w:tcW w:w="860" w:type="dxa"/>
            <w:vAlign w:val="bottom"/>
            <w:shd w:val="clear" w:color="auto" w:fill="CCEEFF"/>
          </w:tcPr>
          <w:p>
            <w:pPr>
              <w:spacing w:after="0"/>
              <w:rPr>
                <w:sz w:val="16"/>
                <w:szCs w:val="16"/>
                <w:color w:val="auto"/>
              </w:rPr>
            </w:pPr>
          </w:p>
        </w:tc>
      </w:tr>
      <w:tr>
        <w:trPr>
          <w:trHeight w:val="211"/>
        </w:trPr>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1"/>
        </w:trPr>
        <w:tc>
          <w:tcPr>
            <w:tcW w:w="48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40" w:type="dxa"/>
            <w:vAlign w:val="bottom"/>
            <w:gridSpan w:val="3"/>
            <w:shd w:val="clear" w:color="auto" w:fill="CCEEFF"/>
          </w:tcPr>
          <w:p>
            <w:pPr>
              <w:ind w:left="120"/>
              <w:spacing w:after="0" w:line="171" w:lineRule="exact"/>
              <w:rPr>
                <w:sz w:val="20"/>
                <w:szCs w:val="20"/>
                <w:color w:val="auto"/>
              </w:rPr>
            </w:pPr>
            <w:r>
              <w:rPr>
                <w:rFonts w:ascii="Times New Roman" w:cs="Times New Roman" w:eastAsia="Times New Roman" w:hAnsi="Times New Roman"/>
                <w:sz w:val="18"/>
                <w:szCs w:val="18"/>
                <w:color w:val="auto"/>
              </w:rPr>
              <w:t>Certification Pursuant to Rule 13a-14(a) of the Securities Exchange Act of 1934</w:t>
            </w:r>
          </w:p>
        </w:tc>
        <w:tc>
          <w:tcPr>
            <w:tcW w:w="860" w:type="dxa"/>
            <w:vAlign w:val="bottom"/>
            <w:shd w:val="clear" w:color="auto" w:fill="CCEEFF"/>
          </w:tcPr>
          <w:p>
            <w:pPr>
              <w:spacing w:after="0"/>
              <w:rPr>
                <w:sz w:val="16"/>
                <w:szCs w:val="16"/>
                <w:color w:val="auto"/>
              </w:rPr>
            </w:pPr>
          </w:p>
        </w:tc>
      </w:tr>
      <w:tr>
        <w:trPr>
          <w:trHeight w:val="211"/>
        </w:trPr>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1"/>
        </w:trPr>
        <w:tc>
          <w:tcPr>
            <w:tcW w:w="800" w:type="dxa"/>
            <w:vAlign w:val="bottom"/>
            <w:gridSpan w:val="3"/>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140" w:type="dxa"/>
            <w:vAlign w:val="bottom"/>
            <w:shd w:val="clear" w:color="auto" w:fill="CCEEFF"/>
          </w:tcPr>
          <w:p>
            <w:pPr>
              <w:spacing w:after="0"/>
              <w:rPr>
                <w:sz w:val="16"/>
                <w:szCs w:val="16"/>
                <w:color w:val="auto"/>
              </w:rPr>
            </w:pPr>
          </w:p>
        </w:tc>
        <w:tc>
          <w:tcPr>
            <w:tcW w:w="9440" w:type="dxa"/>
            <w:vAlign w:val="bottom"/>
            <w:gridSpan w:val="3"/>
            <w:shd w:val="clear" w:color="auto" w:fill="CCEEFF"/>
          </w:tcPr>
          <w:p>
            <w:pPr>
              <w:ind w:left="120"/>
              <w:spacing w:after="0" w:line="171" w:lineRule="exact"/>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c>
          <w:tcPr>
            <w:tcW w:w="860" w:type="dxa"/>
            <w:vAlign w:val="bottom"/>
            <w:shd w:val="clear" w:color="auto" w:fill="CCEEFF"/>
          </w:tcPr>
          <w:p>
            <w:pPr>
              <w:spacing w:after="0"/>
              <w:rPr>
                <w:sz w:val="16"/>
                <w:szCs w:val="16"/>
                <w:color w:val="auto"/>
              </w:rPr>
            </w:pPr>
          </w:p>
        </w:tc>
      </w:tr>
      <w:tr>
        <w:trPr>
          <w:trHeight w:val="211"/>
        </w:trPr>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1"/>
        </w:trPr>
        <w:tc>
          <w:tcPr>
            <w:tcW w:w="800" w:type="dxa"/>
            <w:vAlign w:val="bottom"/>
            <w:gridSpan w:val="3"/>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140" w:type="dxa"/>
            <w:vAlign w:val="bottom"/>
            <w:shd w:val="clear" w:color="auto" w:fill="CCEEFF"/>
          </w:tcPr>
          <w:p>
            <w:pPr>
              <w:spacing w:after="0"/>
              <w:rPr>
                <w:sz w:val="16"/>
                <w:szCs w:val="16"/>
                <w:color w:val="auto"/>
              </w:rPr>
            </w:pPr>
          </w:p>
        </w:tc>
        <w:tc>
          <w:tcPr>
            <w:tcW w:w="9440" w:type="dxa"/>
            <w:vAlign w:val="bottom"/>
            <w:gridSpan w:val="3"/>
            <w:shd w:val="clear" w:color="auto" w:fill="CCEEFF"/>
          </w:tcPr>
          <w:p>
            <w:pPr>
              <w:ind w:left="120"/>
              <w:spacing w:after="0" w:line="171" w:lineRule="exact"/>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c>
          <w:tcPr>
            <w:tcW w:w="860" w:type="dxa"/>
            <w:vAlign w:val="bottom"/>
            <w:shd w:val="clear" w:color="auto" w:fill="CCEEFF"/>
          </w:tcPr>
          <w:p>
            <w:pPr>
              <w:spacing w:after="0"/>
              <w:rPr>
                <w:sz w:val="16"/>
                <w:szCs w:val="16"/>
                <w:color w:val="auto"/>
              </w:rPr>
            </w:pPr>
          </w:p>
        </w:tc>
      </w:tr>
      <w:tr>
        <w:trPr>
          <w:trHeight w:val="211"/>
        </w:trPr>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2"/>
        </w:trPr>
        <w:tc>
          <w:tcPr>
            <w:tcW w:w="800" w:type="dxa"/>
            <w:vAlign w:val="bottom"/>
            <w:gridSpan w:val="3"/>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101.INS</w:t>
            </w:r>
          </w:p>
        </w:tc>
        <w:tc>
          <w:tcPr>
            <w:tcW w:w="140" w:type="dxa"/>
            <w:vAlign w:val="bottom"/>
            <w:shd w:val="clear" w:color="auto" w:fill="CCEEFF"/>
          </w:tcPr>
          <w:p>
            <w:pPr>
              <w:spacing w:after="0"/>
              <w:rPr>
                <w:sz w:val="16"/>
                <w:szCs w:val="16"/>
                <w:color w:val="auto"/>
              </w:rPr>
            </w:pPr>
          </w:p>
        </w:tc>
        <w:tc>
          <w:tcPr>
            <w:tcW w:w="9440" w:type="dxa"/>
            <w:vAlign w:val="bottom"/>
            <w:gridSpan w:val="3"/>
            <w:shd w:val="clear" w:color="auto" w:fill="CCEEFF"/>
          </w:tcPr>
          <w:p>
            <w:pPr>
              <w:ind w:left="120"/>
              <w:spacing w:after="0" w:line="193" w:lineRule="exact"/>
              <w:rPr>
                <w:sz w:val="20"/>
                <w:szCs w:val="20"/>
                <w:color w:val="auto"/>
              </w:rPr>
            </w:pPr>
            <w:r>
              <w:rPr>
                <w:rFonts w:ascii="Times New Roman" w:cs="Times New Roman" w:eastAsia="Times New Roman" w:hAnsi="Times New Roman"/>
                <w:sz w:val="18"/>
                <w:szCs w:val="18"/>
                <w:color w:val="auto"/>
                <w:w w:val="99"/>
              </w:rPr>
              <w:t>Inline XBRL Instance Document** (the instance document does not appear in the Interactive Data File because its XBRL tags are</w:t>
            </w:r>
          </w:p>
        </w:tc>
        <w:tc>
          <w:tcPr>
            <w:tcW w:w="860" w:type="dxa"/>
            <w:vAlign w:val="bottom"/>
            <w:shd w:val="clear" w:color="auto" w:fill="CCEEFF"/>
          </w:tcPr>
          <w:p>
            <w:pPr>
              <w:spacing w:after="0"/>
              <w:rPr>
                <w:sz w:val="16"/>
                <w:szCs w:val="16"/>
                <w:color w:val="auto"/>
              </w:rPr>
            </w:pPr>
          </w:p>
        </w:tc>
      </w:tr>
      <w:tr>
        <w:trPr>
          <w:trHeight w:val="229"/>
        </w:trPr>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86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w w:val="96"/>
              </w:rPr>
              <w:t>Index</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355"/>
        </w:trPr>
        <w:tc>
          <w:tcPr>
            <w:tcW w:w="8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Note</w:t>
            </w:r>
          </w:p>
        </w:tc>
      </w:tr>
      <w:tr>
        <w:trPr>
          <w:trHeight w:val="238"/>
        </w:trPr>
        <w:tc>
          <w:tcPr>
            <w:tcW w:w="8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320" w:type="dxa"/>
            <w:vAlign w:val="bottom"/>
            <w:gridSpan w:val="2"/>
          </w:tcPr>
          <w:p>
            <w:pPr>
              <w:ind w:left="364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Reference</w:t>
            </w:r>
          </w:p>
        </w:tc>
      </w:tr>
      <w:tr>
        <w:trPr>
          <w:trHeight w:val="211"/>
        </w:trPr>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11"/>
        </w:trPr>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shd w:val="clear" w:color="auto" w:fill="CCEEFF"/>
          </w:tcPr>
          <w:p>
            <w:pPr>
              <w:spacing w:after="0"/>
              <w:rPr>
                <w:sz w:val="18"/>
                <w:szCs w:val="18"/>
                <w:color w:val="auto"/>
              </w:rPr>
            </w:pPr>
          </w:p>
        </w:tc>
        <w:tc>
          <w:tcPr>
            <w:tcW w:w="9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60" w:type="dxa"/>
            <w:vAlign w:val="bottom"/>
            <w:shd w:val="clear" w:color="auto" w:fill="CCEEFF"/>
          </w:tcPr>
          <w:p>
            <w:pPr>
              <w:spacing w:after="0"/>
              <w:rPr>
                <w:sz w:val="18"/>
                <w:szCs w:val="18"/>
                <w:color w:val="auto"/>
              </w:rPr>
            </w:pPr>
          </w:p>
        </w:tc>
      </w:tr>
      <w:tr>
        <w:trPr>
          <w:trHeight w:val="211"/>
        </w:trPr>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1"/>
        </w:trPr>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40" w:type="dxa"/>
            <w:vAlign w:val="bottom"/>
            <w:shd w:val="clear" w:color="auto" w:fill="CCEEFF"/>
          </w:tcPr>
          <w:p>
            <w:pPr>
              <w:spacing w:after="0"/>
              <w:rPr>
                <w:sz w:val="18"/>
                <w:szCs w:val="18"/>
                <w:color w:val="auto"/>
              </w:rPr>
            </w:pPr>
          </w:p>
        </w:tc>
        <w:tc>
          <w:tcPr>
            <w:tcW w:w="9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860" w:type="dxa"/>
            <w:vAlign w:val="bottom"/>
            <w:shd w:val="clear" w:color="auto" w:fill="CCEEFF"/>
          </w:tcPr>
          <w:p>
            <w:pPr>
              <w:spacing w:after="0"/>
              <w:rPr>
                <w:sz w:val="18"/>
                <w:szCs w:val="18"/>
                <w:color w:val="auto"/>
              </w:rPr>
            </w:pPr>
          </w:p>
        </w:tc>
      </w:tr>
      <w:tr>
        <w:trPr>
          <w:trHeight w:val="211"/>
        </w:trPr>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1"/>
        </w:trPr>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40" w:type="dxa"/>
            <w:vAlign w:val="bottom"/>
            <w:shd w:val="clear" w:color="auto" w:fill="CCEEFF"/>
          </w:tcPr>
          <w:p>
            <w:pPr>
              <w:spacing w:after="0"/>
              <w:rPr>
                <w:sz w:val="18"/>
                <w:szCs w:val="18"/>
                <w:color w:val="auto"/>
              </w:rPr>
            </w:pPr>
          </w:p>
        </w:tc>
        <w:tc>
          <w:tcPr>
            <w:tcW w:w="9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860" w:type="dxa"/>
            <w:vAlign w:val="bottom"/>
            <w:shd w:val="clear" w:color="auto" w:fill="CCEEFF"/>
          </w:tcPr>
          <w:p>
            <w:pPr>
              <w:spacing w:after="0"/>
              <w:rPr>
                <w:sz w:val="18"/>
                <w:szCs w:val="18"/>
                <w:color w:val="auto"/>
              </w:rPr>
            </w:pPr>
          </w:p>
        </w:tc>
      </w:tr>
      <w:tr>
        <w:trPr>
          <w:trHeight w:val="211"/>
        </w:trPr>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1"/>
        </w:trPr>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40" w:type="dxa"/>
            <w:vAlign w:val="bottom"/>
            <w:shd w:val="clear" w:color="auto" w:fill="CCEEFF"/>
          </w:tcPr>
          <w:p>
            <w:pPr>
              <w:spacing w:after="0"/>
              <w:rPr>
                <w:sz w:val="18"/>
                <w:szCs w:val="18"/>
                <w:color w:val="auto"/>
              </w:rPr>
            </w:pPr>
          </w:p>
        </w:tc>
        <w:tc>
          <w:tcPr>
            <w:tcW w:w="9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c>
          <w:tcPr>
            <w:tcW w:w="860" w:type="dxa"/>
            <w:vAlign w:val="bottom"/>
            <w:shd w:val="clear" w:color="auto" w:fill="CCEEFF"/>
          </w:tcPr>
          <w:p>
            <w:pPr>
              <w:spacing w:after="0"/>
              <w:rPr>
                <w:sz w:val="18"/>
                <w:szCs w:val="18"/>
                <w:color w:val="auto"/>
              </w:rPr>
            </w:pPr>
          </w:p>
        </w:tc>
      </w:tr>
      <w:tr>
        <w:trPr>
          <w:trHeight w:val="211"/>
        </w:trPr>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1"/>
        </w:trPr>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40" w:type="dxa"/>
            <w:vAlign w:val="bottom"/>
            <w:shd w:val="clear" w:color="auto" w:fill="CCEEFF"/>
          </w:tcPr>
          <w:p>
            <w:pPr>
              <w:spacing w:after="0"/>
              <w:rPr>
                <w:sz w:val="18"/>
                <w:szCs w:val="18"/>
                <w:color w:val="auto"/>
              </w:rPr>
            </w:pPr>
          </w:p>
        </w:tc>
        <w:tc>
          <w:tcPr>
            <w:tcW w:w="9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c>
          <w:tcPr>
            <w:tcW w:w="860" w:type="dxa"/>
            <w:vAlign w:val="bottom"/>
            <w:shd w:val="clear" w:color="auto" w:fill="CCEEFF"/>
          </w:tcPr>
          <w:p>
            <w:pPr>
              <w:spacing w:after="0"/>
              <w:rPr>
                <w:sz w:val="18"/>
                <w:szCs w:val="18"/>
                <w:color w:val="auto"/>
              </w:rPr>
            </w:pPr>
          </w:p>
        </w:tc>
      </w:tr>
      <w:tr>
        <w:trPr>
          <w:trHeight w:val="421"/>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95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8"/>
              </w:rPr>
              <w:t>Cover Page Interactive Data File (the cover page XBRL tags are embedded in the Inline XBRL document and included in Exhibit 101)</w:t>
            </w:r>
          </w:p>
        </w:tc>
        <w:tc>
          <w:tcPr>
            <w:tcW w:w="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107061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70610" cy="16510"/>
                    </a:xfrm>
                    <a:prstGeom prst="rect">
                      <a:avLst/>
                    </a:prstGeom>
                    <a:noFill/>
                  </pic:spPr>
                </pic:pic>
              </a:graphicData>
            </a:graphic>
          </wp:anchor>
        </w:drawing>
      </w:r>
    </w:p>
    <w:p>
      <w:pPr>
        <w:spacing w:after="0" w:line="199" w:lineRule="exact"/>
        <w:rPr>
          <w:sz w:val="20"/>
          <w:szCs w:val="20"/>
          <w:color w:val="auto"/>
        </w:rPr>
      </w:pPr>
    </w:p>
    <w:p>
      <w:pPr>
        <w:ind w:left="420" w:hanging="415"/>
        <w:spacing w:after="0"/>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1" w:lineRule="exact"/>
        <w:rPr>
          <w:sz w:val="20"/>
          <w:szCs w:val="20"/>
          <w:color w:val="auto"/>
        </w:rPr>
      </w:pPr>
    </w:p>
    <w:p>
      <w:pPr>
        <w:ind w:left="420" w:hanging="415"/>
        <w:spacing w:after="0"/>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“filed” for purposes of Section 18 of the Securities Exchange Act of 1934, as amended.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59"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7" w:lineRule="exact"/>
        <w:rPr>
          <w:sz w:val="20"/>
          <w:szCs w:val="20"/>
          <w:color w:val="auto"/>
        </w:rPr>
      </w:pPr>
    </w:p>
    <w:p>
      <w:pPr>
        <w:ind w:firstLine="430"/>
        <w:spacing w:after="0" w:line="26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May 16, 2022.</w:t>
      </w:r>
    </w:p>
    <w:p>
      <w:pPr>
        <w:spacing w:after="0" w:line="16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GALECTIN THERAPEUTICS INC.</w:t>
      </w:r>
    </w:p>
    <w:p>
      <w:pPr>
        <w:spacing w:after="0" w:line="21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22225</wp:posOffset>
            </wp:positionV>
            <wp:extent cx="320421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04210" cy="16510"/>
                    </a:xfrm>
                    <a:prstGeom prst="rect">
                      <a:avLst/>
                    </a:prstGeom>
                    <a:noFill/>
                  </pic:spPr>
                </pic:pic>
              </a:graphicData>
            </a:graphic>
          </wp:anchor>
        </w:drawing>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Joel Lewis</w:t>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Executive Officer and President</w:t>
      </w:r>
    </w:p>
    <w:p>
      <w:pPr>
        <w:spacing w:after="0" w:line="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9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Jack W. Callicutt</w:t>
      </w:r>
    </w:p>
    <w:p>
      <w:pPr>
        <w:spacing w:after="0" w:line="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-130175</wp:posOffset>
            </wp:positionV>
            <wp:extent cx="320421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04210" cy="16510"/>
                    </a:xfrm>
                    <a:prstGeom prst="rect">
                      <a:avLst/>
                    </a:prstGeom>
                    <a:noFill/>
                  </pic:spPr>
                </pic:pic>
              </a:graphicData>
            </a:graphic>
          </wp:anchor>
        </w:drawing>
      </w:r>
    </w:p>
    <w:p>
      <w:pPr>
        <w:spacing w:after="0" w:line="1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135495"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460"/>
          </w:cols>
          <w:pgMar w:left="320" w:top="116" w:right="111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5495" cy="336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5495" cy="33655"/>
                    </a:xfrm>
                    <a:prstGeom prst="rect">
                      <a:avLst/>
                    </a:prstGeom>
                    <a:noFill/>
                  </pic:spPr>
                </pic:pic>
              </a:graphicData>
            </a:graphic>
          </wp:anchor>
        </w:drawing>
        <w:t>Exhibit 31.1</w:t>
      </w:r>
    </w:p>
    <w:p>
      <w:pPr>
        <w:spacing w:after="0" w:line="233"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1"/>
          <w:szCs w:val="21"/>
          <w:b w:val="1"/>
          <w:bCs w:val="1"/>
          <w:color w:val="auto"/>
        </w:rPr>
        <w:t>Certification Pursuant to Rule 13a-14(a) of the Securities Exchange Act of 1934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Joel Lewis, certify that:</w:t>
      </w:r>
    </w:p>
    <w:p>
      <w:pPr>
        <w:spacing w:after="0" w:line="242" w:lineRule="exact"/>
        <w:rPr>
          <w:sz w:val="20"/>
          <w:szCs w:val="20"/>
          <w:color w:val="auto"/>
        </w:rPr>
      </w:pPr>
    </w:p>
    <w:p>
      <w:pPr>
        <w:ind w:left="480" w:hanging="475"/>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Galectin Therapeutics Inc;</w:t>
      </w:r>
    </w:p>
    <w:p>
      <w:pPr>
        <w:spacing w:after="0" w:line="240" w:lineRule="exact"/>
        <w:rPr>
          <w:rFonts w:ascii="Times New Roman" w:cs="Times New Roman" w:eastAsia="Times New Roman" w:hAnsi="Times New Roman"/>
          <w:sz w:val="18"/>
          <w:szCs w:val="18"/>
          <w:color w:val="auto"/>
        </w:rPr>
      </w:pPr>
    </w:p>
    <w:p>
      <w:pPr>
        <w:ind w:left="480" w:right="60" w:hanging="475"/>
        <w:spacing w:after="0" w:line="332" w:lineRule="auto"/>
        <w:tabs>
          <w:tab w:leader="none" w:pos="4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Times New Roman" w:cs="Times New Roman" w:eastAsia="Times New Roman" w:hAnsi="Times New Roman"/>
          <w:sz w:val="16"/>
          <w:szCs w:val="16"/>
          <w:color w:val="auto"/>
        </w:rPr>
      </w:pPr>
    </w:p>
    <w:p>
      <w:pPr>
        <w:ind w:left="480" w:right="520" w:hanging="475"/>
        <w:spacing w:after="0" w:line="269" w:lineRule="auto"/>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Times New Roman" w:cs="Times New Roman" w:eastAsia="Times New Roman" w:hAnsi="Times New Roman"/>
          <w:sz w:val="18"/>
          <w:szCs w:val="18"/>
          <w:color w:val="auto"/>
        </w:rPr>
      </w:pPr>
    </w:p>
    <w:p>
      <w:pPr>
        <w:ind w:left="480" w:hanging="475"/>
        <w:spacing w:after="0" w:line="256" w:lineRule="auto"/>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7" w:lineRule="exact"/>
        <w:rPr>
          <w:rFonts w:ascii="Times New Roman" w:cs="Times New Roman" w:eastAsia="Times New Roman" w:hAnsi="Times New Roman"/>
          <w:sz w:val="18"/>
          <w:szCs w:val="18"/>
          <w:color w:val="auto"/>
        </w:rPr>
      </w:pPr>
    </w:p>
    <w:p>
      <w:pPr>
        <w:ind w:left="960" w:right="320" w:hanging="480"/>
        <w:spacing w:after="0" w:line="256" w:lineRule="auto"/>
        <w:tabs>
          <w:tab w:leader="none" w:pos="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Times New Roman" w:cs="Times New Roman" w:eastAsia="Times New Roman" w:hAnsi="Times New Roman"/>
          <w:sz w:val="18"/>
          <w:szCs w:val="18"/>
          <w:color w:val="auto"/>
        </w:rPr>
      </w:pPr>
    </w:p>
    <w:p>
      <w:pPr>
        <w:ind w:left="960" w:right="20" w:hanging="480"/>
        <w:spacing w:after="0" w:line="256" w:lineRule="auto"/>
        <w:tabs>
          <w:tab w:leader="none" w:pos="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Times New Roman" w:cs="Times New Roman" w:eastAsia="Times New Roman" w:hAnsi="Times New Roman"/>
          <w:sz w:val="18"/>
          <w:szCs w:val="18"/>
          <w:color w:val="auto"/>
        </w:rPr>
      </w:pPr>
    </w:p>
    <w:p>
      <w:pPr>
        <w:jc w:val="both"/>
        <w:ind w:left="960" w:right="800" w:hanging="480"/>
        <w:spacing w:after="0" w:line="332" w:lineRule="auto"/>
        <w:tabs>
          <w:tab w:leader="none" w:pos="96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Times New Roman" w:cs="Times New Roman" w:eastAsia="Times New Roman" w:hAnsi="Times New Roman"/>
          <w:sz w:val="16"/>
          <w:szCs w:val="16"/>
          <w:color w:val="auto"/>
        </w:rPr>
      </w:pPr>
    </w:p>
    <w:p>
      <w:pPr>
        <w:ind w:left="960" w:right="40" w:hanging="480"/>
        <w:spacing w:after="0" w:line="256" w:lineRule="auto"/>
        <w:tabs>
          <w:tab w:leader="none" w:pos="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7" w:lineRule="exact"/>
        <w:rPr>
          <w:rFonts w:ascii="Times New Roman" w:cs="Times New Roman" w:eastAsia="Times New Roman" w:hAnsi="Times New Roman"/>
          <w:sz w:val="18"/>
          <w:szCs w:val="18"/>
          <w:color w:val="auto"/>
        </w:rPr>
      </w:pPr>
    </w:p>
    <w:p>
      <w:pPr>
        <w:ind w:left="480" w:right="440" w:hanging="475"/>
        <w:spacing w:after="0" w:line="269" w:lineRule="auto"/>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Times New Roman" w:cs="Times New Roman" w:eastAsia="Times New Roman" w:hAnsi="Times New Roman"/>
          <w:sz w:val="18"/>
          <w:szCs w:val="18"/>
          <w:color w:val="auto"/>
        </w:rPr>
      </w:pPr>
    </w:p>
    <w:p>
      <w:pPr>
        <w:ind w:left="960" w:right="220" w:hanging="480"/>
        <w:spacing w:after="0" w:line="269" w:lineRule="auto"/>
        <w:tabs>
          <w:tab w:leader="none" w:pos="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Times New Roman" w:cs="Times New Roman" w:eastAsia="Times New Roman" w:hAnsi="Times New Roman"/>
          <w:sz w:val="18"/>
          <w:szCs w:val="18"/>
          <w:color w:val="auto"/>
        </w:rPr>
      </w:pPr>
    </w:p>
    <w:p>
      <w:pPr>
        <w:ind w:left="960" w:right="180" w:hanging="480"/>
        <w:spacing w:after="0" w:line="269" w:lineRule="auto"/>
        <w:tabs>
          <w:tab w:leader="none" w:pos="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Date: May 16, 2022</w:t>
      </w:r>
      <w:r>
        <w:rPr>
          <w:sz w:val="20"/>
          <w:szCs w:val="20"/>
          <w:color w:val="auto"/>
        </w:rPr>
        <w:tab/>
      </w:r>
      <w:r>
        <w:rPr>
          <w:rFonts w:ascii="Times New Roman" w:cs="Times New Roman" w:eastAsia="Times New Roman" w:hAnsi="Times New Roman"/>
          <w:sz w:val="16"/>
          <w:szCs w:val="16"/>
          <w:color w:val="auto"/>
        </w:rPr>
        <w:t>/s/ Joel Lewis</w:t>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-127635</wp:posOffset>
            </wp:positionV>
            <wp:extent cx="320421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04210" cy="16510"/>
                    </a:xfrm>
                    <a:prstGeom prst="rect">
                      <a:avLst/>
                    </a:prstGeom>
                    <a:noFill/>
                  </pic:spPr>
                </pic:pic>
              </a:graphicData>
            </a:graphic>
          </wp:anchor>
        </w:drawing>
      </w:r>
    </w:p>
    <w:p>
      <w:pPr>
        <w:spacing w:after="0" w:line="1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Executive Officer and President</w:t>
      </w:r>
    </w:p>
    <w:p>
      <w:pPr>
        <w:spacing w:after="0" w:line="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135495"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5495" cy="336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5495" cy="33655"/>
                    </a:xfrm>
                    <a:prstGeom prst="rect">
                      <a:avLst/>
                    </a:prstGeom>
                    <a:noFill/>
                  </pic:spPr>
                </pic:pic>
              </a:graphicData>
            </a:graphic>
          </wp:anchor>
        </w:drawing>
        <w:t>Exhibit 31.2</w:t>
      </w:r>
    </w:p>
    <w:p>
      <w:pPr>
        <w:spacing w:after="0" w:line="233"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1"/>
          <w:szCs w:val="21"/>
          <w:b w:val="1"/>
          <w:bCs w:val="1"/>
          <w:color w:val="auto"/>
        </w:rPr>
        <w:t>Certification Pursuant to Rule 13a-14(a) of the Securities Exchange Act of 1934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Jack W. Callicutt, certify that:</w:t>
      </w:r>
    </w:p>
    <w:p>
      <w:pPr>
        <w:spacing w:after="0" w:line="242" w:lineRule="exact"/>
        <w:rPr>
          <w:sz w:val="20"/>
          <w:szCs w:val="20"/>
          <w:color w:val="auto"/>
        </w:rPr>
      </w:pPr>
    </w:p>
    <w:p>
      <w:pPr>
        <w:ind w:left="480" w:hanging="475"/>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Galectin Therapeutics Inc;</w:t>
      </w:r>
    </w:p>
    <w:p>
      <w:pPr>
        <w:spacing w:after="0" w:line="240" w:lineRule="exact"/>
        <w:rPr>
          <w:rFonts w:ascii="Times New Roman" w:cs="Times New Roman" w:eastAsia="Times New Roman" w:hAnsi="Times New Roman"/>
          <w:sz w:val="18"/>
          <w:szCs w:val="18"/>
          <w:color w:val="auto"/>
        </w:rPr>
      </w:pPr>
    </w:p>
    <w:p>
      <w:pPr>
        <w:ind w:left="480" w:right="60" w:hanging="475"/>
        <w:spacing w:after="0" w:line="332" w:lineRule="auto"/>
        <w:tabs>
          <w:tab w:leader="none" w:pos="4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Times New Roman" w:cs="Times New Roman" w:eastAsia="Times New Roman" w:hAnsi="Times New Roman"/>
          <w:sz w:val="16"/>
          <w:szCs w:val="16"/>
          <w:color w:val="auto"/>
        </w:rPr>
      </w:pPr>
    </w:p>
    <w:p>
      <w:pPr>
        <w:ind w:left="480" w:right="520" w:hanging="475"/>
        <w:spacing w:after="0" w:line="269"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Times New Roman" w:cs="Times New Roman" w:eastAsia="Times New Roman" w:hAnsi="Times New Roman"/>
          <w:sz w:val="18"/>
          <w:szCs w:val="18"/>
          <w:color w:val="auto"/>
        </w:rPr>
      </w:pPr>
    </w:p>
    <w:p>
      <w:pPr>
        <w:ind w:left="480" w:hanging="475"/>
        <w:spacing w:after="0" w:line="256"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7" w:lineRule="exact"/>
        <w:rPr>
          <w:rFonts w:ascii="Times New Roman" w:cs="Times New Roman" w:eastAsia="Times New Roman" w:hAnsi="Times New Roman"/>
          <w:sz w:val="18"/>
          <w:szCs w:val="18"/>
          <w:color w:val="auto"/>
        </w:rPr>
      </w:pPr>
    </w:p>
    <w:p>
      <w:pPr>
        <w:ind w:left="960" w:right="320" w:hanging="480"/>
        <w:spacing w:after="0" w:line="256" w:lineRule="auto"/>
        <w:tabs>
          <w:tab w:leader="none" w:pos="9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Times New Roman" w:cs="Times New Roman" w:eastAsia="Times New Roman" w:hAnsi="Times New Roman"/>
          <w:sz w:val="18"/>
          <w:szCs w:val="18"/>
          <w:color w:val="auto"/>
        </w:rPr>
      </w:pPr>
    </w:p>
    <w:p>
      <w:pPr>
        <w:ind w:left="960" w:right="20" w:hanging="480"/>
        <w:spacing w:after="0" w:line="256" w:lineRule="auto"/>
        <w:tabs>
          <w:tab w:leader="none" w:pos="9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Times New Roman" w:cs="Times New Roman" w:eastAsia="Times New Roman" w:hAnsi="Times New Roman"/>
          <w:sz w:val="18"/>
          <w:szCs w:val="18"/>
          <w:color w:val="auto"/>
        </w:rPr>
      </w:pPr>
    </w:p>
    <w:p>
      <w:pPr>
        <w:jc w:val="both"/>
        <w:ind w:left="960" w:right="800" w:hanging="480"/>
        <w:spacing w:after="0" w:line="332" w:lineRule="auto"/>
        <w:tabs>
          <w:tab w:leader="none" w:pos="96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Times New Roman" w:cs="Times New Roman" w:eastAsia="Times New Roman" w:hAnsi="Times New Roman"/>
          <w:sz w:val="16"/>
          <w:szCs w:val="16"/>
          <w:color w:val="auto"/>
        </w:rPr>
      </w:pPr>
    </w:p>
    <w:p>
      <w:pPr>
        <w:ind w:left="960" w:right="40" w:hanging="480"/>
        <w:spacing w:after="0" w:line="256" w:lineRule="auto"/>
        <w:tabs>
          <w:tab w:leader="none" w:pos="9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7" w:lineRule="exact"/>
        <w:rPr>
          <w:rFonts w:ascii="Times New Roman" w:cs="Times New Roman" w:eastAsia="Times New Roman" w:hAnsi="Times New Roman"/>
          <w:sz w:val="18"/>
          <w:szCs w:val="18"/>
          <w:color w:val="auto"/>
        </w:rPr>
      </w:pPr>
    </w:p>
    <w:p>
      <w:pPr>
        <w:ind w:left="480" w:right="440" w:hanging="475"/>
        <w:spacing w:after="0" w:line="269"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Times New Roman" w:cs="Times New Roman" w:eastAsia="Times New Roman" w:hAnsi="Times New Roman"/>
          <w:sz w:val="18"/>
          <w:szCs w:val="18"/>
          <w:color w:val="auto"/>
        </w:rPr>
      </w:pPr>
    </w:p>
    <w:p>
      <w:pPr>
        <w:ind w:left="960" w:right="220" w:hanging="480"/>
        <w:spacing w:after="0" w:line="269" w:lineRule="auto"/>
        <w:tabs>
          <w:tab w:leader="none" w:pos="9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Times New Roman" w:cs="Times New Roman" w:eastAsia="Times New Roman" w:hAnsi="Times New Roman"/>
          <w:sz w:val="18"/>
          <w:szCs w:val="18"/>
          <w:color w:val="auto"/>
        </w:rPr>
      </w:pPr>
    </w:p>
    <w:p>
      <w:pPr>
        <w:ind w:left="960" w:right="180" w:hanging="480"/>
        <w:spacing w:after="0" w:line="269" w:lineRule="auto"/>
        <w:tabs>
          <w:tab w:leader="none" w:pos="9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Date: May 16, 2022</w:t>
      </w:r>
      <w:r>
        <w:rPr>
          <w:sz w:val="20"/>
          <w:szCs w:val="20"/>
          <w:color w:val="auto"/>
        </w:rPr>
        <w:tab/>
      </w:r>
      <w:r>
        <w:rPr>
          <w:rFonts w:ascii="Times New Roman" w:cs="Times New Roman" w:eastAsia="Times New Roman" w:hAnsi="Times New Roman"/>
          <w:sz w:val="16"/>
          <w:szCs w:val="16"/>
          <w:color w:val="auto"/>
        </w:rPr>
        <w:t>/s/ Jack W. Callicutt</w:t>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-127635</wp:posOffset>
            </wp:positionV>
            <wp:extent cx="320421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04210" cy="16510"/>
                    </a:xfrm>
                    <a:prstGeom prst="rect">
                      <a:avLst/>
                    </a:prstGeom>
                    <a:noFill/>
                  </pic:spPr>
                </pic:pic>
              </a:graphicData>
            </a:graphic>
          </wp:anchor>
        </w:drawing>
      </w:r>
    </w:p>
    <w:p>
      <w:pPr>
        <w:spacing w:after="0" w:line="1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13549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5495" cy="336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5495" cy="33655"/>
                    </a:xfrm>
                    <a:prstGeom prst="rect">
                      <a:avLst/>
                    </a:prstGeom>
                    <a:noFill/>
                  </pic:spPr>
                </pic:pic>
              </a:graphicData>
            </a:graphic>
          </wp:anchor>
        </w:drawing>
        <w:t>Exhibit 32.1</w:t>
      </w:r>
    </w:p>
    <w:p>
      <w:pPr>
        <w:spacing w:after="0" w:line="23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1"/>
          <w:szCs w:val="21"/>
          <w:b w:val="1"/>
          <w:bCs w:val="1"/>
          <w:color w:val="auto"/>
        </w:rPr>
        <w:t>CERTIFICATION PURSUANT TO 18 U.S.C. SECTION 1350, AS ADOPTED</w:t>
      </w:r>
    </w:p>
    <w:p>
      <w:pPr>
        <w:spacing w:after="0" w:line="2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1"/>
          <w:szCs w:val="21"/>
          <w:b w:val="1"/>
          <w:bCs w:val="1"/>
          <w:color w:val="auto"/>
        </w:rPr>
        <w:t>PURSUANT TO SECTION 906 OF THE SARBANES-OXLEY ACT OF 2002</w:t>
      </w:r>
    </w:p>
    <w:p>
      <w:pPr>
        <w:spacing w:after="0" w:line="209" w:lineRule="exact"/>
        <w:rPr>
          <w:sz w:val="20"/>
          <w:szCs w:val="20"/>
          <w:color w:val="auto"/>
        </w:rPr>
      </w:pPr>
    </w:p>
    <w:p>
      <w:pPr>
        <w:ind w:right="80" w:firstLine="430"/>
        <w:spacing w:after="0" w:line="247" w:lineRule="auto"/>
        <w:rPr>
          <w:sz w:val="20"/>
          <w:szCs w:val="20"/>
          <w:color w:val="auto"/>
        </w:rPr>
      </w:pPr>
      <w:r>
        <w:rPr>
          <w:rFonts w:ascii="Times New Roman" w:cs="Times New Roman" w:eastAsia="Times New Roman" w:hAnsi="Times New Roman"/>
          <w:sz w:val="21"/>
          <w:szCs w:val="21"/>
          <w:color w:val="auto"/>
        </w:rPr>
        <w:t>In connection with the Quarterly Report of Galectin Therapeutics Inc. (the “Company”) on Form 10-Q for the period ended March 31, 2022 as filed with the Securities and Exchange Commission on the date hereof (the “Report”), I, Joel Lewis, Chief Executive Officer of the Company, certify, pursuant to 18 U.S.C. § 1350, as adopted pursuant to § 906 of the Sarbanes-Oxley Act of 2002, that, to my knowledge:</w:t>
      </w:r>
    </w:p>
    <w:p>
      <w:pPr>
        <w:spacing w:after="0" w:line="201" w:lineRule="exact"/>
        <w:rPr>
          <w:sz w:val="20"/>
          <w:szCs w:val="20"/>
          <w:color w:val="auto"/>
        </w:rPr>
      </w:pPr>
    </w:p>
    <w:p>
      <w:pPr>
        <w:ind w:left="960" w:hanging="42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0" w:lineRule="exact"/>
        <w:rPr>
          <w:rFonts w:ascii="Times New Roman" w:cs="Times New Roman" w:eastAsia="Times New Roman" w:hAnsi="Times New Roman"/>
          <w:sz w:val="18"/>
          <w:szCs w:val="18"/>
          <w:color w:val="auto"/>
        </w:rPr>
      </w:pPr>
    </w:p>
    <w:p>
      <w:pPr>
        <w:ind w:left="960" w:hanging="428"/>
        <w:spacing w:after="0"/>
        <w:tabs>
          <w:tab w:leader="none" w:pos="9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Date: May 16, 2022</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Joel Lewis</w:t>
            </w:r>
          </w:p>
        </w:tc>
      </w:tr>
      <w:tr>
        <w:trPr>
          <w:trHeight w:val="192"/>
        </w:trPr>
        <w:tc>
          <w:tcPr>
            <w:tcW w:w="6200" w:type="dxa"/>
            <w:vAlign w:val="bottom"/>
          </w:tcPr>
          <w:p>
            <w:pPr>
              <w:ind w:left="5640"/>
              <w:spacing w:after="0" w:line="193"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Joel Lewis</w:t>
            </w:r>
          </w:p>
        </w:tc>
      </w:tr>
      <w:tr>
        <w:trPr>
          <w:trHeight w:val="211"/>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28"/>
        </w:trPr>
        <w:tc>
          <w:tcPr>
            <w:tcW w:w="62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10" w:lineRule="exact"/>
        <w:rPr>
          <w:sz w:val="20"/>
          <w:szCs w:val="20"/>
          <w:color w:val="auto"/>
        </w:rPr>
      </w:pPr>
    </w:p>
    <w:p>
      <w:pPr>
        <w:ind w:right="100" w:firstLine="430"/>
        <w:spacing w:after="0" w:line="247" w:lineRule="auto"/>
        <w:rPr>
          <w:sz w:val="20"/>
          <w:szCs w:val="20"/>
          <w:color w:val="auto"/>
        </w:rPr>
      </w:pPr>
      <w:r>
        <w:rPr>
          <w:rFonts w:ascii="Times New Roman" w:cs="Times New Roman" w:eastAsia="Times New Roman" w:hAnsi="Times New Roman"/>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356235</wp:posOffset>
            </wp:positionV>
            <wp:extent cx="713549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5495" cy="336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5495" cy="33655"/>
                    </a:xfrm>
                    <a:prstGeom prst="rect">
                      <a:avLst/>
                    </a:prstGeom>
                    <a:noFill/>
                  </pic:spPr>
                </pic:pic>
              </a:graphicData>
            </a:graphic>
          </wp:anchor>
        </w:drawing>
        <w:t>Exhibit 32.2</w:t>
      </w:r>
    </w:p>
    <w:p>
      <w:pPr>
        <w:spacing w:after="0" w:line="23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1"/>
          <w:szCs w:val="21"/>
          <w:b w:val="1"/>
          <w:bCs w:val="1"/>
          <w:color w:val="auto"/>
        </w:rPr>
        <w:t>CERTIFICATION PURSUANT TO 18 U.S.C. SECTION 1350, AS ADOPTED</w:t>
      </w:r>
    </w:p>
    <w:p>
      <w:pPr>
        <w:spacing w:after="0" w:line="2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1"/>
          <w:szCs w:val="21"/>
          <w:b w:val="1"/>
          <w:bCs w:val="1"/>
          <w:color w:val="auto"/>
        </w:rPr>
        <w:t>PURSUANT TO SECTION 906 OF THE SARBANES-OXLEY ACT OF 2002</w:t>
      </w:r>
    </w:p>
    <w:p>
      <w:pPr>
        <w:spacing w:after="0" w:line="209" w:lineRule="exact"/>
        <w:rPr>
          <w:sz w:val="20"/>
          <w:szCs w:val="20"/>
          <w:color w:val="auto"/>
        </w:rPr>
      </w:pPr>
    </w:p>
    <w:p>
      <w:pPr>
        <w:ind w:right="120" w:firstLine="430"/>
        <w:spacing w:after="0" w:line="247" w:lineRule="auto"/>
        <w:rPr>
          <w:sz w:val="20"/>
          <w:szCs w:val="20"/>
          <w:color w:val="auto"/>
        </w:rPr>
      </w:pPr>
      <w:r>
        <w:rPr>
          <w:rFonts w:ascii="Times New Roman" w:cs="Times New Roman" w:eastAsia="Times New Roman" w:hAnsi="Times New Roman"/>
          <w:sz w:val="21"/>
          <w:szCs w:val="21"/>
          <w:color w:val="auto"/>
        </w:rPr>
        <w:t>In connection with the Quarterly Report of Galectin Therapeutics Inc. (the “Company”) on Form 10-Q for the period ended March 31, 2022 as filed with the Securities and Exchange Commission on the date hereof (the “Report”), I, Jack W. Callicutt, Chief Financial Officer of the Company, certify, pursuant to 18 U.S.C. § 1350, as adopted pursuant to § 906 of the Sarbanes-Oxley Act of 2002, that, to my knowledge:</w:t>
      </w:r>
    </w:p>
    <w:p>
      <w:pPr>
        <w:spacing w:after="0" w:line="201" w:lineRule="exact"/>
        <w:rPr>
          <w:sz w:val="20"/>
          <w:szCs w:val="20"/>
          <w:color w:val="auto"/>
        </w:rPr>
      </w:pPr>
    </w:p>
    <w:p>
      <w:pPr>
        <w:ind w:left="960" w:hanging="42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0" w:lineRule="exact"/>
        <w:rPr>
          <w:rFonts w:ascii="Times New Roman" w:cs="Times New Roman" w:eastAsia="Times New Roman" w:hAnsi="Times New Roman"/>
          <w:sz w:val="18"/>
          <w:szCs w:val="18"/>
          <w:color w:val="auto"/>
        </w:rPr>
      </w:pPr>
    </w:p>
    <w:p>
      <w:pPr>
        <w:ind w:left="960" w:hanging="428"/>
        <w:spacing w:after="0"/>
        <w:tabs>
          <w:tab w:leader="none" w:pos="9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Date: May 16, 2022</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Jack W. Callicutt</w:t>
            </w:r>
          </w:p>
        </w:tc>
      </w:tr>
      <w:tr>
        <w:trPr>
          <w:trHeight w:val="192"/>
        </w:trPr>
        <w:tc>
          <w:tcPr>
            <w:tcW w:w="6200" w:type="dxa"/>
            <w:vAlign w:val="bottom"/>
          </w:tcPr>
          <w:p>
            <w:pPr>
              <w:ind w:left="5640"/>
              <w:spacing w:after="0" w:line="193"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Jack W. Callicutt</w:t>
            </w:r>
          </w:p>
        </w:tc>
      </w:tr>
      <w:tr>
        <w:trPr>
          <w:trHeight w:val="211"/>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62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10" w:lineRule="exact"/>
        <w:rPr>
          <w:sz w:val="20"/>
          <w:szCs w:val="20"/>
          <w:color w:val="auto"/>
        </w:rPr>
      </w:pPr>
    </w:p>
    <w:p>
      <w:pPr>
        <w:ind w:right="100" w:firstLine="430"/>
        <w:spacing w:after="0" w:line="247" w:lineRule="auto"/>
        <w:rPr>
          <w:sz w:val="20"/>
          <w:szCs w:val="20"/>
          <w:color w:val="auto"/>
        </w:rPr>
      </w:pPr>
      <w:r>
        <w:rPr>
          <w:rFonts w:ascii="Times New Roman" w:cs="Times New Roman" w:eastAsia="Times New Roman" w:hAnsi="Times New Roman"/>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356235</wp:posOffset>
            </wp:positionV>
            <wp:extent cx="713549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2022-05-16T06:56:16Z</dcterms:created>
  <dcterms:modified xsi:type="dcterms:W3CDTF">2022-05-16T06:56:16Z</dcterms:modified>
</cp:coreProperties>
</file>