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04-3562325</w:t>
            </w:r>
          </w:p>
        </w:tc>
      </w:tr>
      <w:tr>
        <w:trPr>
          <w:trHeight w:val="148"/>
        </w:trPr>
        <w:tc>
          <w:tcPr>
            <w:tcW w:w="5940" w:type="dxa"/>
            <w:vAlign w:val="bottom"/>
          </w:tcPr>
          <w:p>
            <w:pPr>
              <w:jc w:val="center"/>
              <w:ind w:right="3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incorporation)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GALT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number of shares outstanding of the registrant’s common stock as of November 5, 2020 was 57,077,055.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43" w:right="439" w:bottom="29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9600" w:type="dxa"/>
            <w:vAlign w:val="bottom"/>
            <w:gridSpan w:val="3"/>
            <w:vMerge w:val="restart"/>
          </w:tcPr>
          <w:p>
            <w:pPr>
              <w:ind w:left="3140"/>
              <w:spacing w:after="0"/>
              <w:rPr>
                <w:sz w:val="20"/>
                <w:szCs w:val="20"/>
                <w:color w:val="auto"/>
              </w:rPr>
            </w:pPr>
            <w:r>
              <w:rPr>
                <w:rFonts w:ascii="Arial" w:cs="Arial" w:eastAsia="Arial" w:hAnsi="Arial"/>
                <w:sz w:val="18"/>
                <w:szCs w:val="18"/>
                <w:b w:val="1"/>
                <w:bCs w:val="1"/>
                <w:color w:val="auto"/>
              </w:rPr>
              <w:t>PART I — 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960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3"/>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00" w:type="dxa"/>
            <w:vAlign w:val="bottom"/>
            <w:gridSpan w:val="3"/>
          </w:tcPr>
          <w:p>
            <w:pP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Condensed Consolidated Statements of Operations for the Three and Nine Months Ended September 30,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0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948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Redeemable Convertible Preferred Stock and Stockholders’ Equity (Deficit) for</w:t>
              </w:r>
            </w:hyperlink>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6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the Three and Nine Months ended September 30, 2020 and 2019</w:t>
              </w:r>
            </w:hyperlink>
          </w:p>
        </w:tc>
        <w:tc>
          <w:tcPr>
            <w:tcW w:w="49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960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600" w:type="dxa"/>
            <w:vAlign w:val="bottom"/>
            <w:gridSpan w:val="3"/>
          </w:tcPr>
          <w:p>
            <w:pPr>
              <w:ind w:left="328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 OTHER INFORMATION</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60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47,480</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48,209</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48,467</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60" w:type="dxa"/>
            <w:vAlign w:val="bottom"/>
            <w:gridSpan w:val="2"/>
          </w:tcPr>
          <w:p>
            <w:pPr>
              <w:ind w:left="18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691</w:t>
            </w:r>
          </w:p>
        </w:tc>
        <w:tc>
          <w:tcPr>
            <w:tcW w:w="4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Accrued dividends payable</w:t>
            </w:r>
          </w:p>
        </w:tc>
        <w:tc>
          <w:tcPr>
            <w:tcW w:w="220" w:type="dxa"/>
            <w:vAlign w:val="bottom"/>
          </w:tcPr>
          <w:p>
            <w:pPr>
              <w:spacing w:after="0"/>
              <w:rPr>
                <w:sz w:val="19"/>
                <w:szCs w:val="19"/>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 stock; 1,000 shares authorized, 176 shares issued and</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outstanding at September 30, 2020 and December 31, 2019, redemption value: $8,520,000, liquidation value: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$1,760,000 at September 30, 2020</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Undesignated stock, $0.01 par value; 20,000,000 shares authorized, 20,000,000 designated at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September 30, 2020 and December 31, 2019, respectively</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5"/>
              </w:rPr>
              <w:t>Series A 12% convertible preferred stock; 1,742,500 shares authorized, 1,302,500 and 1,327,500 issued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ind w:left="900"/>
              <w:spacing w:after="0"/>
              <w:rPr>
                <w:sz w:val="20"/>
                <w:szCs w:val="20"/>
                <w:color w:val="auto"/>
              </w:rPr>
            </w:pPr>
            <w:r>
              <w:rPr>
                <w:rFonts w:ascii="Arial" w:cs="Arial" w:eastAsia="Arial" w:hAnsi="Arial"/>
                <w:sz w:val="18"/>
                <w:szCs w:val="18"/>
                <w:color w:val="auto"/>
              </w:rPr>
              <w:t>and outstanding at September 30, 2020 and December 31, 2019, respectively, liquidation value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ind w:left="900"/>
              <w:spacing w:after="0"/>
              <w:rPr>
                <w:sz w:val="20"/>
                <w:szCs w:val="20"/>
                <w:color w:val="auto"/>
              </w:rPr>
            </w:pPr>
            <w:r>
              <w:rPr>
                <w:rFonts w:ascii="Arial" w:cs="Arial" w:eastAsia="Arial" w:hAnsi="Arial"/>
                <w:sz w:val="18"/>
                <w:szCs w:val="18"/>
                <w:color w:val="auto"/>
              </w:rPr>
              <w:t>$1,302,500 at September 30, 2020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Common stock, $0.001 par value; 100,000,000 shares authorized at September 30, 2020 and</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6"/>
              </w:rPr>
              <w:t>December 31, 2019, 57,077,055 and 56,894,642 issued and outstanding at September 30, 2020 and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December 31, 2019, respectively</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660" w:type="dxa"/>
            <w:vAlign w:val="bottom"/>
            <w:gridSpan w:val="2"/>
          </w:tcPr>
          <w:p>
            <w:pPr>
              <w:ind w:left="7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261,316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259,673</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Retained deficit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(232,080)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(216,394)</w:t>
            </w:r>
          </w:p>
        </w:tc>
        <w:tc>
          <w:tcPr>
            <w:tcW w:w="0" w:type="dxa"/>
            <w:vAlign w:val="bottom"/>
          </w:tcPr>
          <w:p>
            <w:pPr>
              <w:spacing w:after="0"/>
              <w:rPr>
                <w:sz w:val="1"/>
                <w:szCs w:val="1"/>
                <w:color w:val="auto"/>
              </w:rPr>
            </w:pPr>
          </w:p>
        </w:tc>
      </w:tr>
      <w:tr>
        <w:trPr>
          <w:trHeight w:val="223"/>
        </w:trPr>
        <w:tc>
          <w:tcPr>
            <w:tcW w:w="866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29,819</w:t>
            </w:r>
          </w:p>
        </w:tc>
        <w:tc>
          <w:tcPr>
            <w:tcW w:w="4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34,049</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55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4,780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11,605</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30"/>
        </w:trPr>
        <w:tc>
          <w:tcPr>
            <w:tcW w:w="57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loss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(15,612)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(15,613)</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Warrant modification (Note 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(5,955)</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(15,685)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(14,977)</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34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57,013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Nine Months Ended</w:t>
      </w:r>
    </w:p>
    <w:p>
      <w:pPr>
        <w:jc w:val="center"/>
        <w:ind w:left="93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(8,157)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right to use lease asset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66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080"/>
              <w:spacing w:after="0"/>
              <w:rPr>
                <w:sz w:val="20"/>
                <w:szCs w:val="20"/>
                <w:color w:val="auto"/>
              </w:rPr>
            </w:pPr>
            <w:r>
              <w:rPr>
                <w:rFonts w:ascii="Arial" w:cs="Arial" w:eastAsia="Arial" w:hAnsi="Arial"/>
                <w:sz w:val="18"/>
                <w:szCs w:val="18"/>
                <w:color w:val="auto"/>
              </w:rPr>
              <w:t>Prepaid expenses and other assets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7660" w:type="dxa"/>
            <w:vAlign w:val="bottom"/>
          </w:tcPr>
          <w:p>
            <w:pPr>
              <w:ind w:left="1440"/>
              <w:spacing w:after="0"/>
              <w:rPr>
                <w:sz w:val="20"/>
                <w:szCs w:val="20"/>
                <w:color w:val="auto"/>
              </w:rPr>
            </w:pPr>
            <w:r>
              <w:rPr>
                <w:rFonts w:ascii="Arial" w:cs="Arial" w:eastAsia="Arial" w:hAnsi="Arial"/>
                <w:sz w:val="18"/>
                <w:szCs w:val="18"/>
                <w:color w:val="auto"/>
              </w:rPr>
              <w:t>Net cash from operating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(15,187)</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Net proceeds from issuance of common stock and warrants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49,567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preferred stock dividends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7660" w:type="dxa"/>
            <w:vAlign w:val="bottom"/>
          </w:tcPr>
          <w:p>
            <w:pPr>
              <w:ind w:left="720"/>
              <w:spacing w:after="0"/>
              <w:rPr>
                <w:sz w:val="20"/>
                <w:szCs w:val="20"/>
                <w:color w:val="auto"/>
              </w:rPr>
            </w:pPr>
            <w:r>
              <w:rPr>
                <w:rFonts w:ascii="Arial" w:cs="Arial" w:eastAsia="Arial" w:hAnsi="Arial"/>
                <w:sz w:val="18"/>
                <w:szCs w:val="18"/>
                <w:color w:val="auto"/>
              </w:rPr>
              <w:t>Net cash flows from financing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49,173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(14,924)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42,084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47,480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50,337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NONCASH FINANCING ACTIVITIES:</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preferred stock dividends in common stock</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Dividend Redeemable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5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54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6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$ 1,723</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5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480" w:type="dxa"/>
            <w:vAlign w:val="bottom"/>
            <w:vMerge w:val="restart"/>
          </w:tcPr>
          <w:p>
            <w:pPr>
              <w:jc w:val="right"/>
              <w:ind w:right="375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right="24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Three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35" w:lineRule="exact"/>
        <w:rPr>
          <w:sz w:val="20"/>
          <w:szCs w:val="20"/>
          <w:color w:val="auto"/>
        </w:rPr>
      </w:pPr>
    </w:p>
    <w:tbl>
      <w:tblPr>
        <w:tblLayout w:type="fixed"/>
        <w:tblInd w:w="2040" w:type="dxa"/>
        <w:tblCellMar>
          <w:top w:w="0" w:type="dxa"/>
          <w:left w:w="0" w:type="dxa"/>
          <w:bottom w:w="0" w:type="dxa"/>
          <w:right w:w="0" w:type="dxa"/>
        </w:tblCellMar>
      </w:tblPr>
      <w:tr>
        <w:trPr>
          <w:trHeight w:val="162"/>
        </w:trPr>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Series A 12%</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Series B-1 12%</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Series B-2 12%</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Series B-3 8%</w:t>
            </w: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Convertible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Convertible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Convertible</w:t>
            </w: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300" w:type="dxa"/>
            <w:vAlign w:val="bottom"/>
          </w:tcPr>
          <w:p>
            <w:pPr>
              <w:ind w:left="18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Number</w:t>
            </w: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Number</w:t>
            </w:r>
          </w:p>
        </w:tc>
        <w:tc>
          <w:tcPr>
            <w:tcW w:w="1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8"/>
              </w:rPr>
              <w:t>Number</w:t>
            </w:r>
          </w:p>
        </w:tc>
        <w:tc>
          <w:tcPr>
            <w:tcW w:w="1300" w:type="dxa"/>
            <w:vAlign w:val="bottom"/>
          </w:tcPr>
          <w:p>
            <w:pPr>
              <w:jc w:val="center"/>
              <w:ind w:right="548"/>
              <w:spacing w:after="0"/>
              <w:rPr>
                <w:sz w:val="20"/>
                <w:szCs w:val="20"/>
                <w:color w:val="auto"/>
              </w:rPr>
            </w:pPr>
            <w:r>
              <w:rPr>
                <w:rFonts w:ascii="Arial" w:cs="Arial" w:eastAsia="Arial" w:hAnsi="Arial"/>
                <w:sz w:val="14"/>
                <w:szCs w:val="14"/>
                <w:b w:val="1"/>
                <w:bCs w:val="1"/>
                <w:color w:val="auto"/>
                <w:w w:val="98"/>
              </w:rPr>
              <w:t>Number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72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of</w:t>
            </w:r>
          </w:p>
        </w:tc>
        <w:tc>
          <w:tcPr>
            <w:tcW w:w="1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of</w:t>
            </w:r>
          </w:p>
        </w:tc>
        <w:tc>
          <w:tcPr>
            <w:tcW w:w="1300" w:type="dxa"/>
            <w:vAlign w:val="bottom"/>
          </w:tcPr>
          <w:p>
            <w:pPr>
              <w:jc w:val="center"/>
              <w:ind w:right="548"/>
              <w:spacing w:after="0"/>
              <w:rPr>
                <w:sz w:val="20"/>
                <w:szCs w:val="20"/>
                <w:color w:val="auto"/>
              </w:rPr>
            </w:pPr>
            <w:r>
              <w:rPr>
                <w:rFonts w:ascii="Arial" w:cs="Arial" w:eastAsia="Arial" w:hAnsi="Arial"/>
                <w:sz w:val="14"/>
                <w:szCs w:val="14"/>
                <w:b w:val="1"/>
                <w:bCs w:val="1"/>
                <w:color w:val="auto"/>
                <w:w w:val="90"/>
              </w:rPr>
              <w:t>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Paid-In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Retained</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  Amount</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  Amount</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  Amount</w:t>
            </w: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Shares   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sectPr>
          <w:pgSz w:w="11900" w:h="16838" w:orient="portrait"/>
          <w:cols w:equalWidth="0" w:num="1">
            <w:col w:w="11080"/>
          </w:cols>
          <w:pgMar w:left="320" w:top="486" w:right="499" w:bottom="1440" w:gutter="0" w:footer="0" w:header="0"/>
        </w:sectPr>
      </w:pPr>
    </w:p>
    <w:tbl>
      <w:tblPr>
        <w:tblLayout w:type="fixed"/>
        <w:tblInd w:w="120" w:type="dxa"/>
        <w:tblCellMar>
          <w:top w:w="0" w:type="dxa"/>
          <w:left w:w="0" w:type="dxa"/>
          <w:bottom w:w="0" w:type="dxa"/>
          <w:right w:w="0" w:type="dxa"/>
        </w:tblCellMar>
      </w:tblPr>
      <w:tr>
        <w:trPr>
          <w:trHeight w:val="137"/>
        </w:trPr>
        <w:tc>
          <w:tcPr>
            <w:tcW w:w="1920" w:type="dxa"/>
            <w:vAlign w:val="bottom"/>
          </w:tcPr>
          <w:p>
            <w:pPr>
              <w:spacing w:after="0" w:line="137" w:lineRule="exact"/>
              <w:rPr>
                <w:sz w:val="20"/>
                <w:szCs w:val="20"/>
                <w:color w:val="auto"/>
              </w:rPr>
            </w:pPr>
            <w:r>
              <w:rPr>
                <w:rFonts w:ascii="Arial" w:cs="Arial" w:eastAsia="Arial" w:hAnsi="Arial"/>
                <w:sz w:val="14"/>
                <w:szCs w:val="14"/>
                <w:b w:val="1"/>
                <w:bCs w:val="1"/>
                <w:color w:val="auto"/>
              </w:rPr>
              <w:t>Balance at June 30, 2019</w:t>
            </w:r>
          </w:p>
        </w:tc>
        <w:tc>
          <w:tcPr>
            <w:tcW w:w="6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6"/>
              </w:rPr>
              <w:t>1,327,500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auto"/>
            </w:tcBorders>
          </w:tcPr>
          <w:p>
            <w:pPr>
              <w:jc w:val="right"/>
              <w:ind w:right="48"/>
              <w:spacing w:after="0" w:line="137"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537</w:t>
            </w:r>
          </w:p>
        </w:tc>
        <w:tc>
          <w:tcPr>
            <w:tcW w:w="160" w:type="dxa"/>
            <w:vAlign w:val="bottom"/>
          </w:tcPr>
          <w:p>
            <w:pPr>
              <w:spacing w:after="0"/>
              <w:rPr>
                <w:sz w:val="11"/>
                <w:szCs w:val="11"/>
                <w:color w:val="auto"/>
              </w:rPr>
            </w:pPr>
          </w:p>
        </w:tc>
        <w:tc>
          <w:tcPr>
            <w:tcW w:w="520" w:type="dxa"/>
            <w:vAlign w:val="bottom"/>
            <w:tcBorders>
              <w:top w:val="single" w:sz="8" w:color="auto"/>
            </w:tcBorders>
          </w:tcPr>
          <w:p>
            <w:pPr>
              <w:ind w:left="300"/>
              <w:spacing w:after="0" w:line="13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jc w:val="right"/>
              <w:ind w:right="28"/>
              <w:spacing w:after="0" w:line="137"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ind w:left="120"/>
              <w:spacing w:after="0" w:line="13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520" w:type="dxa"/>
            <w:vAlign w:val="bottom"/>
            <w:tcBorders>
              <w:top w:val="single" w:sz="8" w:color="auto"/>
            </w:tcBorders>
          </w:tcPr>
          <w:p>
            <w:pPr>
              <w:ind w:left="300"/>
              <w:spacing w:after="0" w:line="13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gridSpan w:val="2"/>
          </w:tcPr>
          <w:p>
            <w:pPr>
              <w:jc w:val="right"/>
              <w:ind w:right="49"/>
              <w:spacing w:after="0" w:line="137"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ind w:left="120"/>
              <w:spacing w:after="0" w:line="13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Series A 12% convertible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Series C super dividend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redeemable convertible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rPr>
                <w:sz w:val="20"/>
                <w:szCs w:val="20"/>
                <w:color w:val="auto"/>
              </w:rPr>
            </w:pPr>
            <w:r>
              <w:rPr>
                <w:rFonts w:ascii="Arial" w:cs="Arial" w:eastAsia="Arial" w:hAnsi="Arial"/>
                <w:sz w:val="14"/>
                <w:szCs w:val="14"/>
                <w:color w:val="auto"/>
              </w:rPr>
              <w:t>Net loss</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line="147" w:lineRule="exact"/>
              <w:rPr>
                <w:sz w:val="20"/>
                <w:szCs w:val="20"/>
                <w:color w:val="auto"/>
              </w:rPr>
            </w:pPr>
            <w:r>
              <w:rPr>
                <w:rFonts w:ascii="Arial" w:cs="Arial" w:eastAsia="Arial" w:hAnsi="Arial"/>
                <w:sz w:val="14"/>
                <w:szCs w:val="14"/>
                <w:b w:val="1"/>
                <w:bCs w:val="1"/>
                <w:color w:val="auto"/>
              </w:rPr>
              <w:t>Balance at September 30,</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1,327,500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537</w:t>
            </w:r>
          </w:p>
        </w:tc>
        <w:tc>
          <w:tcPr>
            <w:tcW w:w="58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2020</w:t>
            </w:r>
          </w:p>
        </w:tc>
        <w:tc>
          <w:tcPr>
            <w:tcW w:w="640" w:type="dxa"/>
            <w:vAlign w:val="bottom"/>
            <w:tcBorders>
              <w:top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920" w:type="dxa"/>
            <w:vAlign w:val="bottom"/>
            <w:vMerge w:val="continue"/>
          </w:tcPr>
          <w:p>
            <w:pPr>
              <w:spacing w:after="0"/>
              <w:rPr>
                <w:sz w:val="11"/>
                <w:szCs w:val="11"/>
                <w:color w:val="auto"/>
              </w:rPr>
            </w:pPr>
          </w:p>
        </w:tc>
        <w:tc>
          <w:tcPr>
            <w:tcW w:w="6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6"/>
              </w:rPr>
              <w:t>1,327,500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auto"/>
            </w:tcBorders>
          </w:tcPr>
          <w:p>
            <w:pPr>
              <w:jc w:val="right"/>
              <w:ind w:right="48"/>
              <w:spacing w:after="0" w:line="137"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537</w:t>
            </w:r>
          </w:p>
        </w:tc>
        <w:tc>
          <w:tcPr>
            <w:tcW w:w="160" w:type="dxa"/>
            <w:vAlign w:val="bottom"/>
          </w:tcPr>
          <w:p>
            <w:pPr>
              <w:spacing w:after="0"/>
              <w:rPr>
                <w:sz w:val="11"/>
                <w:szCs w:val="11"/>
                <w:color w:val="auto"/>
              </w:rPr>
            </w:pPr>
          </w:p>
        </w:tc>
        <w:tc>
          <w:tcPr>
            <w:tcW w:w="520" w:type="dxa"/>
            <w:vAlign w:val="bottom"/>
            <w:tcBorders>
              <w:top w:val="single" w:sz="8" w:color="auto"/>
            </w:tcBorders>
          </w:tcPr>
          <w:p>
            <w:pPr>
              <w:ind w:left="380"/>
              <w:spacing w:after="0" w:line="137" w:lineRule="exact"/>
              <w:rPr>
                <w:sz w:val="20"/>
                <w:szCs w:val="20"/>
                <w:color w:val="auto"/>
              </w:rPr>
            </w:pPr>
            <w:r>
              <w:rPr>
                <w:rFonts w:ascii="Arial" w:cs="Arial" w:eastAsia="Arial" w:hAnsi="Arial"/>
                <w:sz w:val="14"/>
                <w:szCs w:val="14"/>
                <w:b w:val="1"/>
                <w:bCs w:val="1"/>
                <w:color w:val="auto"/>
                <w:w w:val="85"/>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jc w:val="right"/>
              <w:ind w:right="28"/>
              <w:spacing w:after="0" w:line="137"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ind w:left="200"/>
              <w:spacing w:after="0" w:line="137" w:lineRule="exact"/>
              <w:rPr>
                <w:sz w:val="20"/>
                <w:szCs w:val="20"/>
                <w:color w:val="auto"/>
              </w:rPr>
            </w:pPr>
            <w:r>
              <w:rPr>
                <w:rFonts w:ascii="Arial" w:cs="Arial" w:eastAsia="Arial" w:hAnsi="Arial"/>
                <w:sz w:val="14"/>
                <w:szCs w:val="14"/>
                <w:b w:val="1"/>
                <w:bCs w:val="1"/>
                <w:color w:val="auto"/>
                <w:w w:val="85"/>
              </w:rPr>
              <w:t>—</w:t>
            </w:r>
          </w:p>
        </w:tc>
        <w:tc>
          <w:tcPr>
            <w:tcW w:w="100" w:type="dxa"/>
            <w:vAlign w:val="bottom"/>
          </w:tcPr>
          <w:p>
            <w:pPr>
              <w:spacing w:after="0"/>
              <w:rPr>
                <w:sz w:val="11"/>
                <w:szCs w:val="11"/>
                <w:color w:val="auto"/>
              </w:rPr>
            </w:pPr>
          </w:p>
        </w:tc>
        <w:tc>
          <w:tcPr>
            <w:tcW w:w="520" w:type="dxa"/>
            <w:vAlign w:val="bottom"/>
            <w:tcBorders>
              <w:top w:val="single" w:sz="8" w:color="auto"/>
            </w:tcBorders>
          </w:tcPr>
          <w:p>
            <w:pPr>
              <w:ind w:left="280"/>
              <w:spacing w:after="0" w:line="13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tcBorders>
          </w:tcPr>
          <w:p>
            <w:pPr>
              <w:ind w:left="100"/>
              <w:spacing w:after="0" w:line="13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Series A 12% convertible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Series C super dividend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redeemable convertible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Issuance of common stock for</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conversion of Series A 12%</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Convertible Preferred Stock</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140"/>
              <w:spacing w:after="0"/>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4"/>
                <w:szCs w:val="14"/>
                <w:color w:val="auto"/>
              </w:rPr>
              <w:t>Net loss</w:t>
            </w: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line="147" w:lineRule="exact"/>
              <w:rPr>
                <w:sz w:val="20"/>
                <w:szCs w:val="20"/>
                <w:color w:val="auto"/>
              </w:rPr>
            </w:pPr>
            <w:r>
              <w:rPr>
                <w:rFonts w:ascii="Arial" w:cs="Arial" w:eastAsia="Arial" w:hAnsi="Arial"/>
                <w:sz w:val="14"/>
                <w:szCs w:val="14"/>
                <w:b w:val="1"/>
                <w:bCs w:val="1"/>
                <w:color w:val="auto"/>
              </w:rPr>
              <w:t>Balance at September 30,</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1,302,500</w:t>
            </w:r>
          </w:p>
        </w:tc>
        <w:tc>
          <w:tcPr>
            <w:tcW w:w="100" w:type="dxa"/>
            <w:vAlign w:val="bottom"/>
          </w:tcPr>
          <w:p>
            <w:pPr>
              <w:spacing w:after="0"/>
              <w:rPr>
                <w:sz w:val="16"/>
                <w:szCs w:val="16"/>
                <w:color w:val="auto"/>
              </w:rPr>
            </w:pPr>
          </w:p>
        </w:tc>
        <w:tc>
          <w:tcPr>
            <w:tcW w:w="2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527</w:t>
            </w:r>
          </w:p>
        </w:tc>
        <w:tc>
          <w:tcPr>
            <w:tcW w:w="58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-2630805</wp:posOffset>
            </wp:positionV>
            <wp:extent cx="699516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-2219325</wp:posOffset>
            </wp:positionV>
            <wp:extent cx="699516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-1893570</wp:posOffset>
            </wp:positionV>
            <wp:extent cx="699516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-1550670</wp:posOffset>
            </wp:positionV>
            <wp:extent cx="699516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-1036320</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-590550</wp:posOffset>
            </wp:positionV>
            <wp:extent cx="699516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-231140</wp:posOffset>
            </wp:positionV>
            <wp:extent cx="699516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56,591,278</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257,678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 (208,373)</w:t>
            </w:r>
          </w:p>
        </w:tc>
        <w:tc>
          <w:tcPr>
            <w:tcW w:w="16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49,898</w:t>
            </w:r>
          </w:p>
        </w:tc>
        <w:tc>
          <w:tcPr>
            <w:tcW w:w="20" w:type="dxa"/>
            <w:vAlign w:val="bottom"/>
          </w:tcPr>
          <w:p>
            <w:pPr>
              <w:spacing w:after="0"/>
              <w:rPr>
                <w:sz w:val="16"/>
                <w:szCs w:val="16"/>
                <w:color w:val="auto"/>
              </w:rPr>
            </w:pPr>
          </w:p>
        </w:tc>
      </w:tr>
      <w:tr>
        <w:trPr>
          <w:trHeight w:val="295"/>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13,275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49</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24"/>
                <w:szCs w:val="24"/>
                <w:color w:val="auto"/>
              </w:rPr>
            </w:pPr>
          </w:p>
        </w:tc>
      </w:tr>
      <w:tr>
        <w:trPr>
          <w:trHeight w:val="466"/>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14,280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53</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4"/>
                <w:szCs w:val="24"/>
                <w:color w:val="auto"/>
              </w:rPr>
            </w:pPr>
          </w:p>
        </w:tc>
      </w:tr>
      <w:tr>
        <w:trPr>
          <w:trHeight w:val="182"/>
        </w:trPr>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40,026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163</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5"/>
                <w:szCs w:val="15"/>
                <w:color w:val="auto"/>
              </w:rPr>
            </w:pPr>
          </w:p>
        </w:tc>
      </w:tr>
      <w:tr>
        <w:trPr>
          <w:trHeight w:val="304"/>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414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414</w:t>
            </w:r>
          </w:p>
        </w:tc>
        <w:tc>
          <w:tcPr>
            <w:tcW w:w="20" w:type="dxa"/>
            <w:vAlign w:val="bottom"/>
          </w:tcPr>
          <w:p>
            <w:pPr>
              <w:spacing w:after="0"/>
              <w:rPr>
                <w:sz w:val="24"/>
                <w:szCs w:val="24"/>
                <w:color w:val="auto"/>
              </w:rPr>
            </w:pPr>
          </w:p>
        </w:tc>
      </w:tr>
      <w:tr>
        <w:trPr>
          <w:trHeight w:val="181"/>
        </w:trPr>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(2,784)</w:t>
            </w:r>
          </w:p>
        </w:tc>
        <w:tc>
          <w:tcPr>
            <w:tcW w:w="2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(2,784)</w:t>
            </w:r>
          </w:p>
        </w:tc>
      </w:tr>
      <w:tr>
        <w:trPr>
          <w:trHeight w:val="20"/>
        </w:trPr>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52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56,658,859</w:t>
            </w:r>
          </w:p>
        </w:tc>
        <w:tc>
          <w:tcPr>
            <w:tcW w:w="1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258,357</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 (211,191)</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47,759</w:t>
            </w:r>
          </w:p>
        </w:tc>
        <w:tc>
          <w:tcPr>
            <w:tcW w:w="20" w:type="dxa"/>
            <w:vAlign w:val="bottom"/>
          </w:tcPr>
          <w:p>
            <w:pPr>
              <w:spacing w:after="0"/>
              <w:rPr>
                <w:sz w:val="24"/>
                <w:szCs w:val="24"/>
                <w:color w:val="auto"/>
              </w:rPr>
            </w:pP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5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57,043,661</w:t>
            </w:r>
          </w:p>
        </w:tc>
        <w:tc>
          <w:tcPr>
            <w:tcW w:w="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260,820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0"/>
              </w:rPr>
              <w:t>$ (226,124)</w:t>
            </w:r>
          </w:p>
        </w:tc>
        <w:tc>
          <w:tcPr>
            <w:tcW w:w="1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35,289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5"/>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13,025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24"/>
                <w:szCs w:val="24"/>
                <w:color w:val="auto"/>
              </w:rPr>
            </w:pPr>
          </w:p>
        </w:tc>
      </w:tr>
      <w:tr>
        <w:trPr>
          <w:trHeight w:val="486"/>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15,816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4"/>
                <w:szCs w:val="24"/>
                <w:color w:val="auto"/>
              </w:rPr>
            </w:pPr>
          </w:p>
        </w:tc>
      </w:tr>
      <w:tr>
        <w:trPr>
          <w:trHeight w:val="702"/>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4,553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408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408</w:t>
            </w:r>
          </w:p>
        </w:tc>
        <w:tc>
          <w:tcPr>
            <w:tcW w:w="20" w:type="dxa"/>
            <w:vAlign w:val="bottom"/>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(5,943)</w:t>
            </w: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(5,943)</w:t>
            </w:r>
          </w:p>
        </w:tc>
      </w:tr>
      <w:tr>
        <w:trPr>
          <w:trHeight w:val="20"/>
        </w:trPr>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5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57,077,055</w:t>
            </w:r>
          </w:p>
        </w:tc>
        <w:tc>
          <w:tcPr>
            <w:tcW w:w="1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261,316</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 (232,080)</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29,819</w:t>
            </w:r>
          </w:p>
        </w:tc>
        <w:tc>
          <w:tcPr>
            <w:tcW w:w="20" w:type="dxa"/>
            <w:vAlign w:val="bottom"/>
          </w:tcPr>
          <w:p>
            <w:pPr>
              <w:spacing w:after="0"/>
              <w:rPr>
                <w:sz w:val="24"/>
                <w:szCs w:val="24"/>
                <w:color w:val="auto"/>
              </w:rPr>
            </w:pP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80" w:space="100"/>
            <w:col w:w="5100"/>
          </w:cols>
          <w:pgMar w:left="320" w:top="486" w:right="499" w:bottom="1440" w:gutter="0" w:footer="0" w:header="0"/>
          <w:type w:val="continuous"/>
        </w:sectPr>
      </w:pPr>
    </w:p>
    <w:p>
      <w:pPr>
        <w:spacing w:after="0" w:line="69"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80"/>
          </w:cols>
          <w:pgMar w:left="320" w:top="486"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0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3"/>
              </w:rPr>
              <w:t>Series A 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Series B-1 12%</w:t>
            </w: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Series B-2 12%</w:t>
            </w: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Series B-3 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6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5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7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3"/>
            <w:vMerge w:val="continue"/>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gridSpan w:val="3"/>
            <w:vMerge w:val="continue"/>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3"/>
            <w:vMerge w:val="continue"/>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88"/>
        </w:trPr>
        <w:tc>
          <w:tcPr>
            <w:tcW w:w="13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 at</w:t>
            </w:r>
          </w:p>
        </w:tc>
        <w:tc>
          <w:tcPr>
            <w:tcW w:w="6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b w:val="1"/>
                <w:bCs w:val="1"/>
                <w:color w:val="auto"/>
              </w:rPr>
              <w:t>December 31,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1,327,500</w:t>
            </w:r>
          </w:p>
        </w:tc>
        <w:tc>
          <w:tcPr>
            <w:tcW w:w="14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85"/>
              </w:rPr>
              <w:t>537</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900,000</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6"/>
              </w:rPr>
              <w:t>1,761</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2,100,000</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1"/>
              </w:rPr>
              <w:t>3,697</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2,508,000</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1"/>
              </w:rPr>
              <w:t>1,224</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41,190,905</w:t>
            </w:r>
          </w:p>
        </w:tc>
        <w:tc>
          <w:tcPr>
            <w:tcW w:w="3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9"/>
              </w:rPr>
              <w:t>41</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194,130</w:t>
            </w: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7"/>
              </w:rPr>
              <w:t>$ (196,215)</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5,175</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Series A 12%</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13,275</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49</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Series B-1 12%</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Series B-2 12%</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Series B-3 8%</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Series C super</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14,280</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53</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common</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4"/>
              </w:rPr>
              <w:t>10,923,420</w:t>
            </w:r>
          </w:p>
        </w:tc>
        <w:tc>
          <w:tcPr>
            <w:tcW w:w="36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46,907</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46,917</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Conversion of Series</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B Convertible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Preferred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1"/>
                <w:szCs w:val="1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4"/>
              </w:rPr>
              <w:t>(1,761)</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7"/>
              </w:rPr>
              <w:t>(2,100,000)</w:t>
            </w:r>
          </w:p>
        </w:tc>
        <w:tc>
          <w:tcPr>
            <w:tcW w:w="120" w:type="dxa"/>
            <w:vAlign w:val="bottom"/>
          </w:tcPr>
          <w:p>
            <w:pPr>
              <w:spacing w:after="0"/>
              <w:rPr>
                <w:sz w:val="11"/>
                <w:szCs w:val="11"/>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(3,697)</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7"/>
              </w:rPr>
              <w:t>(2,508,000)</w:t>
            </w:r>
          </w:p>
        </w:tc>
        <w:tc>
          <w:tcPr>
            <w:tcW w:w="120" w:type="dxa"/>
            <w:vAlign w:val="bottom"/>
          </w:tcPr>
          <w:p>
            <w:pPr>
              <w:spacing w:after="0"/>
              <w:rPr>
                <w:sz w:val="11"/>
                <w:szCs w:val="1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4"/>
              </w:rPr>
              <w:t>(1,224)</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3,789,346</w:t>
            </w:r>
          </w:p>
        </w:tc>
        <w:tc>
          <w:tcPr>
            <w:tcW w:w="360" w:type="dxa"/>
            <w:vAlign w:val="bottom"/>
          </w:tcPr>
          <w:p>
            <w:pPr>
              <w:spacing w:after="0"/>
              <w:rPr>
                <w:sz w:val="11"/>
                <w:szCs w:val="11"/>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6,678</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common</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common</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stock for exercise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of warrants and</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727,633</w:t>
            </w:r>
          </w:p>
        </w:tc>
        <w:tc>
          <w:tcPr>
            <w:tcW w:w="36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2,649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Warrant modification</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6,622</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(6,622)</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(Note 9)</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Stock-based</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compensation</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1,269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4"/>
                <w:szCs w:val="14"/>
                <w:color w:val="auto"/>
              </w:rPr>
              <w:t>(8,157)</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(8,157)</w:t>
            </w: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1,327,500</w:t>
            </w:r>
          </w:p>
        </w:tc>
        <w:tc>
          <w:tcPr>
            <w:tcW w:w="14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85"/>
              </w:rPr>
              <w:t>537</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56,658,859</w:t>
            </w:r>
          </w:p>
        </w:tc>
        <w:tc>
          <w:tcPr>
            <w:tcW w:w="3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9"/>
              </w:rPr>
              <w:t>56</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258,357</w:t>
            </w: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7"/>
              </w:rPr>
              <w:t>$ (211,191)</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47,759</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Balance at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December 31,</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1,327,500</w:t>
            </w:r>
          </w:p>
        </w:tc>
        <w:tc>
          <w:tcPr>
            <w:tcW w:w="14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537</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56,894,642</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56</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259,673</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7"/>
              </w:rPr>
              <w:t>$ (216,394)</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43,872</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Series A 12%</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26,300</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Series C super</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33,416</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76</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common</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14,452</w:t>
            </w: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Issuance of common</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stock for</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conversion of</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Series A 12%</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Convertible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(25,000)</w:t>
            </w:r>
          </w:p>
        </w:tc>
        <w:tc>
          <w:tcPr>
            <w:tcW w:w="30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6"/>
              </w:rPr>
              <w:t>(10)</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4,553</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common</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stock for exercise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of warrants and</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84,624</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219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line="108" w:lineRule="exact"/>
              <w:rPr>
                <w:sz w:val="20"/>
                <w:szCs w:val="20"/>
                <w:color w:val="auto"/>
              </w:rPr>
            </w:pPr>
            <w:r>
              <w:rPr>
                <w:rFonts w:ascii="Arial" w:cs="Arial" w:eastAsia="Arial" w:hAnsi="Arial"/>
                <w:sz w:val="12"/>
                <w:szCs w:val="12"/>
                <w:color w:val="auto"/>
              </w:rPr>
              <w:t>Stock-based</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compensation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19,068</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1,232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(15,613)</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(15,613)</w:t>
            </w:r>
          </w:p>
        </w:tc>
        <w:tc>
          <w:tcPr>
            <w:tcW w:w="0" w:type="dxa"/>
            <w:vAlign w:val="bottom"/>
          </w:tcPr>
          <w:p>
            <w:pPr>
              <w:spacing w:after="0"/>
              <w:rPr>
                <w:sz w:val="1"/>
                <w:szCs w:val="1"/>
                <w:color w:val="auto"/>
              </w:rPr>
            </w:pPr>
          </w:p>
        </w:tc>
      </w:tr>
      <w:tr>
        <w:trPr>
          <w:trHeight w:val="115"/>
        </w:trPr>
        <w:tc>
          <w:tcPr>
            <w:tcW w:w="1340" w:type="dxa"/>
            <w:vAlign w:val="bottom"/>
          </w:tcPr>
          <w:p>
            <w:pPr>
              <w:spacing w:after="0" w:line="115" w:lineRule="exact"/>
              <w:rPr>
                <w:sz w:val="20"/>
                <w:szCs w:val="20"/>
                <w:color w:val="auto"/>
              </w:rPr>
            </w:pPr>
            <w:r>
              <w:rPr>
                <w:rFonts w:ascii="Arial" w:cs="Arial" w:eastAsia="Arial" w:hAnsi="Arial"/>
                <w:sz w:val="13"/>
                <w:szCs w:val="13"/>
                <w:b w:val="1"/>
                <w:bCs w:val="1"/>
                <w:color w:val="auto"/>
              </w:rPr>
              <w:t>Balance at</w:t>
            </w: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1,302,500</w:t>
            </w:r>
          </w:p>
        </w:tc>
        <w:tc>
          <w:tcPr>
            <w:tcW w:w="14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527</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9"/>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57,077,055</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56</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261,316</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7"/>
              </w:rPr>
              <w:t>$ (232,080)</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29,819</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86"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2020 and the results of its operations for the three and nine months ended September 30, 2020 and 2019 and its cash flows for the nine months ended September 30, 2020 and 2019. All adjustments made to the interim financial statements include all those of a normal and recurring nature. Amounts presented in the condensed consolidated balance sheet as of December 31, 2019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2019.</w:t>
      </w:r>
    </w:p>
    <w:p>
      <w:pPr>
        <w:spacing w:after="0" w:line="182" w:lineRule="exact"/>
        <w:rPr>
          <w:sz w:val="20"/>
          <w:szCs w:val="20"/>
          <w:color w:val="auto"/>
        </w:rPr>
      </w:pPr>
    </w:p>
    <w:p>
      <w:pPr>
        <w:ind w:left="120" w:right="580" w:firstLine="440"/>
        <w:spacing w:after="0" w:line="291" w:lineRule="auto"/>
        <w:rPr>
          <w:sz w:val="20"/>
          <w:szCs w:val="20"/>
          <w:color w:val="auto"/>
        </w:rPr>
      </w:pPr>
      <w:r>
        <w:rPr>
          <w:rFonts w:ascii="Arial" w:cs="Arial" w:eastAsia="Arial" w:hAnsi="Arial"/>
          <w:sz w:val="16"/>
          <w:szCs w:val="16"/>
          <w:color w:val="auto"/>
        </w:rPr>
        <w:t>The Company has operated at a loss since its inception and has had no revenues. The Company anticipates that losses will continue for the foreseeable future. At September 30, 2020, the Company had $32,556,000 of unrestricted cash and cash equivalents available to fund</w:t>
      </w:r>
    </w:p>
    <w:p>
      <w:pPr>
        <w:ind w:left="120"/>
        <w:spacing w:after="0" w:line="268" w:lineRule="auto"/>
        <w:rPr>
          <w:sz w:val="20"/>
          <w:szCs w:val="20"/>
          <w:color w:val="auto"/>
        </w:rPr>
      </w:pPr>
      <w:r>
        <w:rPr>
          <w:rFonts w:ascii="Arial" w:cs="Arial" w:eastAsia="Arial" w:hAnsi="Arial"/>
          <w:sz w:val="17"/>
          <w:szCs w:val="17"/>
          <w:color w:val="auto"/>
        </w:rPr>
        <w:t>future operations. The Company believes there is sufficient cash, including availability of the $10 million line of credit (see Note 3), to fund currently planned operations at least through December 31, 2021. We will require more cash to fund our operations after December 31, 2021 and believe we will be able to obtain additional financing. The currently planned operations include costs related to our adaptively designed NASH-RX Phase 2b/3 clinical trial. Currently, we expect to require an additional approximately $40 million to cover costs of the trial to reach the planned interim analysis estimated to occur in the second quarter of 2023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December 31, 2021,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18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Accrued Expenses and Other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September 30,</w:t>
            </w:r>
          </w:p>
        </w:tc>
        <w:tc>
          <w:tcPr>
            <w:tcW w:w="940" w:type="dxa"/>
            <w:vAlign w:val="bottom"/>
            <w:gridSpan w:val="3"/>
          </w:tcPr>
          <w:p>
            <w:pPr>
              <w:ind w:left="40"/>
              <w:spacing w:after="0"/>
              <w:rPr>
                <w:sz w:val="20"/>
                <w:szCs w:val="20"/>
                <w:color w:val="auto"/>
              </w:rPr>
            </w:pPr>
            <w:r>
              <w:rPr>
                <w:rFonts w:ascii="Arial" w:cs="Arial" w:eastAsia="Arial" w:hAnsi="Arial"/>
                <w:sz w:val="14"/>
                <w:szCs w:val="14"/>
                <w:color w:val="auto"/>
              </w:rPr>
              <w:t>December 31,</w:t>
            </w:r>
          </w:p>
        </w:tc>
      </w:tr>
      <w:tr>
        <w:trPr>
          <w:trHeight w:val="167"/>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right"/>
              <w:ind w:right="16"/>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Accrued clinical trial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Lease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Research and development expenses, including personnel costs, allocated facility costs, lab supplies, outside services, contract laboratory costs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NASH-RX clinical trial is being supported by third-party contract research organizations, or CROs, and other vendors. We accrue expenses for clinical trial activities performed by CROs based upon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shareholder. Originally, borrowings may be made by the Company through December 31, 2018. Borrowings bear interest at the Applicable Federal Rate for short term loans published by the Internal Revenue Service (1.6% in December 2019). All borrowings and interest were originally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to date.</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9),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nine months ended September 30, 2020 and 2019 of $65,000 and $65,000,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7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1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3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270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1,025</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408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1,269</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2019 through September 30, 2020:</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2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3,000,256</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Granted</w:t>
            </w:r>
          </w:p>
        </w:tc>
        <w:tc>
          <w:tcPr>
            <w:tcW w:w="4000" w:type="dxa"/>
            <w:vAlign w:val="bottom"/>
            <w:gridSpan w:val="3"/>
          </w:tcPr>
          <w:p>
            <w:pPr>
              <w:jc w:val="right"/>
              <w:ind w:right="620"/>
              <w:spacing w:after="0"/>
              <w:rPr>
                <w:sz w:val="20"/>
                <w:szCs w:val="20"/>
                <w:color w:val="auto"/>
              </w:rPr>
            </w:pPr>
            <w:r>
              <w:rPr>
                <w:rFonts w:ascii="Arial" w:cs="Arial" w:eastAsia="Arial" w:hAnsi="Arial"/>
                <w:sz w:val="18"/>
                <w:szCs w:val="18"/>
                <w:color w:val="auto"/>
              </w:rPr>
              <w:t>1,095,000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4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(84,624)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Options forfeited/cancelled</w:t>
            </w:r>
          </w:p>
        </w:tc>
        <w:tc>
          <w:tcPr>
            <w:tcW w:w="2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(23,057)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2020</w:t>
            </w:r>
          </w:p>
        </w:tc>
        <w:tc>
          <w:tcPr>
            <w:tcW w:w="2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3,987,575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600" w:type="dxa"/>
            <w:vAlign w:val="bottom"/>
            <w:vMerge w:val="restart"/>
          </w:tcPr>
          <w:p>
            <w:pPr>
              <w:jc w:val="right"/>
              <w:ind w:right="1490"/>
              <w:spacing w:after="0"/>
              <w:rPr>
                <w:sz w:val="20"/>
                <w:szCs w:val="20"/>
                <w:color w:val="auto"/>
              </w:rPr>
            </w:pPr>
            <w:r>
              <w:rPr>
                <w:rFonts w:ascii="Arial" w:cs="Arial" w:eastAsia="Arial" w:hAnsi="Arial"/>
                <w:sz w:val="18"/>
                <w:szCs w:val="18"/>
                <w:color w:val="auto"/>
              </w:rPr>
              <w:t>10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 of September 30, 2020, there was $1,463,000 of unrecognized compensation related to 1,095,000 unvested options, which is expected to be recognized over a weighted–average period of approximately 2.39 years. The weighted-average grant date fair value for options granted during the nine months ended September 30, 2020 was $1.92. The Company granted 1,095,000 stock options during the nine months ended September 30, 2020.</w:t>
      </w:r>
    </w:p>
    <w:p>
      <w:pPr>
        <w:spacing w:after="0" w:line="14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40" w:type="dxa"/>
            <w:vAlign w:val="bottom"/>
            <w:gridSpan w:val="2"/>
          </w:tcPr>
          <w:p>
            <w:pPr>
              <w:jc w:val="center"/>
              <w:ind w:right="880"/>
              <w:spacing w:after="0"/>
              <w:rPr>
                <w:sz w:val="20"/>
                <w:szCs w:val="20"/>
                <w:color w:val="auto"/>
              </w:rPr>
            </w:pPr>
            <w:r>
              <w:rPr>
                <w:rFonts w:ascii="Arial" w:cs="Arial" w:eastAsia="Arial" w:hAnsi="Arial"/>
                <w:sz w:val="14"/>
                <w:szCs w:val="14"/>
                <w:color w:val="auto"/>
                <w:w w:val="94"/>
              </w:rPr>
              <w:t>Nine Months Ended</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4960" w:type="dxa"/>
            <w:vAlign w:val="bottom"/>
          </w:tcPr>
          <w:p>
            <w:pPr>
              <w:spacing w:after="0"/>
              <w:rPr>
                <w:sz w:val="14"/>
                <w:szCs w:val="14"/>
                <w:color w:val="auto"/>
              </w:rPr>
            </w:pPr>
          </w:p>
        </w:tc>
        <w:tc>
          <w:tcPr>
            <w:tcW w:w="2040" w:type="dxa"/>
            <w:vAlign w:val="bottom"/>
            <w:gridSpan w:val="2"/>
          </w:tcPr>
          <w:p>
            <w:pPr>
              <w:jc w:val="center"/>
              <w:ind w:right="900"/>
              <w:spacing w:after="0"/>
              <w:rPr>
                <w:sz w:val="20"/>
                <w:szCs w:val="20"/>
                <w:color w:val="auto"/>
              </w:rPr>
            </w:pPr>
            <w:r>
              <w:rPr>
                <w:rFonts w:ascii="Arial" w:cs="Arial" w:eastAsia="Arial" w:hAnsi="Arial"/>
                <w:sz w:val="14"/>
                <w:szCs w:val="14"/>
                <w:color w:val="auto"/>
                <w:w w:val="89"/>
              </w:rPr>
              <w:t>September 30,</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September 30,</w:t>
            </w:r>
          </w:p>
        </w:tc>
      </w:tr>
      <w:tr>
        <w:trPr>
          <w:trHeight w:val="142"/>
        </w:trPr>
        <w:tc>
          <w:tcPr>
            <w:tcW w:w="49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88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6 years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2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0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In January 2019, two directors elected to take restricted stock grants in lieu of cash retainers for 2019. A total of 19,068 shares of restricted stock valued at approximately $90,000 was amortized to expense on a straight-line basis until January 16, 2020 when the stock vested in full.</w:t>
      </w:r>
    </w:p>
    <w:p>
      <w:pPr>
        <w:spacing w:after="0" w:line="12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In January 2020, two directors elected to take restricted stock grants in lieu of cash retainers for 2020. A total of 32,693 shares of restricted stock valued at approximately $93,500 is being amortized to expense on a straight-line basis until January 9, 2021 when the stock vests in full.</w:t>
      </w:r>
    </w:p>
    <w:p>
      <w:pPr>
        <w:spacing w:after="0" w:line="124" w:lineRule="exact"/>
        <w:rPr>
          <w:sz w:val="20"/>
          <w:szCs w:val="20"/>
          <w:color w:val="auto"/>
        </w:rPr>
      </w:pPr>
    </w:p>
    <w:p>
      <w:pPr>
        <w:jc w:val="both"/>
        <w:ind w:left="120" w:right="220" w:firstLine="440"/>
        <w:spacing w:after="0" w:line="287" w:lineRule="auto"/>
        <w:rPr>
          <w:sz w:val="20"/>
          <w:szCs w:val="20"/>
          <w:color w:val="auto"/>
        </w:rPr>
      </w:pPr>
      <w:r>
        <w:rPr>
          <w:rFonts w:ascii="Arial" w:cs="Arial" w:eastAsia="Arial" w:hAnsi="Arial"/>
          <w:sz w:val="16"/>
          <w:szCs w:val="16"/>
          <w:color w:val="auto"/>
        </w:rPr>
        <w:t>In August 2020, in connection with our appointment of Joel Lewis as Chief Executive Officer, we entered into an employment agreement, (the “Employment Agreement”) and a deferred stock unit agreement (the “DSU Agreement”) with Mr. Lewis. The Employment Agreement has an initial term of two years and automatically renews for additional one-year terms thereafter, unless either Mr. Lewis or the Company elects not to renew.</w:t>
      </w:r>
    </w:p>
    <w:p>
      <w:pPr>
        <w:spacing w:after="0" w:line="2"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Mr. Lewis will be paid an annual base salary of $500,000. Under the terms of the Employment Agreement, 20% of his base salary will be paid in cash, and 80% will be paid in the form of deferred-stock-units (“DSUs”) in accordance with the terms and subject to the provisions set forth in the DSU Agreement. Compensation earned to be paid in DSU’s is accrued as a liability in the financial statements. This liability will be settled by issuance of common stock in an accordance with the DSU Agreement. In addition, Mr. Lewis is entitled to participate in our performance bonus plan with a potential of up to 50% of his annual base salary, which will also be paid 20% in cash and 80% in DSUs. Further, Mr. Lewis received on the date of the agreement an initial grant of options to purchase 250,000 shares of our common stock, which options shall vest one-twelfth on a quarterly basis for twelve consecutive quarters, such that the options shall be fully vested twelve quarters following the date of grant.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Common Stock Warrants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common stock warrant activity from December 31, 2019 through September 30, 2020:</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Weighted Average</w:t>
            </w:r>
          </w:p>
        </w:tc>
      </w:tr>
      <w:tr>
        <w:trPr>
          <w:trHeight w:val="167"/>
        </w:trPr>
        <w:tc>
          <w:tcPr>
            <w:tcW w:w="5420" w:type="dxa"/>
            <w:vAlign w:val="bottom"/>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Exercise Price</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12,538,204</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2020</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12,538,204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r>
      <w:tr>
        <w:trPr>
          <w:trHeight w:val="20"/>
        </w:trPr>
        <w:tc>
          <w:tcPr>
            <w:tcW w:w="5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expiration of the warrants outstanding as of September 30, 2020 is 3.7 years.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September 30, 2020 or December 31, 2019.</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86"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 Dilutive shares which could exist pursuant to the exercise of outstanding stock instruments and which were not included in the calculation because their affect would have been anti-dilutive are as follows:</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760" w:type="dxa"/>
            <w:vAlign w:val="bottom"/>
            <w:gridSpan w:val="3"/>
          </w:tcPr>
          <w:p>
            <w:pPr>
              <w:jc w:val="center"/>
              <w:ind w:right="600"/>
              <w:spacing w:after="0"/>
              <w:rPr>
                <w:sz w:val="20"/>
                <w:szCs w:val="20"/>
                <w:color w:val="auto"/>
              </w:rPr>
            </w:pPr>
            <w:r>
              <w:rPr>
                <w:rFonts w:ascii="Arial" w:cs="Arial" w:eastAsia="Arial" w:hAnsi="Arial"/>
                <w:sz w:val="14"/>
                <w:szCs w:val="14"/>
                <w:color w:val="auto"/>
                <w:w w:val="91"/>
              </w:rPr>
              <w:t>September 30, 2020</w:t>
            </w:r>
          </w:p>
        </w:tc>
        <w:tc>
          <w:tcPr>
            <w:tcW w:w="120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September 30, 2019</w:t>
            </w:r>
          </w:p>
        </w:tc>
      </w:tr>
      <w:tr>
        <w:trPr>
          <w:trHeight w:val="167"/>
        </w:trPr>
        <w:tc>
          <w:tcPr>
            <w:tcW w:w="5400" w:type="dxa"/>
            <w:vAlign w:val="bottom"/>
          </w:tcPr>
          <w:p>
            <w:pPr>
              <w:spacing w:after="0"/>
              <w:rPr>
                <w:sz w:val="14"/>
                <w:szCs w:val="14"/>
                <w:color w:val="auto"/>
              </w:rPr>
            </w:pPr>
          </w:p>
        </w:tc>
        <w:tc>
          <w:tcPr>
            <w:tcW w:w="1760" w:type="dxa"/>
            <w:vAlign w:val="bottom"/>
            <w:gridSpan w:val="3"/>
          </w:tcPr>
          <w:p>
            <w:pPr>
              <w:jc w:val="center"/>
              <w:ind w:right="600"/>
              <w:spacing w:after="0"/>
              <w:rPr>
                <w:sz w:val="20"/>
                <w:szCs w:val="20"/>
                <w:color w:val="auto"/>
              </w:rPr>
            </w:pPr>
            <w:r>
              <w:rPr>
                <w:rFonts w:ascii="Arial" w:cs="Arial" w:eastAsia="Arial" w:hAnsi="Arial"/>
                <w:sz w:val="14"/>
                <w:szCs w:val="14"/>
                <w:color w:val="auto"/>
                <w:w w:val="85"/>
              </w:rPr>
              <w:t>(shares)</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12,538,204</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12,540,679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3,987,575</w:t>
            </w:r>
          </w:p>
        </w:tc>
        <w:tc>
          <w:tcPr>
            <w:tcW w:w="5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3,062,338</w:t>
            </w: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issuable upon conversion of preferred</w:t>
            </w: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510,424</w:t>
            </w:r>
          </w:p>
        </w:tc>
        <w:tc>
          <w:tcPr>
            <w:tcW w:w="5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514,602</w:t>
            </w:r>
          </w:p>
        </w:tc>
      </w:tr>
      <w:tr>
        <w:trPr>
          <w:trHeight w:val="223"/>
        </w:trPr>
        <w:tc>
          <w:tcPr>
            <w:tcW w:w="5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17,036,203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16,117,619</w:t>
            </w:r>
          </w:p>
        </w:tc>
        <w:tc>
          <w:tcPr>
            <w:tcW w:w="4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In June, 2020, the Company issued 14,452 shares of its common stock under the 2020 At Market Agreement for net proceeds of approximately $44,000.</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nine months ended September 30, 2019, the Company issued 395,233 shares of its common stock under the 2017 At Market Agreement for net proceeds of approximately $1,865,000. There were no issuances of common stock under the 2017 At Market Agreement in 2020, and the 2017 At Market Agreement was terminated in May 2020.</w:t>
      </w:r>
    </w:p>
    <w:p>
      <w:pPr>
        <w:spacing w:after="0" w:line="17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nine months ended September 30, 2020, the Company has issued a total of 59,716 shares of common stock for dividends on Series A and Series C Preferred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May 23, 2019, the Company completed an offering of common stock and warrants to its shareholders of record as of April 29, 2019. In the offering, the Company received approximately $44.9 million for the issuance of 10,488,161 shares of common stock and warrants which may be exercised for 2,622,154 shares of common stock. The warrants may be exercised at $7.00 per share of common stock and expire on May 23, 2026. The warrants were valued at approximately $8.2 million as of the issuance, using the closing price of $4.01, a life of 7 years, a volatility of 101% and a risk-free interest rate of 2.33%.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Preferred Stock Conversion into Common Stock</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On January 11, 2019, 10X Fund L.P. (“10X Fund”), converted all of its Series B Convertible Preferred Stock into Common Stock of Galectin Therapeutics. Pursuant to the terms of the conversion, as of January 11, 2019, 10X Fund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ectPr>
          <w:pgSz w:w="11900" w:h="16838" w:orient="portrait"/>
          <w:cols w:equalWidth="0" w:num="1">
            <w:col w:w="11080"/>
          </w:cols>
          <w:pgMar w:left="320" w:top="486" w:right="499" w:bottom="1440" w:gutter="0" w:footer="0" w:header="0"/>
        </w:sectPr>
      </w:pP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80"/>
          </w:cols>
          <w:pgMar w:left="320" w:top="486"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188"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nine-month periods ended September 30, 2020 and 2019 was $33,000 for each period and is included in general and administrative expenses. As of September 30, 2020, the right to use lease asset consisted of $57,000 and is included in other assets. Also, at September 30, 2020, current lease liability of $43,000 is included in accrued expenses and other and noncurrent lease liability of $19,000 is in other liabilities.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Maturity of operating lease as of September 30, 2020 in thousands: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ind w:left="13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ind w:left="1320"/>
              <w:spacing w:after="0"/>
              <w:rPr>
                <w:sz w:val="20"/>
                <w:szCs w:val="20"/>
                <w:color w:val="auto"/>
              </w:rPr>
            </w:pPr>
            <w:r>
              <w:rPr>
                <w:rFonts w:ascii="Arial" w:cs="Arial" w:eastAsia="Arial" w:hAnsi="Arial"/>
                <w:sz w:val="18"/>
                <w:szCs w:val="18"/>
                <w:color w:val="auto"/>
              </w:rPr>
              <w:t>Present value of lease liability</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Galectin Sciences LLC</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w:t>
      </w:r>
    </w:p>
    <w:p>
      <w:pPr>
        <w:spacing w:after="0" w:line="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$2,344,000, including $394,000 for the nine months ended September 30, 2020, for expenses of the LLC. Since the end of 2014, SBH has contributed $158,000 for expenses in the LLC. As of September 30, 2020, the Company’s ownership percentage in the LLC was 83.1%. The Company accounts for the interest in the LLC as a consolidated, less than wholly owned subsidiary. Because the LLC’s equity is immaterial, the value of the non-controlling interest is also deemed to be immaterial.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2021;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6" w:lineRule="exact"/>
        <w:rPr>
          <w:sz w:val="20"/>
          <w:szCs w:val="20"/>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540" w:right="340" w:hanging="331"/>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presented by the COVID-19 pandemic, and</w:t>
      </w:r>
    </w:p>
    <w:p>
      <w:pPr>
        <w:spacing w:after="0" w:line="130" w:lineRule="exact"/>
        <w:rPr>
          <w:rFonts w:ascii="Arial" w:cs="Arial" w:eastAsia="Arial" w:hAnsi="Arial"/>
          <w:sz w:val="18"/>
          <w:szCs w:val="18"/>
          <w:color w:val="auto"/>
        </w:rPr>
      </w:pPr>
    </w:p>
    <w:p>
      <w:pPr>
        <w:ind w:left="1540" w:right="10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2019, and our subsequent SEC filings.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consistent with the natural history of the disease and to seek strategic partners when a program becomes advanced and requires significant additional resources.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lead galectin-3 inhibitor is belapectin (GR-MD-02), which has been demonstrated in preclinical models to reverse liver fibrosis and cirrhosis.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its galectin-3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(NASH-CX). We announced, in December 2017 top line results from our NASH-CX trial and results of an End of Phase 2 meeting with the FDA in May 2018 that provided direction on potentially acceptable end points for a Phase 3 trial. The latter was confirmed in a Type C meeting with FDA in February 2019. Thereafter, the Company with its external NASH consultants designed a Phase 3 study that was sent to various contract research organizations (CROs) for their input on feasibility, timing costs and other important considerations. At the request of the United States Food and Drug Administration (FDA), the trial protocol and answers to questions raised by FDA at the February meeting was submitted as a Type C (Written Response Only) request to FDA on July 17, 2019; this response sought FDA feedback and agreement with regards to the proposed clinical program. Further details on results of the NASH-CX trial were published in the journal Gastroenterology (Gastroenterology 2020;158:1334–1345).</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Comments from FDA were received in late October 2019 and have been incorporated into the final version of the clinical trial protocol by the Company in conjunction with its hepatology consultants and medical and other experts at Covance, its chosen CRO. This modified trial design was discussed with FDA in a meeting on November 14, 2019 at which FDA indicated the design was reasonable (subject to a review of the protocol). The Company together with its advisors and Covance has modified the protocol and associated statistical analysis plans in conformance with the feedback received from FDA. and filed the protocol and various other documents with FDA on April 30, 2020. The study officially consented its first patient in June 2020. In addition, the Company has been working to some additional information requested by FDA which mostly relate to reporting of completed developmental toxicity studies.</w:t>
      </w:r>
    </w:p>
    <w:p>
      <w:pPr>
        <w:spacing w:after="0" w:line="19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Additionally, a study protocol entitled “A Single-dose, Open-label, Pharmacokinetic Study of </w:t>
      </w:r>
      <w:r>
        <w:rPr>
          <w:rFonts w:ascii="Arial" w:cs="Arial" w:eastAsia="Arial" w:hAnsi="Arial"/>
          <w:sz w:val="18"/>
          <w:szCs w:val="18"/>
          <w:u w:val="single" w:color="auto"/>
          <w:color w:val="auto"/>
        </w:rPr>
        <w:t>Belapectin</w:t>
      </w:r>
      <w:r>
        <w:rPr>
          <w:rFonts w:ascii="Arial" w:cs="Arial" w:eastAsia="Arial" w:hAnsi="Arial"/>
          <w:sz w:val="18"/>
          <w:szCs w:val="18"/>
          <w:color w:val="auto"/>
        </w:rPr>
        <w:t xml:space="preserve"> (GR-MD-02) in Subjects With Normal Hepatic Function and Subjects With Varying Degrees of Hepatic Impairment” has been filed with FDA to examine the effects of the drug in subjects with normal hepatic function and subjects with varying degrees of hepatic impairment (study details are listed under study NCT04332432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this study is began enrolling patients in Q2-2020.</w:t>
      </w:r>
    </w:p>
    <w:p>
      <w:pPr>
        <w:spacing w:after="0" w:line="187"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 xml:space="preserve">A study protocol was filed with FDA on April 30, 2020 for a seamless adaptively-designed Phase 2b/3 clinical study, the NASH-RX trial, evaluating the safety and efficacy of its galectin-3 inhibitor, belapectin (GR-MD-02), for the prevention of esophageal varices in patients with non-alcoholic steatohepatitis (NASH) cirrhosis (Further details are available at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 this study began enrolling patients in Q2-2020. Recently the Company received a letter from FDA providing comments, asking questions and providing guidance on various aspects of the ongoing NASH-RX trial.</w:t>
      </w:r>
    </w:p>
    <w:p>
      <w:pPr>
        <w:spacing w:after="0" w:line="18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Initial results of the efforts at Galectin Sciences LLC were presented by Dr. E. Zomer at the AFDD meeting in Boston in Fall, 2019. Three series of composition of matter patents covering discoveries at Galectin Sciences have been filed. We are also pursuing a development pathway to clinical enhancement and commercialization for our lead compounds in immuno-oncology for cancer therapy. However, our clinical development efforts are primarily focused on liver fibrosis and NASH. All of our proposed products are presently in development, including pre-clinical and clinical trials.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ectPr>
          <w:pgSz w:w="11900" w:h="16838" w:orient="portrait"/>
          <w:cols w:equalWidth="0" w:num="1">
            <w:col w:w="11100"/>
          </w:cols>
          <w:pgMar w:left="320" w:top="486" w:right="479" w:bottom="1440" w:gutter="0" w:footer="0" w:header="0"/>
        </w:sectPr>
      </w:pP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00"/>
          </w:cols>
          <w:pgMar w:left="320" w:top="486"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one new proprietary chemical entity (NCE) in development, belapectin, which has shown promise in preclinical and early clinical studies in treatment of fibrosis, severe skin disease, and in cancer therapy. Currently we are focusing on development of belapectin intended to be used in the treatment of liver fibrosis associated with fatty liver disease (NASH) and more specifically in NASH cirrhosis. We have also leveraged our relationships with well-known investigators to demonstrate clinical effects of belapectin in treating moderate to severe plaque psoriasis, severe atopic dermatitis, and in cancer therapy in combination with immune-system modifying agent(s). Belapectin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320" w:type="dxa"/>
            <w:vAlign w:val="bottom"/>
          </w:tcPr>
          <w:p>
            <w:pPr>
              <w:ind w:left="720"/>
              <w:spacing w:after="0"/>
              <w:rPr>
                <w:sz w:val="20"/>
                <w:szCs w:val="20"/>
                <w:color w:val="auto"/>
              </w:rPr>
            </w:pPr>
            <w:r>
              <w:rPr>
                <w:rFonts w:ascii="Arial" w:cs="Arial" w:eastAsia="Arial" w:hAnsi="Arial"/>
                <w:sz w:val="14"/>
                <w:szCs w:val="14"/>
                <w:b w:val="1"/>
                <w:bCs w:val="1"/>
                <w:color w:val="auto"/>
              </w:rPr>
              <w:t>Drug</w:t>
            </w: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1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1320" w:type="dxa"/>
            <w:vAlign w:val="bottom"/>
          </w:tcPr>
          <w:p>
            <w:pPr>
              <w:ind w:left="440"/>
              <w:spacing w:after="0"/>
              <w:rPr>
                <w:sz w:val="20"/>
                <w:szCs w:val="20"/>
                <w:color w:val="auto"/>
              </w:rPr>
            </w:pPr>
            <w:r>
              <w:rPr>
                <w:rFonts w:ascii="Arial" w:cs="Arial" w:eastAsia="Arial" w:hAnsi="Arial"/>
                <w:sz w:val="18"/>
                <w:szCs w:val="18"/>
                <w:color w:val="auto"/>
              </w:rPr>
              <w:t>belapectin</w:t>
            </w: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4"/>
              </w:rPr>
              <w:t>IND submitted January 2013. Results from the Phase 1 clinical trial were reported in 2014,</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NASH-CX trial and</w:t>
            </w: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rPr>
              <w:t>with final results reported in January 2015.</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NASH-FX trial</w:t>
            </w:r>
          </w:p>
        </w:tc>
        <w:tc>
          <w:tcPr>
            <w:tcW w:w="1320" w:type="dxa"/>
            <w:vAlign w:val="bottom"/>
          </w:tcPr>
          <w:p>
            <w:pPr>
              <w:spacing w:after="0"/>
              <w:rPr>
                <w:sz w:val="20"/>
                <w:szCs w:val="20"/>
                <w:color w:val="auto"/>
              </w:rPr>
            </w:pPr>
          </w:p>
        </w:tc>
        <w:tc>
          <w:tcPr>
            <w:tcW w:w="6900" w:type="dxa"/>
            <w:vAlign w:val="bottom"/>
            <w:gridSpan w:val="3"/>
            <w:vMerge w:val="restart"/>
          </w:tcPr>
          <w:p>
            <w:pPr>
              <w:ind w:left="120"/>
              <w:spacing w:after="0"/>
              <w:rPr>
                <w:sz w:val="20"/>
                <w:szCs w:val="20"/>
                <w:color w:val="auto"/>
              </w:rPr>
            </w:pPr>
            <w:r>
              <w:rPr>
                <w:rFonts w:ascii="Arial" w:cs="Arial" w:eastAsia="Arial" w:hAnsi="Arial"/>
                <w:sz w:val="18"/>
                <w:szCs w:val="18"/>
                <w:color w:val="auto"/>
              </w:rPr>
              <w:t>The Phase 2 NASH FX trial was designed for patients with advanced fibrosis but not</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5"/>
              </w:rPr>
              <w:t>cirrhosis. Its principal purpose was to evaluate various imaging modalities. The NASH FX</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rPr>
              <w:t>trial top line data was reported in September 2016</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2"/>
              </w:rPr>
              <w:t>The Phase 2 NASH CX trial, was designed for patients with well compensated cirrhosis. The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rPr>
              <w:t>NASH CX trial top line data was reported in December 2017 and was published in</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i w:val="1"/>
                <w:iCs w:val="1"/>
                <w:color w:val="auto"/>
              </w:rPr>
              <w:t xml:space="preserve">Gastroenterology </w:t>
            </w:r>
            <w:r>
              <w:rPr>
                <w:rFonts w:ascii="Arial" w:cs="Arial" w:eastAsia="Arial" w:hAnsi="Arial"/>
                <w:sz w:val="18"/>
                <w:szCs w:val="18"/>
                <w:color w:val="auto"/>
              </w:rPr>
              <w:t>in 2020.</w:t>
            </w:r>
          </w:p>
        </w:tc>
        <w:tc>
          <w:tcPr>
            <w:tcW w:w="0" w:type="dxa"/>
            <w:vAlign w:val="bottom"/>
          </w:tcPr>
          <w:p>
            <w:pPr>
              <w:spacing w:after="0"/>
              <w:rPr>
                <w:sz w:val="1"/>
                <w:szCs w:val="1"/>
                <w:color w:val="auto"/>
              </w:rPr>
            </w:pP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NASH – RX</w:t>
            </w:r>
          </w:p>
        </w:tc>
        <w:tc>
          <w:tcPr>
            <w:tcW w:w="1320" w:type="dxa"/>
            <w:vAlign w:val="bottom"/>
          </w:tcPr>
          <w:p>
            <w:pPr>
              <w:spacing w:after="0"/>
              <w:rPr>
                <w:sz w:val="24"/>
                <w:szCs w:val="24"/>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1"/>
              </w:rPr>
              <w:t>Based on FDA feedback, the NASH-RX trial is an adaptive Phase 2b/3 trial for the prevention</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5"/>
              </w:rPr>
              <w:t>of varices in NASH patients with well compensated cirrhosis. An interim efficacy analysis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3"/>
              </w:rPr>
              <w:t>will be incorporated to confirm previous Phase 2 data, confirm an optimal dose and reaffirm</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1"/>
              </w:rPr>
              <w:t>efficacy, and the end of study endpoints will include development of varices and a composite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1"/>
              </w:rPr>
              <w:t>clinical endpoint including progression to varices requiring treatment (large varices or varices</w:t>
            </w: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900" w:type="dxa"/>
            <w:vAlign w:val="bottom"/>
            <w:gridSpan w:val="3"/>
          </w:tcPr>
          <w:p>
            <w:pPr>
              <w:ind w:left="120"/>
              <w:spacing w:after="0" w:line="190" w:lineRule="exact"/>
              <w:rPr>
                <w:sz w:val="20"/>
                <w:szCs w:val="20"/>
                <w:color w:val="auto"/>
              </w:rPr>
            </w:pPr>
            <w:r>
              <w:rPr>
                <w:rFonts w:ascii="Arial" w:cs="Arial" w:eastAsia="Arial" w:hAnsi="Arial"/>
                <w:sz w:val="18"/>
                <w:szCs w:val="18"/>
                <w:color w:val="auto"/>
                <w:w w:val="93"/>
              </w:rPr>
              <w:t>with a red wale). See www.clinicaltrials.gov NCT04365868. Patient enrollment commenced</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 June 2020.</w:t>
            </w:r>
          </w:p>
        </w:tc>
        <w:tc>
          <w:tcPr>
            <w:tcW w:w="1620" w:type="dxa"/>
            <w:vAlign w:val="bottom"/>
            <w:tcBorders>
              <w:top w:val="single" w:sz="8" w:color="auto"/>
            </w:tcBorders>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3"/>
              </w:rPr>
              <w:t>A protocol for a hepatic impairment study was filed with FDA on March 30, 2020 This study</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0"/>
              </w:rPr>
              <w:t>is being conducted in subjects with normal hepatic function and subjects with varying degrees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w w:val="99"/>
              </w:rPr>
              <w:t>of hepatic impairment (CF: www.clinicaltrials.gov NCT04332432) and began enrolling</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rPr>
              <w:t>patients in the second quarter of 2020.</w:t>
            </w:r>
          </w:p>
        </w:tc>
        <w:tc>
          <w:tcPr>
            <w:tcW w:w="0" w:type="dxa"/>
            <w:vAlign w:val="bottom"/>
          </w:tcPr>
          <w:p>
            <w:pPr>
              <w:spacing w:after="0"/>
              <w:rPr>
                <w:sz w:val="1"/>
                <w:szCs w:val="1"/>
                <w:color w:val="auto"/>
              </w:rPr>
            </w:pPr>
          </w:p>
        </w:tc>
      </w:tr>
      <w:tr>
        <w:trPr>
          <w:trHeight w:val="338"/>
        </w:trPr>
        <w:tc>
          <w:tcPr>
            <w:tcW w:w="2760" w:type="dxa"/>
            <w:vAlign w:val="bottom"/>
          </w:tcPr>
          <w:p>
            <w:pPr>
              <w:spacing w:after="0"/>
              <w:rPr>
                <w:sz w:val="20"/>
                <w:szCs w:val="20"/>
                <w:color w:val="auto"/>
              </w:rPr>
            </w:pPr>
            <w:r>
              <w:rPr>
                <w:rFonts w:ascii="Arial" w:cs="Arial" w:eastAsia="Arial" w:hAnsi="Arial"/>
                <w:sz w:val="18"/>
                <w:szCs w:val="18"/>
                <w:color w:val="auto"/>
              </w:rPr>
              <w:t>Lung Fibrosis</w:t>
            </w:r>
          </w:p>
        </w:tc>
        <w:tc>
          <w:tcPr>
            <w:tcW w:w="1320" w:type="dxa"/>
            <w:vAlign w:val="bottom"/>
          </w:tcPr>
          <w:p>
            <w:pPr>
              <w:ind w:left="440"/>
              <w:spacing w:after="0"/>
              <w:rPr>
                <w:sz w:val="20"/>
                <w:szCs w:val="20"/>
                <w:color w:val="auto"/>
              </w:rPr>
            </w:pPr>
            <w:r>
              <w:rPr>
                <w:rFonts w:ascii="Arial" w:cs="Arial" w:eastAsia="Arial" w:hAnsi="Arial"/>
                <w:sz w:val="18"/>
                <w:szCs w:val="18"/>
                <w:color w:val="auto"/>
              </w:rPr>
              <w:t>belapectin</w:t>
            </w: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Kidney Fibrosis</w:t>
            </w:r>
          </w:p>
        </w:tc>
        <w:tc>
          <w:tcPr>
            <w:tcW w:w="1320" w:type="dxa"/>
            <w:vAlign w:val="bottom"/>
          </w:tcPr>
          <w:p>
            <w:pPr>
              <w:ind w:left="440"/>
              <w:spacing w:after="0"/>
              <w:rPr>
                <w:sz w:val="20"/>
                <w:szCs w:val="20"/>
                <w:color w:val="auto"/>
              </w:rPr>
            </w:pPr>
            <w:r>
              <w:rPr>
                <w:rFonts w:ascii="Arial" w:cs="Arial" w:eastAsia="Arial" w:hAnsi="Arial"/>
                <w:sz w:val="18"/>
                <w:szCs w:val="18"/>
                <w:color w:val="auto"/>
              </w:rPr>
              <w:t>belapectin</w:t>
            </w:r>
          </w:p>
        </w:tc>
        <w:tc>
          <w:tcPr>
            <w:tcW w:w="6900" w:type="dxa"/>
            <w:vAlign w:val="bottom"/>
            <w:gridSpan w:val="3"/>
          </w:tcPr>
          <w:p>
            <w:pPr>
              <w:ind w:left="120"/>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364"/>
        </w:trPr>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ind w:left="1340"/>
              <w:spacing w:after="0"/>
              <w:rPr>
                <w:sz w:val="20"/>
                <w:szCs w:val="20"/>
                <w:color w:val="auto"/>
              </w:rPr>
            </w:pPr>
            <w:r>
              <w:rPr>
                <w:rFonts w:ascii="Arial" w:cs="Arial" w:eastAsia="Arial" w:hAnsi="Arial"/>
                <w:sz w:val="18"/>
                <w:szCs w:val="18"/>
                <w:color w:val="auto"/>
              </w:rPr>
              <w:t>17</w:t>
            </w:r>
          </w:p>
        </w:tc>
        <w:tc>
          <w:tcPr>
            <w:tcW w:w="1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02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360" w:type="dxa"/>
            <w:vAlign w:val="bottom"/>
          </w:tcPr>
          <w:p>
            <w:pPr>
              <w:ind w:left="620"/>
              <w:spacing w:after="0"/>
              <w:rPr>
                <w:sz w:val="20"/>
                <w:szCs w:val="20"/>
                <w:color w:val="auto"/>
              </w:rPr>
            </w:pPr>
            <w:r>
              <w:rPr>
                <w:rFonts w:ascii="Arial" w:cs="Arial" w:eastAsia="Arial" w:hAnsi="Arial"/>
                <w:sz w:val="14"/>
                <w:szCs w:val="14"/>
                <w:b w:val="1"/>
                <w:bCs w:val="1"/>
                <w:color w:val="auto"/>
              </w:rPr>
              <w:t>Drug</w:t>
            </w:r>
          </w:p>
        </w:tc>
        <w:tc>
          <w:tcPr>
            <w:tcW w:w="6620" w:type="dxa"/>
            <w:vAlign w:val="bottom"/>
          </w:tcPr>
          <w:p>
            <w:pPr>
              <w:ind w:left="320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02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1360" w:type="dxa"/>
            <w:vAlign w:val="bottom"/>
          </w:tcPr>
          <w:p>
            <w:pPr>
              <w:ind w:left="180"/>
              <w:spacing w:after="0"/>
              <w:rPr>
                <w:sz w:val="20"/>
                <w:szCs w:val="20"/>
                <w:color w:val="auto"/>
              </w:rPr>
            </w:pPr>
            <w:r>
              <w:rPr>
                <w:rFonts w:ascii="Arial" w:cs="Arial" w:eastAsia="Arial" w:hAnsi="Arial"/>
                <w:sz w:val="18"/>
                <w:szCs w:val="18"/>
                <w:color w:val="auto"/>
                <w:w w:val="99"/>
              </w:rPr>
              <w:t>belapectin and</w:t>
            </w:r>
          </w:p>
        </w:tc>
        <w:tc>
          <w:tcPr>
            <w:tcW w:w="6620" w:type="dxa"/>
            <w:vAlign w:val="bottom"/>
          </w:tcPr>
          <w:p>
            <w:pPr>
              <w:ind w:left="14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02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GM-CT-01</w:t>
            </w:r>
          </w:p>
        </w:tc>
        <w:tc>
          <w:tcPr>
            <w:tcW w:w="6620" w:type="dxa"/>
            <w:vAlign w:val="bottom"/>
          </w:tcPr>
          <w:p>
            <w:pPr>
              <w:spacing w:after="0"/>
              <w:rPr>
                <w:sz w:val="20"/>
                <w:szCs w:val="20"/>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w w:val="95"/>
              </w:rPr>
              <w:t>Melanoma, Head, Neck Squamous Cell</w:t>
            </w:r>
          </w:p>
        </w:tc>
        <w:tc>
          <w:tcPr>
            <w:tcW w:w="136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620" w:type="dxa"/>
            <w:vAlign w:val="bottom"/>
          </w:tcPr>
          <w:p>
            <w:pPr>
              <w:ind w:left="140"/>
              <w:spacing w:after="0"/>
              <w:rPr>
                <w:sz w:val="20"/>
                <w:szCs w:val="20"/>
                <w:color w:val="auto"/>
              </w:rPr>
            </w:pPr>
            <w:r>
              <w:rPr>
                <w:rFonts w:ascii="Arial" w:cs="Arial" w:eastAsia="Arial" w:hAnsi="Arial"/>
                <w:sz w:val="18"/>
                <w:szCs w:val="18"/>
                <w:color w:val="auto"/>
                <w:w w:val="96"/>
              </w:rPr>
              <w:t>Investigator IND submitted in December 2013. Phase 1B study in process. A second</w:t>
            </w: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Carcinoma (HNSCC)</w:t>
            </w:r>
          </w:p>
        </w:tc>
        <w:tc>
          <w:tcPr>
            <w:tcW w:w="136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Phase 1B study began in Q-1 2016. Investigator IND for that study submitted in</w:t>
            </w:r>
          </w:p>
        </w:tc>
      </w:tr>
      <w:tr>
        <w:trPr>
          <w:trHeight w:val="217"/>
        </w:trPr>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20" w:type="dxa"/>
            <w:vAlign w:val="bottom"/>
          </w:tcPr>
          <w:p>
            <w:pPr>
              <w:ind w:left="140"/>
              <w:spacing w:after="0" w:line="216" w:lineRule="exact"/>
              <w:rPr>
                <w:sz w:val="20"/>
                <w:szCs w:val="20"/>
                <w:color w:val="auto"/>
              </w:rPr>
            </w:pPr>
            <w:r>
              <w:rPr>
                <w:rFonts w:ascii="Arial" w:cs="Arial" w:eastAsia="Arial" w:hAnsi="Arial"/>
                <w:sz w:val="18"/>
                <w:szCs w:val="18"/>
                <w:color w:val="auto"/>
                <w:w w:val="89"/>
              </w:rPr>
              <w:t>September 2015. Early data was reported in February 2017 and studies with the 3</w:t>
            </w:r>
            <w:r>
              <w:rPr>
                <w:rFonts w:ascii="Arial" w:cs="Arial" w:eastAsia="Arial" w:hAnsi="Arial"/>
                <w:sz w:val="25"/>
                <w:szCs w:val="25"/>
                <w:color w:val="auto"/>
                <w:w w:val="89"/>
                <w:vertAlign w:val="superscript"/>
              </w:rPr>
              <w:t>rd</w:t>
            </w:r>
            <w:r>
              <w:rPr>
                <w:rFonts w:ascii="Arial" w:cs="Arial" w:eastAsia="Arial" w:hAnsi="Arial"/>
                <w:sz w:val="18"/>
                <w:szCs w:val="18"/>
                <w:color w:val="auto"/>
                <w:w w:val="89"/>
              </w:rPr>
              <w:t xml:space="preserve"> cohort</w:t>
            </w:r>
          </w:p>
        </w:tc>
      </w:tr>
      <w:tr>
        <w:trPr>
          <w:trHeight w:val="216"/>
        </w:trPr>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w w:val="92"/>
              </w:rPr>
              <w:t>were reported in September 2018. Continuation of trial is ongoing to expand the dataset</w:t>
            </w:r>
          </w:p>
        </w:tc>
      </w:tr>
      <w:tr>
        <w:trPr>
          <w:trHeight w:val="216"/>
        </w:trPr>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w w:val="89"/>
              </w:rPr>
              <w:t>of melanoma and HNSCC patients at the 4 mg/Kg dose to determine if a possible Phase 2</w:t>
            </w:r>
          </w:p>
        </w:tc>
      </w:tr>
      <w:tr>
        <w:trPr>
          <w:trHeight w:val="230"/>
        </w:trPr>
        <w:tc>
          <w:tcPr>
            <w:tcW w:w="3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trial is warranted.</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Psoriasis</w:t>
            </w:r>
          </w:p>
        </w:tc>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136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620" w:type="dxa"/>
            <w:vAlign w:val="bottom"/>
          </w:tcPr>
          <w:p>
            <w:pPr>
              <w:ind w:left="140"/>
              <w:spacing w:after="0"/>
              <w:rPr>
                <w:sz w:val="20"/>
                <w:szCs w:val="20"/>
                <w:color w:val="auto"/>
              </w:rPr>
            </w:pPr>
            <w:r>
              <w:rPr>
                <w:rFonts w:ascii="Arial" w:cs="Arial" w:eastAsia="Arial" w:hAnsi="Arial"/>
                <w:sz w:val="18"/>
                <w:szCs w:val="18"/>
                <w:color w:val="auto"/>
                <w:w w:val="97"/>
              </w:rPr>
              <w:t>IND submitted March 2015. A phase 2a trial in moderate to severe plaque psoriasis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136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w w:val="93"/>
              </w:rPr>
              <w:t>patients began in January 2016. Interim data on the first four patients were positive and</w:t>
            </w:r>
          </w:p>
        </w:tc>
      </w:tr>
      <w:tr>
        <w:trPr>
          <w:trHeight w:val="216"/>
        </w:trPr>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w w:val="97"/>
              </w:rPr>
              <w:t>were reported in May 2016. Further positive data was reported in September 2016.</w:t>
            </w:r>
          </w:p>
        </w:tc>
      </w:tr>
      <w:tr>
        <w:trPr>
          <w:trHeight w:val="216"/>
        </w:trPr>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w w:val="96"/>
              </w:rPr>
              <w:t>Investigator initiated IND submitted for treatment of three patients with severe atopic</w:t>
            </w:r>
          </w:p>
        </w:tc>
      </w:tr>
      <w:tr>
        <w:trPr>
          <w:trHeight w:val="216"/>
        </w:trPr>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w w:val="91"/>
              </w:rPr>
              <w:t>dermatitis, with positive preliminary data presented in February 2017. Further studies are</w:t>
            </w:r>
          </w:p>
        </w:tc>
      </w:tr>
      <w:tr>
        <w:trPr>
          <w:trHeight w:val="230"/>
        </w:trPr>
        <w:tc>
          <w:tcPr>
            <w:tcW w:w="3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dependent on finding a suitable strategic partner.</w:t>
            </w:r>
          </w:p>
        </w:tc>
      </w:tr>
    </w:tbl>
    <w:p>
      <w:pPr>
        <w:spacing w:after="0" w:line="2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Belapectin is our lead product candidate for treatment of fibrotic disease. Our preclinical data show that belapectin has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In addition, in NASH animal models, belapectin has been shown to reduce liver fat, inflammation,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human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belapectin and it showed that with 8 mg/kg LBM dose of belapectin and 2 mg/kg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compensated cirrhosis, which began enrolling in June 2015. This study was the primary focus of our program and is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62"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for patients with NASH and advanced fibrosis, explored use of three non-invasive</w:t>
      </w:r>
      <w:r>
        <w:rPr>
          <w:rFonts w:ascii="Arial" w:cs="Arial" w:eastAsia="Arial" w:hAnsi="Arial"/>
          <w:sz w:val="16"/>
          <w:szCs w:val="16"/>
          <w:b w:val="1"/>
          <w:bCs w:val="1"/>
          <w:color w:val="auto"/>
        </w:rPr>
        <w:t xml:space="preserve"> </w:t>
      </w:r>
      <w:r>
        <w:rPr>
          <w:rFonts w:ascii="Arial" w:cs="Arial" w:eastAsia="Arial" w:hAnsi="Arial"/>
          <w:sz w:val="16"/>
          <w:szCs w:val="16"/>
          <w:color w:val="auto"/>
        </w:rPr>
        <w:t>imaging technologies, was completed. It was a short, single site, four-month trial in 30 NASH patients with advanced fibrosis (F3), but not cirrhosis (F4), randomized 1:1 to either 9 bi-weekly doses of 8 mg/kg LBM of belapectin or placebo. The trial did not meet its primary biomarker endpoint as measured using multi-parametric magnetic resonance imaging (LiverMultiScan</w:t>
      </w:r>
      <w:r>
        <w:rPr>
          <w:rFonts w:ascii="Arial" w:cs="Arial" w:eastAsia="Arial" w:hAnsi="Arial"/>
          <w:sz w:val="22"/>
          <w:szCs w:val="22"/>
          <w:color w:val="auto"/>
          <w:vertAlign w:val="superscript"/>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advanced liver fibrosis. This small study was also not adequately powered for the secondary endpoints. In the trial, belapectin was found to be safe and well tolerated with no serious adverse events and evidence of a pharmacodynamic effect. These results provided support for further development in NASH.</w:t>
      </w:r>
    </w:p>
    <w:p>
      <w:pPr>
        <w:spacing w:after="0" w:line="187"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multi-center clinical trial that explored the use of belapectin for the treatment of liver fibrosis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resultant portal hypertension in patients with well-compensated NASH cirrhosis. Enrollment in this trial was completed in September 2016, and a total of 162 patients at 36 sites in the United States were randomized to receive either 2 mg/kg LBM of belapectin, 8 mg/kg LBM of belapectin or placebo, with 54 patients in each group. Approximately 50% of patients at baseline had esophageal varices (a complication of portal hypertension). The primary endpoint was a reduction in hepatic venous pressure gradient (HVPG). Patients received an infusion of belapectin or placebo every other week for one year, a total of 26 infusions, and were evaluated to determine the change in HVPG as compared with placebo. Secondary or exploratory endpoints included fibrosis on liver biopsy, measurement of liver stiffness (FibroScan</w:t>
      </w:r>
      <w:r>
        <w:rPr>
          <w:rFonts w:ascii="Arial" w:cs="Arial" w:eastAsia="Arial" w:hAnsi="Arial"/>
          <w:sz w:val="22"/>
          <w:szCs w:val="22"/>
          <w:color w:val="auto"/>
          <w:vertAlign w:val="superscript"/>
        </w:rPr>
        <w:t>(R)</w:t>
      </w:r>
      <w:r>
        <w:rPr>
          <w:rFonts w:ascii="Arial" w:cs="Arial" w:eastAsia="Arial" w:hAnsi="Arial"/>
          <w:sz w:val="16"/>
          <w:szCs w:val="16"/>
          <w:color w:val="auto"/>
        </w:rPr>
        <w:t>) and assessment of liver metabolism (</w:t>
      </w:r>
      <w:r>
        <w:rPr>
          <w:rFonts w:ascii="Arial" w:cs="Arial" w:eastAsia="Arial" w:hAnsi="Arial"/>
          <w:sz w:val="22"/>
          <w:szCs w:val="22"/>
          <w:color w:val="auto"/>
          <w:vertAlign w:val="superscript"/>
        </w:rPr>
        <w:t>13</w:t>
      </w:r>
      <w:r>
        <w:rPr>
          <w:rFonts w:ascii="Arial" w:cs="Arial" w:eastAsia="Arial" w:hAnsi="Arial"/>
          <w:sz w:val="16"/>
          <w:szCs w:val="16"/>
          <w:color w:val="auto"/>
        </w:rPr>
        <w:t>C-methacetin breath test, Exalenz). Top line data readout was reported in December 2017. The study demonstrated a favorable safety profile and clinically meaningful efficacy results in patients without esophageal varices at baseline demonstrated by a prevention of development of varices when compared to placebo.</w:t>
      </w:r>
    </w:p>
    <w:p>
      <w:pPr>
        <w:spacing w:after="0" w:line="18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those NASH cirrhosis patients without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Over the 54-week treatment period, in patients without varices there were statistically significantly fewer new varices that developed in the belapectin treatment groups (0% and 4% in the 2 mg/kg LBM and the 8 mg/kg LBM, respectively) vs placebo (18%). As esophageal varices can lead to hemorrhagic complication, that can be fatal, we believe the prevention of esophageal varices may represent a clinically relevant measure of clinical efficacy in patients with NASH cirrhosis.</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major conclusions from the NASH-CX trial results are that: i) belapectin had a statistically significant and clinically meaningful effect in improving HVPG vs placebo in patients with NASH cirrhosis who did not have esophageal varices at baseline. This effect was seen regardless of the patient’s baseline portal hypertension. ii) There was an important drug effect of belapectin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We believe this is the first large, randomized clinical trial to demonstrate a clinically meaningful improvement in portal hypertension or liver biopsy in patients with compensated NASH cirrhosis who have not yet developed esophageal varices.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(Gastroenterology 2020;158:1334–1345).</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 xml:space="preserve">NASH-RX Trial: </w:t>
      </w:r>
      <w:r>
        <w:rPr>
          <w:rFonts w:ascii="Arial" w:cs="Arial" w:eastAsia="Arial" w:hAnsi="Arial"/>
          <w:sz w:val="17"/>
          <w:szCs w:val="17"/>
          <w:color w:val="auto"/>
        </w:rPr>
        <w:t>Building on the experience of the NASH-CX trial, the NASH-RX Trial is a seamless adaptively-designed Phase 2b/3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study evaluating the safety and efficacy of our galectin-3 inhibitor, belapectin (GR-MD-02),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effect on the incidence of long-term, clinically significant cirrhosis-related outcomes (a key secondary efficacy endpoint), (ii) The study targets NASH patients with a clearly identified unmet medical need: patients with compensated cirrhosis who are at risk of developing esophageal varices, a potentially life-threatening complication of cirrhosis (bleeding varices are a cause of death in about one-third of cirrhotic patients). There is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one belapectin dose will be selected based on efficacy and safety, for continued evaluation (Phase 3). The belapectin dose selected for the phase 2b/3 are based on the analysis of the NASH-CX trial, including a dose response pharmacokinetic analysis of the hepatic venous gradient pressure (HVPG, a reflection of portal hypertension). Prior belapectin clinical studies have also indicated the good tolerance and safety profile of belapectin with doses of up to 8 mg/kg LBM for 52 weeks (Phase 2b Study NASH-CX), an important feature of the future risk benefit analysis in patients with NASH cirrhosis.</w:t>
      </w:r>
    </w:p>
    <w:p>
      <w:pPr>
        <w:spacing w:after="0" w:line="18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an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to confirm the underlying assumption regarding the rate of varices development, currently estimated from our prior Phase 2b trial (NASH-CX). The study design also minimizes invasive testing requirements, such as the measurement of HVPG or repeated liver biopsies, which we believe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95"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We believe that these adaptations taken together are innovative and optimize conduct of the NASH-RX trial with a relevant primary outcome giving belapectin the best opportunity to show a positive therapeutic effect to address an unmet medical need. If the results of the NASH-RX trial are compelling, there could be the potential for accelerated FDA approval and/or partnership opportunity with a pharmaceutical company.</w:t>
      </w:r>
    </w:p>
    <w:p>
      <w:pPr>
        <w:spacing w:after="0" w:line="14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a low platelet count, an increased spleen size and/or evidence of collaterals circulation.</w:t>
      </w:r>
    </w:p>
    <w:p>
      <w:pPr>
        <w:spacing w:after="0" w:line="18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currently expect enrollment in the Phase 2(b) portion of the trial to be require 12-14 months and enrollment began in June 2020. This remains subject to potential site delays due to the impact of the global COVID-19 pandemic.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CRO has identified more than 125 clinical trial sites in 11 countries interested in the trial.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Further details on the NASH-RX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The Company also has commenced a Hepatic Impairment Study, which will run in parallel with the phase 2b/3 trial as part of the Phase 3 development program. The Hepatic Impairment Study will be conducted at up to four sites and will involve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and safety. Based on the results from this hepatic impairment study, the Company may consider including patients with more advanced cirrhosis in the Phase 3 portion of its NASH-RX trial. Until dosing and safety profile is further informed in CTP Class B and/or Class C patients, the NASH-RX trial will enroll only CTP Class A patients. Further details on this hepatic impairment study can be found on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study NCT04332432.</w:t>
      </w:r>
    </w:p>
    <w:p>
      <w:pPr>
        <w:sectPr>
          <w:pgSz w:w="11900" w:h="16838" w:orient="portrait"/>
          <w:cols w:equalWidth="0" w:num="1">
            <w:col w:w="11120"/>
          </w:cols>
          <w:pgMar w:left="320" w:top="486"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86"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belapectin in combination with Yervoy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90"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7"/>
          <w:szCs w:val="17"/>
          <w:color w:val="auto"/>
        </w:rPr>
        <w:t>Data on this combination immunotherapy program was initially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belapectin with different types of immune modulators, providing a case for progressing studies into human patients with cancer. Seven patients were treated in the belapectin trial in combination with ipilimumab (Yervoy</w:t>
      </w:r>
      <w:r>
        <w:rPr>
          <w:rFonts w:ascii="Arial" w:cs="Arial" w:eastAsia="Arial" w:hAnsi="Arial"/>
          <w:sz w:val="24"/>
          <w:szCs w:val="24"/>
          <w:color w:val="auto"/>
          <w:vertAlign w:val="superscript"/>
        </w:rPr>
        <w:t>®</w:t>
      </w:r>
      <w:r>
        <w:rPr>
          <w:rFonts w:ascii="Arial" w:cs="Arial" w:eastAsia="Arial" w:hAnsi="Arial"/>
          <w:sz w:val="17"/>
          <w:szCs w:val="17"/>
          <w:color w:val="auto"/>
        </w:rPr>
        <w:t>), with no safety concerns in these low dose cohorts. Due to changes in the standard of care for metastatic melanoma (i.e., approval of anti-PD-1), recruitment has been slowed significantly in this trial.</w:t>
      </w:r>
    </w:p>
    <w:p>
      <w:pPr>
        <w:spacing w:after="0" w:line="190" w:lineRule="exact"/>
        <w:rPr>
          <w:sz w:val="20"/>
          <w:szCs w:val="20"/>
          <w:color w:val="auto"/>
        </w:rPr>
      </w:pPr>
    </w:p>
    <w:p>
      <w:pPr>
        <w:ind w:left="120" w:firstLine="440"/>
        <w:spacing w:after="0" w:line="279" w:lineRule="auto"/>
        <w:rPr>
          <w:sz w:val="20"/>
          <w:szCs w:val="20"/>
          <w:color w:val="auto"/>
        </w:rPr>
      </w:pPr>
      <w:r>
        <w:rPr>
          <w:rFonts w:ascii="Arial" w:cs="Arial" w:eastAsia="Arial" w:hAnsi="Arial"/>
          <w:sz w:val="16"/>
          <w:szCs w:val="16"/>
          <w:color w:val="auto"/>
        </w:rPr>
        <w:t>Promising results were reported in the Phase 1b trial combining belapectin with pembrolizumab (KEYTRUDA</w:t>
      </w:r>
      <w:r>
        <w:rPr>
          <w:rFonts w:ascii="Arial" w:cs="Arial" w:eastAsia="Arial" w:hAnsi="Arial"/>
          <w:sz w:val="22"/>
          <w:szCs w:val="22"/>
          <w:color w:val="auto"/>
          <w:vertAlign w:val="superscript"/>
        </w:rPr>
        <w:t>®</w:t>
      </w:r>
      <w:r>
        <w:rPr>
          <w:rFonts w:ascii="Arial" w:cs="Arial" w:eastAsia="Arial" w:hAnsi="Arial"/>
          <w:sz w:val="16"/>
          <w:szCs w:val="16"/>
          <w:color w:val="auto"/>
        </w:rPr>
        <w:t>). Cohort 1 was completed (n=6, 5 with melanoma, one with head and neck cancer) with one partial response and one mixed response in the melanoma patients. There was a rapid and marked tumor response after 3 doses of combined belapectin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belapectin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will target to include 15 patients and is planned to have continued belapectin dosing as long as pembrolizumab is administered. Currently more than 40% of the patients in the expansion cohort have been enrolled and further information will be reported as it becomes available. Assuming these additional data are positive, the next logical step could be a Phase II trial.</w:t>
      </w:r>
    </w:p>
    <w:p>
      <w:pPr>
        <w:spacing w:after="0" w:line="17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belapectin, a clinical effect on plaque psoriasis was observed in a NASH patient</w:t>
      </w:r>
      <w:r>
        <w:rPr>
          <w:rFonts w:ascii="Arial" w:cs="Arial" w:eastAsia="Arial" w:hAnsi="Arial"/>
          <w:sz w:val="17"/>
          <w:szCs w:val="17"/>
          <w:i w:val="1"/>
          <w:iCs w:val="1"/>
          <w:color w:val="auto"/>
        </w:rPr>
        <w:t xml:space="preserve"> </w:t>
      </w:r>
      <w:r>
        <w:rPr>
          <w:rFonts w:ascii="Arial" w:cs="Arial" w:eastAsia="Arial" w:hAnsi="Arial"/>
          <w:sz w:val="17"/>
          <w:szCs w:val="17"/>
          <w:color w:val="auto"/>
        </w:rPr>
        <w:t>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This serendipitous finding, combined with galectin-3 protein being markedly upregulated in the capillary epithelia (small blood vessels) of the psoriatic dermis (plaque lesions), led to a phase 2a trial in patients with moderate to severe plaque psoriasis. Belapectin inhibition of galectin-3 may attenuate capillary changes in the psoriatic dermis and inflammatory cell recruitment, perhaps explaining the improvements observed in the NASH fibrosis trial patient. In this open-label, unblinded trial (no placebo, all patients knowingly receive active drug), 5 patients with moderate to severe plaque psoriasis were administered belapectin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belapectin, the next steps would entail a controlled, does-ranging clinical trial which we do not expect to conduct absent a strategic partnership.</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We believe the mechanism of action for belapectin is based upon interaction with, and inhibition of, galectin proteins, particularly galectin-3, which are expressed at high levels in certain pathological states including inflammation, fibrosis and cancer. While belapectin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previously.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and Nine Months Ended September 30, 2020 Compared to Three and Nine Months Ended September 30,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color w:val="auto"/>
                <w:w w:val="91"/>
              </w:rPr>
              <w:t>Three Months Ended</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Nine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color w:val="auto"/>
                <w:w w:val="95"/>
              </w:rPr>
              <w:t>2020 as Compared to 2019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1"/>
              </w:rPr>
              <w:t>September 30,</w:t>
            </w:r>
          </w:p>
        </w:tc>
        <w:tc>
          <w:tcPr>
            <w:tcW w:w="240" w:type="dxa"/>
            <w:vAlign w:val="bottom"/>
          </w:tcPr>
          <w:p>
            <w:pPr>
              <w:spacing w:after="0"/>
              <w:rPr>
                <w:sz w:val="12"/>
                <w:szCs w:val="12"/>
                <w:color w:val="auto"/>
              </w:rPr>
            </w:pPr>
          </w:p>
        </w:tc>
        <w:tc>
          <w:tcPr>
            <w:tcW w:w="13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1"/>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color w:val="auto"/>
              </w:rPr>
              <w:t>Three Months</w:t>
            </w: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Nine Months</w:t>
            </w:r>
          </w:p>
        </w:tc>
        <w:tc>
          <w:tcPr>
            <w:tcW w:w="22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2020</w:t>
            </w: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color w:val="auto"/>
              </w:rPr>
              <w:t>2020</w:t>
            </w: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85"/>
              </w:rPr>
              <w:t>$ Change</w:t>
            </w: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88"/>
              </w:rPr>
              <w:t>% Change</w:t>
            </w:r>
          </w:p>
        </w:tc>
        <w:tc>
          <w:tcPr>
            <w:tcW w:w="22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$4,780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$ 1,503</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9"/>
              </w:rPr>
              <w:t>$11,605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$3,671</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$ 3,277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$ 7,934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bl>
    <w:p>
      <w:pPr>
        <w:spacing w:after="0" w:line="20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580" w:type="dxa"/>
            <w:vAlign w:val="bottom"/>
            <w:gridSpan w:val="6"/>
          </w:tcPr>
          <w:p>
            <w:pPr>
              <w:jc w:val="right"/>
              <w:ind w:right="280"/>
              <w:spacing w:after="0"/>
              <w:rPr>
                <w:sz w:val="20"/>
                <w:szCs w:val="20"/>
                <w:color w:val="auto"/>
              </w:rPr>
            </w:pPr>
            <w:r>
              <w:rPr>
                <w:rFonts w:ascii="Arial" w:cs="Arial" w:eastAsia="Arial" w:hAnsi="Arial"/>
                <w:sz w:val="14"/>
                <w:szCs w:val="14"/>
                <w:color w:val="auto"/>
                <w:w w:val="97"/>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6900" w:type="dxa"/>
            <w:vAlign w:val="bottom"/>
          </w:tcPr>
          <w:p>
            <w:pPr>
              <w:spacing w:after="0"/>
              <w:rPr>
                <w:sz w:val="14"/>
                <w:szCs w:val="14"/>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color w:val="auto"/>
                <w:w w:val="91"/>
              </w:rPr>
              <w:t>September 30,</w:t>
            </w:r>
          </w:p>
        </w:tc>
      </w:tr>
      <w:tr>
        <w:trPr>
          <w:trHeight w:val="142"/>
        </w:trPr>
        <w:tc>
          <w:tcPr>
            <w:tcW w:w="69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96"/>
              </w:rPr>
              <w:t>2019</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2020</w:t>
            </w: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2019</w:t>
            </w:r>
          </w:p>
        </w:tc>
        <w:tc>
          <w:tcPr>
            <w:tcW w:w="4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ind w:left="22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$3,768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8,566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$1,648</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2,612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r>
      <w:tr>
        <w:trPr>
          <w:trHeight w:val="27"/>
        </w:trPr>
        <w:tc>
          <w:tcPr>
            <w:tcW w:w="69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4,780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11,605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3,671</w:t>
            </w:r>
          </w:p>
        </w:tc>
      </w:tr>
      <w:tr>
        <w:trPr>
          <w:trHeight w:val="20"/>
        </w:trPr>
        <w:tc>
          <w:tcPr>
            <w:tcW w:w="6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Clinical programs expenses increased primarily due to costs related to our NASH-RX trial during the three and nine month periods ended September 30, 2020 as compared to the same periods ended September 30, 2019. Other research and development expense increased primarily due to increased payroll and non-cash stock compensation expense related to the hiring of Dr. Pol Boudes as Chief Medical Officer in March 2020.</w:t>
      </w:r>
    </w:p>
    <w:p>
      <w:pPr>
        <w:spacing w:after="0" w:line="14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w w:val="92"/>
              </w:rPr>
              <w:t>Three Months</w:t>
            </w:r>
          </w:p>
        </w:tc>
        <w:tc>
          <w:tcPr>
            <w:tcW w:w="146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6"/>
              </w:rPr>
              <w:t>Nine Months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color w:val="auto"/>
                <w:w w:val="94"/>
              </w:rPr>
              <w:t>2020 as Compared to 2019</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Ended September 30,</w:t>
            </w: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ind w:right="760"/>
              <w:spacing w:after="0"/>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4"/>
                <w:szCs w:val="14"/>
                <w:color w:val="auto"/>
              </w:rPr>
            </w:pPr>
          </w:p>
        </w:tc>
        <w:tc>
          <w:tcPr>
            <w:tcW w:w="1600" w:type="dxa"/>
            <w:vAlign w:val="bottom"/>
            <w:gridSpan w:val="3"/>
          </w:tcPr>
          <w:p>
            <w:pPr>
              <w:jc w:val="right"/>
              <w:ind w:right="60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2020</w:t>
            </w:r>
          </w:p>
        </w:tc>
        <w:tc>
          <w:tcPr>
            <w:tcW w:w="7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color w:val="auto"/>
              </w:rPr>
              <w:t>2020</w:t>
            </w:r>
          </w:p>
        </w:tc>
        <w:tc>
          <w:tcPr>
            <w:tcW w:w="7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color w:val="auto"/>
                <w:w w:val="85"/>
              </w:rPr>
              <w:t>Change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Change</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5"/>
              </w:rPr>
              <w:t>Change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$ 1,146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$ 1,360</w:t>
            </w: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3"/>
              </w:rPr>
              <w:t>$ 4,007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$ 4,579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(214)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(572)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three-months ended September 30, 2020 as compared to the same period in 2019 is due to a decrease in non-cash stock compensation expense of approximately $70,000 and a decrease of approximately $67,000 in investor relations, business development and travel expenses due to less travel in 2020 due to the COVID-19 pandemic. The primary reasons for the decrease in general and administrative expenses for the nine-months ended September 30, 2020 as compared to the same period in 2019 is due to a decrease in non-cash stock compensation expense of approximately $171,000, a decrease in investor relations, business development and travel expenses of approximately $146,000 due to less travel in 2020 due to the COVID-19 pandemic, and a decrease in legal expenses of $281,000 partially offset by an increase in insurance expense of $211,000.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September 30, 2020, we raised a net total of $197.4 million from these offerings. We have operated at a loss since our inception and have had no significant revenues. We anticipate that losses will continue for the foreseeable future. At September 30, 2020, the Company had $32.6 million of unrestricted cash and cash equivalents available to fund future operations. In December 2018, the Company announced the extension of its $10 million unsecured line of credit facility with stockholder and director, Richard E. Uihlein. The Company has not drawn under the line of credit. The Company believes there is sufficient cash, including availability of the line of credit, to fund currently planned operations at least through December 31, 2021. We will require more cash to fund our operations after December 31, 2021 and believe we will be able to obtain additional financing. The currently planned operations include costs related to a planned adaptively designed Phase 2b/3 clinical trial. Currently, we expect to require an additional approximately $40 million to cover costs of the trial to reach the planned interim analysis estimated to occur in the second quarter of 2023 along with drug manufacturing and other scientific support activities and general and administrative costs. However, there can be no assurance that we will be successful in obtaining such new financing or, if available, that such financing will be on terms favorable to us.</w:t>
      </w:r>
    </w:p>
    <w:p>
      <w:pPr>
        <w:spacing w:after="0" w:line="182"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Net cash used in operations increased by $8,098,000 to $15,187,000 for the nine months ended September 30, 2020, as compared to $7,089,000 for the nine months ended September 30, 2019. Cash operating expenses increased principally due to our NASH-RX clinical trial with belapectin.</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2020, of $263,000 represents proceeds of $219,000 from the exercise of common stock options and $44,000 in net proceeds from issuance of common shares under our ATM. Net cash provided by financing activities for the nine months ended September 30, 2019, of $49,173,000 represents proceeds from the issuance of common stock from the stockholder rights offering of $44,889,000, from the ATM of $2,028,000 and $2,650,000 from the exercise of common stock options and warrants offset partially by $394,000 paid in dividends on convertible preferred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120" w:right="220" w:firstLine="440"/>
        <w:spacing w:after="0" w:line="296"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2019 Annual Report on Form 10-K.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2020, our disclosure controls and procedures were effective. In designing and evaluating our disclosure controls and procedures, we recognize that any controls and procedures, no matter how well designed and operated, can provide only reasonable assurance of achieving the desired control objectives.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During the quarter ended September 30, 2020, no change in our internal control over financial reporting has materially affected, or is reasonably likely to materially affect, our internal control over financial reporting.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2019, and our risk factors set forth in the Quarterly Reports on Form 10-Q for the periods ending March 31, 2020 and June 30, 2020, which could materially impact our business, financial condition or future results.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88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center"/>
        <w:ind w:right="89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400" w:type="dxa"/>
            <w:vAlign w:val="bottom"/>
            <w:gridSpan w:val="2"/>
            <w:vMerge w:val="restart"/>
          </w:tcPr>
          <w:p>
            <w:pPr>
              <w:ind w:left="3840"/>
              <w:spacing w:after="0"/>
              <w:rPr>
                <w:sz w:val="20"/>
                <w:szCs w:val="20"/>
                <w:color w:val="auto"/>
              </w:rPr>
            </w:pPr>
            <w:r>
              <w:rPr>
                <w:rFonts w:ascii="Arial" w:cs="Arial" w:eastAsia="Arial" w:hAnsi="Arial"/>
                <w:sz w:val="14"/>
                <w:szCs w:val="14"/>
                <w:b w:val="1"/>
                <w:bCs w:val="1"/>
                <w:color w:val="auto"/>
              </w:rPr>
              <w:t>Description of Document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78"/>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400" w:type="dxa"/>
            <w:vAlign w:val="bottom"/>
            <w:gridSpan w:val="2"/>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31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180" w:type="dxa"/>
            <w:vAlign w:val="bottom"/>
            <w:tcBorders>
              <w:top w:val="single" w:sz="8" w:color="auto"/>
            </w:tcBorders>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Certification Pursuant to Rule 13a-14(a) of the Securities Exchange Act of 1934</w:t>
              </w:r>
            </w:hyperlink>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40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 Pursuant to Rule 13a-14(a) of the Securities Exchange Act of 1934</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24"/>
                <w:szCs w:val="24"/>
                <w:color w:val="auto"/>
              </w:rPr>
            </w:pPr>
          </w:p>
        </w:tc>
        <w:tc>
          <w:tcPr>
            <w:tcW w:w="9400" w:type="dxa"/>
            <w:vAlign w:val="bottom"/>
            <w:gridSpan w:val="2"/>
          </w:tcPr>
          <w:p>
            <w:pPr>
              <w:spacing w:after="0"/>
              <w:rPr>
                <w:rFonts w:ascii="Arial" w:cs="Arial" w:eastAsia="Arial" w:hAnsi="Arial"/>
                <w:sz w:val="18"/>
                <w:szCs w:val="18"/>
                <w:u w:val="single" w:color="auto"/>
                <w:color w:val="0000EE"/>
                <w:w w:val="97"/>
              </w:rPr>
            </w:pPr>
            <w:hyperlink w:anchor="page29">
              <w:r>
                <w:rPr>
                  <w:rFonts w:ascii="Arial" w:cs="Arial" w:eastAsia="Arial" w:hAnsi="Arial"/>
                  <w:sz w:val="18"/>
                  <w:szCs w:val="18"/>
                  <w:u w:val="single" w:color="auto"/>
                  <w:color w:val="0000EE"/>
                  <w:w w:val="97"/>
                </w:rPr>
                <w:t>Certification Pursuant to 18 U.S.C. Section 1350, as Adopted Pursuant to Section 906 of the Sarbanes-Oxley Act of 2002</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32.2**</w:t>
            </w:r>
          </w:p>
        </w:tc>
        <w:tc>
          <w:tcPr>
            <w:tcW w:w="460" w:type="dxa"/>
            <w:vAlign w:val="bottom"/>
          </w:tcPr>
          <w:p>
            <w:pPr>
              <w:spacing w:after="0"/>
              <w:rPr>
                <w:sz w:val="24"/>
                <w:szCs w:val="24"/>
                <w:color w:val="auto"/>
              </w:rPr>
            </w:pPr>
          </w:p>
        </w:tc>
        <w:tc>
          <w:tcPr>
            <w:tcW w:w="9400" w:type="dxa"/>
            <w:vAlign w:val="bottom"/>
            <w:gridSpan w:val="2"/>
          </w:tcPr>
          <w:p>
            <w:pPr>
              <w:spacing w:after="0"/>
              <w:rPr>
                <w:rFonts w:ascii="Arial" w:cs="Arial" w:eastAsia="Arial" w:hAnsi="Arial"/>
                <w:sz w:val="18"/>
                <w:szCs w:val="18"/>
                <w:u w:val="single" w:color="auto"/>
                <w:color w:val="0000EE"/>
                <w:w w:val="97"/>
              </w:rPr>
            </w:pPr>
            <w:hyperlink w:anchor="page30">
              <w:r>
                <w:rPr>
                  <w:rFonts w:ascii="Arial" w:cs="Arial" w:eastAsia="Arial" w:hAnsi="Arial"/>
                  <w:sz w:val="18"/>
                  <w:szCs w:val="18"/>
                  <w:u w:val="single" w:color="auto"/>
                  <w:color w:val="0000EE"/>
                  <w:w w:val="97"/>
                </w:rPr>
                <w:t>Certification Pursuant to 18 U.S.C. Section 1350, as Adopted Pursuant to Section 906 of the Sarbanes-Oxley Act of 2002</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00" w:type="dxa"/>
            <w:vAlign w:val="bottom"/>
            <w:gridSpan w:val="2"/>
          </w:tcPr>
          <w:p>
            <w:pPr>
              <w:spacing w:after="0"/>
              <w:rPr>
                <w:sz w:val="20"/>
                <w:szCs w:val="20"/>
                <w:color w:val="auto"/>
              </w:rPr>
            </w:pPr>
            <w:r>
              <w:rPr>
                <w:rFonts w:ascii="Arial" w:cs="Arial" w:eastAsia="Arial" w:hAnsi="Arial"/>
                <w:sz w:val="18"/>
                <w:szCs w:val="18"/>
                <w:color w:val="auto"/>
                <w:w w:val="97"/>
              </w:rPr>
              <w:t>XBRL Instance Document the instance document does not appear in the Interactive Data File because its XBRL tags are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Calculation Linkbase Document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Label Linkbase Document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Presentation Linkbase Document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7"/>
              </w:rPr>
              <w:t>Cover Page Interactive Data File (the cover page XBRL tags are embedded in the Inline XBRL document and included in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540" w:right="2280" w:hanging="5424"/>
        <w:spacing w:after="0" w:line="433" w:lineRule="auto"/>
        <w:tabs>
          <w:tab w:leader="none" w:pos="55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25</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2020.</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Joel Lewis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20"/>
          </w:cols>
          <w:pgMar w:left="320" w:top="486" w:right="7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Joel Lewis, certify that:</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6144"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3077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Lewis</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November 9,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2020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Lewis</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3"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2020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November 9,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2020-11-09T06:44:33Z</dcterms:created>
  <dcterms:modified xsi:type="dcterms:W3CDTF">2020-11-09T06:44:33Z</dcterms:modified>
</cp:coreProperties>
</file>